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י"ב באדר א' התשע"ו</w:t>
      </w:r>
      <w:bookmarkEnd w:id="0"/>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21 בפברואר, 2016</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2997</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דיון מהיר</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"ניצול ציני" של סטודנטים במעונות אוניברסיטת ת"א משלמים פי שניים על מים.</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952F74" w:rsidRPr="00035C14" w:rsidRDefault="00952F74" w:rsidP="00952F74">
      <w:pPr>
        <w:rPr>
          <w:rFonts w:ascii="Tahoma" w:hAnsi="Tahoma" w:cs="David"/>
          <w:sz w:val="24"/>
          <w:szCs w:val="24"/>
          <w:rtl/>
        </w:rPr>
      </w:pPr>
      <w:bookmarkStart w:id="7" w:name="AGN_Description"/>
      <w:r>
        <w:rPr>
          <w:rFonts w:ascii="Tahoma" w:hAnsi="Tahoma" w:cs="David" w:hint="cs"/>
          <w:sz w:val="24"/>
          <w:szCs w:val="24"/>
          <w:rtl/>
        </w:rPr>
        <w:t>לפי החשיפה של אתר וואלה חדשות, סטודנטים בדירות שונות במעונות "ברושים" של אוניברסיטת תל אביב גילו בחודש האחרון כי הם נדרשים לשלם על מים תעריף כפול מזה הנדרש מהצרכן הביתי. הסטודנטים במעונות, המנוהלים על ידי חברת "שיכון ובינוי נדל"ן", נדרשו לשלם החודש 14.5 שקלים לקוב מים, בעוד שבטבלת תעריפי המים והביוב לצרכן הביתי עומד התעריף על 7.96 עד 12.82 שקלים לקוב.</w:t>
      </w:r>
      <w:r>
        <w:br/>
      </w:r>
      <w:r>
        <w:rPr>
          <w:rFonts w:ascii="Tahoma" w:hAnsi="Tahoma" w:cs="David" w:hint="cs"/>
          <w:sz w:val="24"/>
          <w:szCs w:val="24"/>
          <w:rtl/>
        </w:rPr>
        <w:t>לאור חומרת העניין ודחיפותו אבקש לקיים דיון מהיר בנושא בוועדת הפנים.</w:t>
      </w:r>
      <w:r>
        <w:br/>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 הכנסת</w:t>
      </w:r>
      <w:bookmarkEnd w:id="8"/>
      <w:r>
        <w:rPr>
          <w:rFonts w:cs="David" w:hint="cs"/>
          <w:sz w:val="24"/>
          <w:szCs w:val="24"/>
          <w:rtl/>
        </w:rPr>
        <w:t xml:space="preserve"> </w:t>
      </w:r>
      <w:bookmarkStart w:id="9" w:name="PM_Name"/>
      <w:r>
        <w:rPr>
          <w:rFonts w:cs="David" w:hint="cs"/>
          <w:sz w:val="24"/>
          <w:szCs w:val="24"/>
          <w:rtl/>
        </w:rPr>
        <w:t>אוסאמה סעדי</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0E1CCC"/>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BE5969F5-1A72-4994-9D83-E732F800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E535D-FFC9-46DF-B253-CE37EDD83C24}"/>
</file>

<file path=customXml/itemProps2.xml><?xml version="1.0" encoding="utf-8"?>
<ds:datastoreItem xmlns:ds="http://schemas.openxmlformats.org/officeDocument/2006/customXml" ds:itemID="{BFEC8521-98FC-42CF-BCCF-FB1B5CF1A56D}"/>
</file>

<file path=customXml/itemProps3.xml><?xml version="1.0" encoding="utf-8"?>
<ds:datastoreItem xmlns:ds="http://schemas.openxmlformats.org/officeDocument/2006/customXml" ds:itemID="{8A1F6F45-C753-4B37-AEC2-39D40EEC47E7}"/>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599</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576633</vt:r8>
  </property>
</Properties>
</file>