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A3" w:rsidRPr="005C277C" w:rsidRDefault="00981BA3" w:rsidP="00981BA3">
      <w:pPr>
        <w:pStyle w:val="HeadHatzaotHok"/>
        <w:spacing w:before="0" w:line="240" w:lineRule="auto"/>
        <w:jc w:val="both"/>
        <w:rPr>
          <w:b w:val="0"/>
          <w:bCs w:val="0"/>
          <w:sz w:val="24"/>
          <w:szCs w:val="24"/>
          <w:rtl/>
        </w:rPr>
      </w:pPr>
      <w:bookmarkStart w:id="0" w:name="_GoBack"/>
      <w:bookmarkEnd w:id="0"/>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rFonts w:hint="cs"/>
          <w:b w:val="0"/>
          <w:bCs w:val="0"/>
          <w:sz w:val="24"/>
          <w:szCs w:val="24"/>
          <w:rtl/>
        </w:rPr>
        <w:t xml:space="preserve">י"א באב </w:t>
      </w:r>
      <w:proofErr w:type="spellStart"/>
      <w:r w:rsidRPr="005C277C">
        <w:rPr>
          <w:rFonts w:hint="cs"/>
          <w:b w:val="0"/>
          <w:bCs w:val="0"/>
          <w:sz w:val="24"/>
          <w:szCs w:val="24"/>
          <w:rtl/>
        </w:rPr>
        <w:t>התשע"ה</w:t>
      </w:r>
      <w:proofErr w:type="spellEnd"/>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b w:val="0"/>
          <w:bCs w:val="0"/>
          <w:sz w:val="24"/>
          <w:szCs w:val="24"/>
          <w:rtl/>
        </w:rPr>
        <w:tab/>
      </w:r>
      <w:r w:rsidRPr="005C277C">
        <w:rPr>
          <w:rFonts w:hint="cs"/>
          <w:b w:val="0"/>
          <w:bCs w:val="0"/>
          <w:sz w:val="24"/>
          <w:szCs w:val="24"/>
          <w:rtl/>
        </w:rPr>
        <w:t>27         ביולי       2015</w:t>
      </w:r>
    </w:p>
    <w:p w:rsidR="00981BA3" w:rsidRPr="005C277C" w:rsidRDefault="00981BA3" w:rsidP="00981BA3">
      <w:pPr>
        <w:pStyle w:val="HeadHatzaotHok"/>
        <w:spacing w:before="0" w:line="240" w:lineRule="auto"/>
        <w:jc w:val="both"/>
        <w:rPr>
          <w:b w:val="0"/>
          <w:bCs w:val="0"/>
          <w:sz w:val="24"/>
          <w:szCs w:val="24"/>
          <w:rtl/>
        </w:rPr>
      </w:pPr>
      <w:r w:rsidRPr="005C277C">
        <w:rPr>
          <w:rFonts w:hint="cs"/>
          <w:b w:val="0"/>
          <w:bCs w:val="0"/>
          <w:sz w:val="24"/>
          <w:szCs w:val="24"/>
          <w:rtl/>
        </w:rPr>
        <w:t>אל: חברי ועדת החוקה, חוק ומשפט</w:t>
      </w:r>
    </w:p>
    <w:p w:rsidR="00981BA3" w:rsidRPr="005C277C" w:rsidRDefault="00981BA3" w:rsidP="00981BA3">
      <w:pPr>
        <w:pStyle w:val="HeadHatzaotHok"/>
        <w:spacing w:before="0" w:line="240" w:lineRule="auto"/>
        <w:jc w:val="both"/>
        <w:rPr>
          <w:b w:val="0"/>
          <w:bCs w:val="0"/>
          <w:sz w:val="24"/>
          <w:szCs w:val="24"/>
          <w:rtl/>
        </w:rPr>
      </w:pPr>
      <w:r w:rsidRPr="005C277C">
        <w:rPr>
          <w:rFonts w:hint="cs"/>
          <w:b w:val="0"/>
          <w:bCs w:val="0"/>
          <w:sz w:val="24"/>
          <w:szCs w:val="24"/>
          <w:rtl/>
        </w:rPr>
        <w:t>מאת: הייעוץ המשפטי לוועדה</w:t>
      </w:r>
    </w:p>
    <w:p w:rsidR="00981BA3" w:rsidRPr="005C277C" w:rsidRDefault="00981BA3" w:rsidP="00981BA3">
      <w:pPr>
        <w:pStyle w:val="HeadHatzaotHok"/>
        <w:spacing w:before="0" w:line="240" w:lineRule="auto"/>
        <w:jc w:val="both"/>
        <w:rPr>
          <w:b w:val="0"/>
          <w:bCs w:val="0"/>
          <w:sz w:val="24"/>
          <w:szCs w:val="24"/>
          <w:rtl/>
        </w:rPr>
      </w:pPr>
    </w:p>
    <w:p w:rsidR="00981BA3" w:rsidRPr="005C277C" w:rsidRDefault="00981BA3" w:rsidP="00981BA3">
      <w:pPr>
        <w:pStyle w:val="HeadHatzaotHok"/>
        <w:rPr>
          <w:b w:val="0"/>
          <w:bCs w:val="0"/>
          <w:sz w:val="24"/>
          <w:szCs w:val="24"/>
          <w:u w:val="single"/>
          <w:rtl/>
        </w:rPr>
      </w:pPr>
      <w:r w:rsidRPr="005C277C">
        <w:rPr>
          <w:rFonts w:hint="cs"/>
          <w:sz w:val="24"/>
          <w:szCs w:val="24"/>
          <w:u w:val="single"/>
          <w:rtl/>
        </w:rPr>
        <w:t xml:space="preserve">מסמך רקע לקראת דיון הוועדה בנושא הצעת חוק הסיוע המשפטי (תיקון מס' 14) (סיוע משפטי לנפגעי עבירות מין בהליכים לפי חוק מגבלות על חזרתו של עבריין מין לסביבת נפגע העבירה), </w:t>
      </w:r>
      <w:proofErr w:type="spellStart"/>
      <w:r w:rsidRPr="005C277C">
        <w:rPr>
          <w:rFonts w:hint="cs"/>
          <w:sz w:val="24"/>
          <w:szCs w:val="24"/>
          <w:u w:val="single"/>
          <w:rtl/>
        </w:rPr>
        <w:t>התשע"ה</w:t>
      </w:r>
      <w:proofErr w:type="spellEnd"/>
      <w:r w:rsidRPr="005C277C">
        <w:rPr>
          <w:rFonts w:hint="cs"/>
          <w:sz w:val="24"/>
          <w:szCs w:val="24"/>
          <w:u w:val="single"/>
          <w:rtl/>
        </w:rPr>
        <w:t>- 2015</w:t>
      </w:r>
      <w:r w:rsidRPr="005C277C">
        <w:rPr>
          <w:rFonts w:hint="cs"/>
          <w:b w:val="0"/>
          <w:bCs w:val="0"/>
          <w:sz w:val="24"/>
          <w:szCs w:val="24"/>
          <w:u w:val="single"/>
          <w:rtl/>
        </w:rPr>
        <w:t xml:space="preserve"> </w:t>
      </w:r>
    </w:p>
    <w:p w:rsidR="00981BA3" w:rsidRPr="005C277C" w:rsidRDefault="00981BA3" w:rsidP="005C277C">
      <w:pPr>
        <w:pStyle w:val="HeadHatzaotHok"/>
        <w:spacing w:before="120" w:after="120"/>
        <w:jc w:val="both"/>
        <w:rPr>
          <w:sz w:val="24"/>
          <w:szCs w:val="24"/>
          <w:rtl/>
        </w:rPr>
      </w:pPr>
      <w:r w:rsidRPr="005C277C">
        <w:rPr>
          <w:rFonts w:hint="cs"/>
          <w:sz w:val="24"/>
          <w:szCs w:val="24"/>
          <w:rtl/>
        </w:rPr>
        <w:t>רקע</w:t>
      </w:r>
    </w:p>
    <w:p w:rsidR="00981BA3" w:rsidRPr="005C277C" w:rsidRDefault="00981BA3" w:rsidP="00F717F6">
      <w:pPr>
        <w:spacing w:before="120" w:after="120" w:line="360" w:lineRule="auto"/>
        <w:jc w:val="both"/>
        <w:rPr>
          <w:rFonts w:cs="David"/>
          <w:sz w:val="24"/>
          <w:szCs w:val="24"/>
          <w:rtl/>
        </w:rPr>
      </w:pPr>
      <w:r w:rsidRPr="008F1E61">
        <w:rPr>
          <w:rFonts w:cs="David" w:hint="cs"/>
          <w:sz w:val="24"/>
          <w:szCs w:val="24"/>
          <w:u w:val="single"/>
          <w:rtl/>
        </w:rPr>
        <w:t>חוק מגבלות על חזרתו של עבריין מין לסביבת נפגע העבירה</w:t>
      </w:r>
      <w:r w:rsidR="00B23E55" w:rsidRPr="008F1E61">
        <w:rPr>
          <w:rFonts w:cs="David" w:hint="cs"/>
          <w:sz w:val="24"/>
          <w:szCs w:val="24"/>
          <w:u w:val="single"/>
          <w:rtl/>
        </w:rPr>
        <w:t xml:space="preserve">, </w:t>
      </w:r>
      <w:proofErr w:type="spellStart"/>
      <w:r w:rsidR="00B23E55" w:rsidRPr="008F1E61">
        <w:rPr>
          <w:rFonts w:cs="David" w:hint="cs"/>
          <w:sz w:val="24"/>
          <w:szCs w:val="24"/>
          <w:u w:val="single"/>
          <w:rtl/>
        </w:rPr>
        <w:t>התשס"ה</w:t>
      </w:r>
      <w:proofErr w:type="spellEnd"/>
      <w:r w:rsidR="00F717F6" w:rsidRPr="008F1E61">
        <w:rPr>
          <w:rFonts w:cs="David" w:hint="eastAsia"/>
          <w:sz w:val="24"/>
          <w:szCs w:val="24"/>
          <w:u w:val="single"/>
          <w:rtl/>
        </w:rPr>
        <w:t>–</w:t>
      </w:r>
      <w:r w:rsidR="00B23E55" w:rsidRPr="008F1E61">
        <w:rPr>
          <w:rFonts w:cs="David" w:hint="cs"/>
          <w:sz w:val="24"/>
          <w:szCs w:val="24"/>
          <w:u w:val="single"/>
          <w:rtl/>
        </w:rPr>
        <w:t>2004</w:t>
      </w:r>
      <w:r w:rsidR="006066CE" w:rsidRPr="008F1E61">
        <w:rPr>
          <w:rFonts w:cs="David" w:hint="cs"/>
          <w:sz w:val="24"/>
          <w:szCs w:val="24"/>
          <w:u w:val="single"/>
          <w:rtl/>
        </w:rPr>
        <w:t xml:space="preserve"> (</w:t>
      </w:r>
      <w:r w:rsidR="006066CE" w:rsidRPr="00DC2ACC">
        <w:rPr>
          <w:rFonts w:cs="David" w:hint="cs"/>
          <w:sz w:val="24"/>
          <w:szCs w:val="24"/>
          <w:rtl/>
        </w:rPr>
        <w:t xml:space="preserve">להלן </w:t>
      </w:r>
      <w:r w:rsidR="006066CE" w:rsidRPr="00DC2ACC">
        <w:rPr>
          <w:rFonts w:cs="David"/>
          <w:sz w:val="24"/>
          <w:szCs w:val="24"/>
          <w:rtl/>
        </w:rPr>
        <w:t>–</w:t>
      </w:r>
      <w:r w:rsidR="006066CE" w:rsidRPr="00DC2ACC">
        <w:rPr>
          <w:rFonts w:cs="David" w:hint="cs"/>
          <w:sz w:val="24"/>
          <w:szCs w:val="24"/>
          <w:rtl/>
        </w:rPr>
        <w:t xml:space="preserve"> </w:t>
      </w:r>
      <w:r w:rsidR="00157127">
        <w:rPr>
          <w:rFonts w:cs="David" w:hint="cs"/>
          <w:sz w:val="24"/>
          <w:szCs w:val="24"/>
          <w:rtl/>
        </w:rPr>
        <w:t xml:space="preserve">החוק או </w:t>
      </w:r>
      <w:r w:rsidR="006066CE" w:rsidRPr="00DC2ACC">
        <w:rPr>
          <w:rFonts w:cs="David" w:hint="cs"/>
          <w:sz w:val="24"/>
          <w:szCs w:val="24"/>
          <w:rtl/>
        </w:rPr>
        <w:t xml:space="preserve">חוק </w:t>
      </w:r>
      <w:r w:rsidR="00157127">
        <w:rPr>
          <w:rFonts w:cs="David" w:hint="cs"/>
          <w:sz w:val="24"/>
          <w:szCs w:val="24"/>
          <w:rtl/>
        </w:rPr>
        <w:t>ה</w:t>
      </w:r>
      <w:r w:rsidR="006066CE" w:rsidRPr="00DC2ACC">
        <w:rPr>
          <w:rFonts w:cs="David" w:hint="cs"/>
          <w:sz w:val="24"/>
          <w:szCs w:val="24"/>
          <w:rtl/>
        </w:rPr>
        <w:t xml:space="preserve">מגבלות </w:t>
      </w:r>
      <w:r w:rsidR="00DC2ACC" w:rsidRPr="00DC2ACC">
        <w:rPr>
          <w:rFonts w:cs="David" w:hint="cs"/>
          <w:sz w:val="24"/>
          <w:szCs w:val="24"/>
          <w:rtl/>
        </w:rPr>
        <w:t xml:space="preserve">על חזרתו של </w:t>
      </w:r>
      <w:r w:rsidR="006066CE" w:rsidRPr="00DC2ACC">
        <w:rPr>
          <w:rFonts w:cs="David" w:hint="cs"/>
          <w:sz w:val="24"/>
          <w:szCs w:val="24"/>
          <w:rtl/>
        </w:rPr>
        <w:t>עבריין</w:t>
      </w:r>
      <w:r w:rsidR="00DC2ACC" w:rsidRPr="00DC2ACC">
        <w:rPr>
          <w:rFonts w:cs="David" w:hint="cs"/>
          <w:sz w:val="24"/>
          <w:szCs w:val="24"/>
          <w:rtl/>
        </w:rPr>
        <w:t xml:space="preserve"> המין</w:t>
      </w:r>
      <w:r w:rsidR="006066CE" w:rsidRPr="00DC2ACC">
        <w:rPr>
          <w:rFonts w:cs="David" w:hint="cs"/>
          <w:sz w:val="24"/>
          <w:szCs w:val="24"/>
          <w:rtl/>
        </w:rPr>
        <w:t>)</w:t>
      </w:r>
      <w:r w:rsidR="00B23E55" w:rsidRPr="00DC2ACC">
        <w:rPr>
          <w:rFonts w:cs="David" w:hint="cs"/>
          <w:sz w:val="24"/>
          <w:szCs w:val="24"/>
          <w:rtl/>
        </w:rPr>
        <w:t xml:space="preserve">, </w:t>
      </w:r>
      <w:r w:rsidR="00BD4666" w:rsidRPr="00DC2ACC">
        <w:rPr>
          <w:rFonts w:cs="David" w:hint="cs"/>
          <w:sz w:val="24"/>
          <w:szCs w:val="24"/>
          <w:rtl/>
        </w:rPr>
        <w:t xml:space="preserve">נועד, כפי שנקבע בסעיף </w:t>
      </w:r>
      <w:r w:rsidR="005C277C" w:rsidRPr="00DC2ACC">
        <w:rPr>
          <w:rFonts w:cs="David" w:hint="cs"/>
          <w:sz w:val="24"/>
          <w:szCs w:val="24"/>
          <w:rtl/>
        </w:rPr>
        <w:t>המטרה</w:t>
      </w:r>
      <w:r w:rsidR="00BD4666" w:rsidRPr="00DC2ACC">
        <w:rPr>
          <w:rFonts w:cs="David" w:hint="cs"/>
          <w:sz w:val="24"/>
          <w:szCs w:val="24"/>
          <w:rtl/>
        </w:rPr>
        <w:t>, להגן על נפגע</w:t>
      </w:r>
      <w:r w:rsidR="00BD4666" w:rsidRPr="005C277C">
        <w:rPr>
          <w:rFonts w:cs="David" w:hint="cs"/>
          <w:sz w:val="24"/>
          <w:szCs w:val="24"/>
          <w:rtl/>
        </w:rPr>
        <w:t xml:space="preserve"> עבירת מין ולמנוע נזק נוסף שעלול להיגרם לו מהית</w:t>
      </w:r>
      <w:r w:rsidR="005C277C">
        <w:rPr>
          <w:rFonts w:cs="David" w:hint="cs"/>
          <w:sz w:val="24"/>
          <w:szCs w:val="24"/>
          <w:rtl/>
        </w:rPr>
        <w:t xml:space="preserve">קלות תדירה בעבריין המין שפגע בו. </w:t>
      </w:r>
    </w:p>
    <w:p w:rsidR="00981BA3" w:rsidRPr="005C277C" w:rsidRDefault="00BD4666" w:rsidP="000B2DC0">
      <w:pPr>
        <w:spacing w:before="120" w:after="120" w:line="360" w:lineRule="auto"/>
        <w:jc w:val="both"/>
        <w:rPr>
          <w:rFonts w:cs="David"/>
          <w:sz w:val="24"/>
          <w:szCs w:val="24"/>
          <w:rtl/>
        </w:rPr>
      </w:pPr>
      <w:r w:rsidRPr="005C277C">
        <w:rPr>
          <w:rFonts w:cs="David" w:hint="cs"/>
          <w:sz w:val="24"/>
          <w:szCs w:val="24"/>
          <w:rtl/>
        </w:rPr>
        <w:t>לשם הגנה על הנפגע כאמור, רשאי בית המשפט להט</w:t>
      </w:r>
      <w:r w:rsidR="005C277C">
        <w:rPr>
          <w:rFonts w:cs="David" w:hint="cs"/>
          <w:sz w:val="24"/>
          <w:szCs w:val="24"/>
          <w:rtl/>
        </w:rPr>
        <w:t>י</w:t>
      </w:r>
      <w:r w:rsidRPr="005C277C">
        <w:rPr>
          <w:rFonts w:cs="David" w:hint="cs"/>
          <w:sz w:val="24"/>
          <w:szCs w:val="24"/>
          <w:rtl/>
        </w:rPr>
        <w:t xml:space="preserve">ל על עבריין </w:t>
      </w:r>
      <w:r w:rsidR="00DC2ACC">
        <w:rPr>
          <w:rFonts w:cs="David" w:hint="cs"/>
          <w:sz w:val="24"/>
          <w:szCs w:val="24"/>
          <w:rtl/>
        </w:rPr>
        <w:t>מין מגבלות על מגורים או על עבוד</w:t>
      </w:r>
      <w:r w:rsidRPr="005C277C">
        <w:rPr>
          <w:rFonts w:cs="David" w:hint="cs"/>
          <w:sz w:val="24"/>
          <w:szCs w:val="24"/>
          <w:rtl/>
        </w:rPr>
        <w:t xml:space="preserve">ה בקרבת מקום המגורים או </w:t>
      </w:r>
      <w:r w:rsidR="002C3EAF">
        <w:rPr>
          <w:rFonts w:cs="David" w:hint="cs"/>
          <w:sz w:val="24"/>
          <w:szCs w:val="24"/>
          <w:rtl/>
        </w:rPr>
        <w:t>העבודה של נפגע</w:t>
      </w:r>
      <w:r w:rsidRPr="005C277C">
        <w:rPr>
          <w:rFonts w:cs="David" w:hint="cs"/>
          <w:sz w:val="24"/>
          <w:szCs w:val="24"/>
          <w:rtl/>
        </w:rPr>
        <w:t xml:space="preserve"> הע</w:t>
      </w:r>
      <w:r w:rsidR="005C277C">
        <w:rPr>
          <w:rFonts w:cs="David" w:hint="cs"/>
          <w:sz w:val="24"/>
          <w:szCs w:val="24"/>
          <w:rtl/>
        </w:rPr>
        <w:t>ב</w:t>
      </w:r>
      <w:r w:rsidRPr="005C277C">
        <w:rPr>
          <w:rFonts w:cs="David" w:hint="cs"/>
          <w:sz w:val="24"/>
          <w:szCs w:val="24"/>
          <w:rtl/>
        </w:rPr>
        <w:t>ירה</w:t>
      </w:r>
      <w:r w:rsidR="006066CE">
        <w:rPr>
          <w:rFonts w:cs="David" w:hint="cs"/>
          <w:sz w:val="24"/>
          <w:szCs w:val="24"/>
          <w:rtl/>
        </w:rPr>
        <w:t xml:space="preserve">. בית המשפט </w:t>
      </w:r>
      <w:r w:rsidR="00DC2ACC">
        <w:rPr>
          <w:rFonts w:cs="David" w:hint="cs"/>
          <w:sz w:val="24"/>
          <w:szCs w:val="24"/>
          <w:rtl/>
        </w:rPr>
        <w:t>רשאי להטיל מגב</w:t>
      </w:r>
      <w:r w:rsidR="006066CE">
        <w:rPr>
          <w:rFonts w:cs="David" w:hint="cs"/>
          <w:sz w:val="24"/>
          <w:szCs w:val="24"/>
          <w:rtl/>
        </w:rPr>
        <w:t>לות כאמור</w:t>
      </w:r>
      <w:r w:rsidRPr="005C277C">
        <w:rPr>
          <w:rFonts w:cs="David" w:hint="cs"/>
          <w:sz w:val="24"/>
          <w:szCs w:val="24"/>
          <w:rtl/>
        </w:rPr>
        <w:t>, אם שוכנע שלנפגע העבירה עלול להיגרם נזק נפשי של ממש אם עבריין המין יתגורר או יעבוד בק</w:t>
      </w:r>
      <w:r w:rsidR="006066CE">
        <w:rPr>
          <w:rFonts w:cs="David" w:hint="cs"/>
          <w:sz w:val="24"/>
          <w:szCs w:val="24"/>
          <w:rtl/>
        </w:rPr>
        <w:t xml:space="preserve">רבת מגוריו או מקום עבודתו. ניתן להטיל את המגבלות לתקופה שלא תעלה על לשלוש שנים ולהאריך את התקופה בתקופות נוספות שלא יעלו על שלוש שנים כל פעם. </w:t>
      </w:r>
      <w:r w:rsidRPr="005C277C">
        <w:rPr>
          <w:rFonts w:cs="David" w:hint="cs"/>
          <w:sz w:val="24"/>
          <w:szCs w:val="24"/>
          <w:rtl/>
        </w:rPr>
        <w:t xml:space="preserve">על בית המשפט לשקול לעניין זה גם את הפגיעה שתיגרם לעבריין המין בשל הטלת המגבלות. </w:t>
      </w:r>
    </w:p>
    <w:p w:rsidR="00BD4666" w:rsidRPr="005C277C" w:rsidRDefault="00157127" w:rsidP="00157127">
      <w:pPr>
        <w:spacing w:before="120" w:after="120" w:line="360" w:lineRule="auto"/>
        <w:jc w:val="both"/>
        <w:rPr>
          <w:rFonts w:cs="David"/>
          <w:sz w:val="24"/>
          <w:szCs w:val="24"/>
          <w:rtl/>
        </w:rPr>
      </w:pPr>
      <w:r>
        <w:rPr>
          <w:rFonts w:cs="David" w:hint="cs"/>
          <w:sz w:val="24"/>
          <w:szCs w:val="24"/>
          <w:rtl/>
        </w:rPr>
        <w:t xml:space="preserve">בהתאם לסעיף 3 לחוק, </w:t>
      </w:r>
      <w:r w:rsidR="00DC2ACC">
        <w:rPr>
          <w:rFonts w:cs="David" w:hint="cs"/>
          <w:sz w:val="24"/>
          <w:szCs w:val="24"/>
          <w:rtl/>
        </w:rPr>
        <w:t xml:space="preserve">הבקשה תידון </w:t>
      </w:r>
      <w:r w:rsidR="00BD4666" w:rsidRPr="005C277C">
        <w:rPr>
          <w:rFonts w:cs="David" w:hint="cs"/>
          <w:sz w:val="24"/>
          <w:szCs w:val="24"/>
          <w:rtl/>
        </w:rPr>
        <w:t>מיד לאחר מתן גזר הדין, ואם העבריין נידון לעונש מאסר בפועל, לפני שחרורו ממאסר</w:t>
      </w:r>
      <w:r w:rsidR="005C277C">
        <w:rPr>
          <w:rFonts w:cs="David" w:hint="cs"/>
          <w:sz w:val="24"/>
          <w:szCs w:val="24"/>
          <w:rtl/>
        </w:rPr>
        <w:t xml:space="preserve"> </w:t>
      </w:r>
      <w:r w:rsidR="00DC2ACC">
        <w:rPr>
          <w:rFonts w:cs="David" w:hint="cs"/>
          <w:sz w:val="24"/>
          <w:szCs w:val="24"/>
          <w:rtl/>
        </w:rPr>
        <w:t xml:space="preserve">או לפני סיום צו פיקוח </w:t>
      </w:r>
      <w:r>
        <w:rPr>
          <w:rFonts w:cs="David" w:hint="cs"/>
          <w:sz w:val="24"/>
          <w:szCs w:val="24"/>
          <w:rtl/>
        </w:rPr>
        <w:t xml:space="preserve">שהוטל עליו </w:t>
      </w:r>
      <w:r w:rsidR="00DC2ACC" w:rsidRPr="005C277C">
        <w:rPr>
          <w:rFonts w:cs="David" w:hint="cs"/>
          <w:sz w:val="24"/>
          <w:szCs w:val="24"/>
          <w:rtl/>
        </w:rPr>
        <w:t>לפי חוק הגנה על הציבור מפני ביצוע עבירות מין, התשס"ו-2006,</w:t>
      </w:r>
      <w:r w:rsidR="00DC2ACC">
        <w:rPr>
          <w:rFonts w:cs="David" w:hint="cs"/>
          <w:sz w:val="24"/>
          <w:szCs w:val="24"/>
          <w:rtl/>
        </w:rPr>
        <w:t xml:space="preserve"> </w:t>
      </w:r>
      <w:r w:rsidR="005C277C">
        <w:rPr>
          <w:rFonts w:cs="David" w:hint="cs"/>
          <w:sz w:val="24"/>
          <w:szCs w:val="24"/>
          <w:rtl/>
        </w:rPr>
        <w:t>או עד תום שלושה חודשים ממועד זה</w:t>
      </w:r>
      <w:r>
        <w:rPr>
          <w:rFonts w:cs="David" w:hint="cs"/>
          <w:sz w:val="24"/>
          <w:szCs w:val="24"/>
          <w:rtl/>
        </w:rPr>
        <w:t>.</w:t>
      </w:r>
      <w:r w:rsidR="005C277C">
        <w:rPr>
          <w:rFonts w:cs="David" w:hint="cs"/>
          <w:sz w:val="24"/>
          <w:szCs w:val="24"/>
          <w:rtl/>
        </w:rPr>
        <w:t xml:space="preserve"> </w:t>
      </w:r>
      <w:r w:rsidR="00DC2ACC">
        <w:rPr>
          <w:rFonts w:cs="David" w:hint="cs"/>
          <w:sz w:val="24"/>
          <w:szCs w:val="24"/>
          <w:rtl/>
        </w:rPr>
        <w:t>כלומר</w:t>
      </w:r>
      <w:r w:rsidR="006066CE">
        <w:rPr>
          <w:rFonts w:cs="David" w:hint="cs"/>
          <w:sz w:val="24"/>
          <w:szCs w:val="24"/>
          <w:rtl/>
        </w:rPr>
        <w:t xml:space="preserve">, לא ניתן להגיש בקשה במועד מאוחר יותר, גם אם הנפגע לא ידע על כך במועד. </w:t>
      </w:r>
    </w:p>
    <w:p w:rsidR="006066CE" w:rsidRPr="005C277C" w:rsidRDefault="00157127" w:rsidP="00CB0A43">
      <w:pPr>
        <w:spacing w:before="120" w:after="120" w:line="360" w:lineRule="auto"/>
        <w:jc w:val="both"/>
        <w:rPr>
          <w:rFonts w:cs="David"/>
          <w:sz w:val="24"/>
          <w:szCs w:val="24"/>
          <w:rtl/>
        </w:rPr>
      </w:pPr>
      <w:r>
        <w:rPr>
          <w:rFonts w:cs="David" w:hint="cs"/>
          <w:sz w:val="24"/>
          <w:szCs w:val="24"/>
          <w:rtl/>
        </w:rPr>
        <w:t>לפי סעיף</w:t>
      </w:r>
      <w:r w:rsidR="00CB0A43">
        <w:rPr>
          <w:rFonts w:cs="David" w:hint="cs"/>
          <w:sz w:val="24"/>
          <w:szCs w:val="24"/>
          <w:rtl/>
        </w:rPr>
        <w:t xml:space="preserve"> 4</w:t>
      </w:r>
      <w:r>
        <w:rPr>
          <w:rFonts w:cs="David" w:hint="cs"/>
          <w:sz w:val="24"/>
          <w:szCs w:val="24"/>
          <w:rtl/>
        </w:rPr>
        <w:t xml:space="preserve"> לחוק, </w:t>
      </w:r>
      <w:r w:rsidR="006066CE" w:rsidRPr="005C277C">
        <w:rPr>
          <w:rFonts w:cs="David" w:hint="cs"/>
          <w:sz w:val="24"/>
          <w:szCs w:val="24"/>
          <w:rtl/>
        </w:rPr>
        <w:t xml:space="preserve">בית המשפט רשאי למנות מומחה מטעמו שיחווה דעתו על מצבו של נפגע העבירה </w:t>
      </w:r>
      <w:r w:rsidR="006066CE">
        <w:rPr>
          <w:rFonts w:cs="David" w:hint="cs"/>
          <w:sz w:val="24"/>
          <w:szCs w:val="24"/>
          <w:rtl/>
        </w:rPr>
        <w:t>תוך התייחסות ל</w:t>
      </w:r>
      <w:r w:rsidR="006066CE" w:rsidRPr="005C277C">
        <w:rPr>
          <w:rFonts w:cs="David" w:hint="cs"/>
          <w:sz w:val="24"/>
          <w:szCs w:val="24"/>
          <w:rtl/>
        </w:rPr>
        <w:t xml:space="preserve">נזק שעלול להיגרם </w:t>
      </w:r>
      <w:r>
        <w:rPr>
          <w:rFonts w:cs="David" w:hint="cs"/>
          <w:sz w:val="24"/>
          <w:szCs w:val="24"/>
          <w:rtl/>
        </w:rPr>
        <w:t xml:space="preserve">לו </w:t>
      </w:r>
      <w:r w:rsidR="006066CE" w:rsidRPr="005C277C">
        <w:rPr>
          <w:rFonts w:cs="David" w:hint="cs"/>
          <w:sz w:val="24"/>
          <w:szCs w:val="24"/>
          <w:rtl/>
        </w:rPr>
        <w:t>כתוצאה ממגורים או עבודה של עבריין המין בקרב</w:t>
      </w:r>
      <w:r>
        <w:rPr>
          <w:rFonts w:cs="David" w:hint="cs"/>
          <w:sz w:val="24"/>
          <w:szCs w:val="24"/>
          <w:rtl/>
        </w:rPr>
        <w:t>תו</w:t>
      </w:r>
      <w:r w:rsidR="006066CE" w:rsidRPr="005C277C">
        <w:rPr>
          <w:rFonts w:cs="David" w:hint="cs"/>
          <w:sz w:val="24"/>
          <w:szCs w:val="24"/>
          <w:rtl/>
        </w:rPr>
        <w:t>.</w:t>
      </w:r>
    </w:p>
    <w:p w:rsidR="00F717F6" w:rsidRPr="00F717F6" w:rsidRDefault="00CB0A43" w:rsidP="00CB0A43">
      <w:pPr>
        <w:spacing w:before="120" w:after="120" w:line="360" w:lineRule="auto"/>
        <w:jc w:val="both"/>
        <w:rPr>
          <w:rFonts w:cs="David"/>
          <w:sz w:val="24"/>
          <w:szCs w:val="24"/>
          <w:rtl/>
        </w:rPr>
      </w:pPr>
      <w:r>
        <w:rPr>
          <w:rFonts w:cs="David" w:hint="cs"/>
          <w:sz w:val="24"/>
          <w:szCs w:val="24"/>
          <w:rtl/>
        </w:rPr>
        <w:t>עוד קובע סעיף 3 לחוק</w:t>
      </w:r>
      <w:r w:rsidR="00EF567E">
        <w:rPr>
          <w:rFonts w:cs="David" w:hint="cs"/>
          <w:sz w:val="24"/>
          <w:szCs w:val="24"/>
          <w:rtl/>
        </w:rPr>
        <w:t>,</w:t>
      </w:r>
      <w:r>
        <w:rPr>
          <w:rFonts w:cs="David" w:hint="cs"/>
          <w:sz w:val="24"/>
          <w:szCs w:val="24"/>
          <w:rtl/>
        </w:rPr>
        <w:t xml:space="preserve"> כי </w:t>
      </w:r>
      <w:r w:rsidR="006066CE">
        <w:rPr>
          <w:rFonts w:cs="David" w:hint="cs"/>
          <w:sz w:val="24"/>
          <w:szCs w:val="24"/>
          <w:rtl/>
        </w:rPr>
        <w:t xml:space="preserve">בקשה כאמור יכול להגיש נפגע </w:t>
      </w:r>
      <w:r w:rsidR="006066CE" w:rsidRPr="005C277C">
        <w:rPr>
          <w:rFonts w:cs="David" w:hint="cs"/>
          <w:sz w:val="24"/>
          <w:szCs w:val="24"/>
          <w:rtl/>
        </w:rPr>
        <w:t>עבירה או א</w:t>
      </w:r>
      <w:r w:rsidR="006066CE">
        <w:rPr>
          <w:rFonts w:cs="David" w:hint="cs"/>
          <w:sz w:val="24"/>
          <w:szCs w:val="24"/>
          <w:rtl/>
        </w:rPr>
        <w:t>דם מטעמו, היועץ המשפטי לממשלה, ת</w:t>
      </w:r>
      <w:r w:rsidR="006066CE" w:rsidRPr="005C277C">
        <w:rPr>
          <w:rFonts w:cs="David" w:hint="cs"/>
          <w:sz w:val="24"/>
          <w:szCs w:val="24"/>
          <w:rtl/>
        </w:rPr>
        <w:t xml:space="preserve">ובע משטרתי או צבאי ועובד סוציאלי לפי חוק. </w:t>
      </w:r>
      <w:r>
        <w:rPr>
          <w:rFonts w:cs="David" w:hint="cs"/>
          <w:sz w:val="24"/>
          <w:szCs w:val="24"/>
          <w:rtl/>
        </w:rPr>
        <w:t xml:space="preserve">ואולם, </w:t>
      </w:r>
      <w:r w:rsidR="006066CE" w:rsidRPr="00F717F6">
        <w:rPr>
          <w:rFonts w:cs="David" w:hint="cs"/>
          <w:sz w:val="24"/>
          <w:szCs w:val="24"/>
          <w:rtl/>
        </w:rPr>
        <w:t>הלכה למעשה, הבקשות מוגשות על ידי נפגע העבירה או מטעמו ולא על ידי רשויות המדינה- פרקליטות או רווחה</w:t>
      </w:r>
      <w:r w:rsidR="00F717F6" w:rsidRPr="00F717F6">
        <w:rPr>
          <w:rFonts w:cs="David" w:hint="cs"/>
          <w:sz w:val="24"/>
          <w:szCs w:val="24"/>
          <w:rtl/>
        </w:rPr>
        <w:t>.</w:t>
      </w:r>
    </w:p>
    <w:p w:rsidR="00381E81" w:rsidRPr="005C277C" w:rsidRDefault="006066CE" w:rsidP="00CB0A43">
      <w:pPr>
        <w:spacing w:before="120" w:after="120" w:line="360" w:lineRule="auto"/>
        <w:jc w:val="both"/>
        <w:rPr>
          <w:rFonts w:cs="David"/>
          <w:sz w:val="24"/>
          <w:szCs w:val="24"/>
          <w:rtl/>
        </w:rPr>
      </w:pPr>
      <w:r w:rsidRPr="00966BDE">
        <w:rPr>
          <w:rFonts w:cs="David" w:hint="cs"/>
          <w:sz w:val="24"/>
          <w:szCs w:val="24"/>
          <w:rtl/>
        </w:rPr>
        <w:t xml:space="preserve">מדי שנה מוגש מספר </w:t>
      </w:r>
      <w:r w:rsidR="00364114" w:rsidRPr="00966BDE">
        <w:rPr>
          <w:rFonts w:cs="David" w:hint="cs"/>
          <w:sz w:val="24"/>
          <w:szCs w:val="24"/>
          <w:rtl/>
        </w:rPr>
        <w:t xml:space="preserve">נמוך של </w:t>
      </w:r>
      <w:r w:rsidRPr="00966BDE">
        <w:rPr>
          <w:rFonts w:cs="David" w:hint="cs"/>
          <w:sz w:val="24"/>
          <w:szCs w:val="24"/>
          <w:rtl/>
        </w:rPr>
        <w:t xml:space="preserve">בקשות בלבד, יתכן שהדבר נובע ממצבם הנפשי הקשה של </w:t>
      </w:r>
      <w:r w:rsidR="002C3EAF" w:rsidRPr="00966BDE">
        <w:rPr>
          <w:rFonts w:cs="David" w:hint="cs"/>
          <w:sz w:val="24"/>
          <w:szCs w:val="24"/>
          <w:rtl/>
        </w:rPr>
        <w:t>נפגעי עבירות מין אשר מקשה עליהם מאד ליזום ולנהל הליכים נגד הפוגע. זאת</w:t>
      </w:r>
      <w:r w:rsidR="00CB0A43">
        <w:rPr>
          <w:rFonts w:cs="David" w:hint="cs"/>
          <w:sz w:val="24"/>
          <w:szCs w:val="24"/>
          <w:rtl/>
        </w:rPr>
        <w:t>,</w:t>
      </w:r>
      <w:r w:rsidR="002C3EAF" w:rsidRPr="00966BDE">
        <w:rPr>
          <w:rFonts w:cs="David" w:hint="cs"/>
          <w:sz w:val="24"/>
          <w:szCs w:val="24"/>
          <w:rtl/>
        </w:rPr>
        <w:t xml:space="preserve"> בנוסף לקושי </w:t>
      </w:r>
      <w:r w:rsidR="00364114" w:rsidRPr="00966BDE">
        <w:rPr>
          <w:rFonts w:cs="David" w:hint="cs"/>
          <w:sz w:val="24"/>
          <w:szCs w:val="24"/>
          <w:rtl/>
        </w:rPr>
        <w:t>ה</w:t>
      </w:r>
      <w:r w:rsidR="002C3EAF" w:rsidRPr="00966BDE">
        <w:rPr>
          <w:rFonts w:cs="David" w:hint="cs"/>
          <w:sz w:val="24"/>
          <w:szCs w:val="24"/>
          <w:rtl/>
        </w:rPr>
        <w:t>כלכלי</w:t>
      </w:r>
      <w:r w:rsidR="00CB0A43">
        <w:rPr>
          <w:rFonts w:cs="David" w:hint="cs"/>
          <w:sz w:val="24"/>
          <w:szCs w:val="24"/>
          <w:rtl/>
        </w:rPr>
        <w:t xml:space="preserve"> הכרוך בהגשת הבקשה וניהול ההליך</w:t>
      </w:r>
      <w:r w:rsidR="002C3EAF" w:rsidRPr="00966BDE">
        <w:rPr>
          <w:rFonts w:cs="David" w:hint="cs"/>
          <w:sz w:val="24"/>
          <w:szCs w:val="24"/>
          <w:rtl/>
        </w:rPr>
        <w:t>.</w:t>
      </w:r>
    </w:p>
    <w:p w:rsidR="00B23E55" w:rsidRPr="005C277C" w:rsidRDefault="00981BA3" w:rsidP="00157127">
      <w:pPr>
        <w:spacing w:before="120" w:after="120" w:line="360" w:lineRule="auto"/>
        <w:jc w:val="both"/>
        <w:rPr>
          <w:rFonts w:cs="David"/>
          <w:sz w:val="24"/>
          <w:szCs w:val="24"/>
          <w:rtl/>
        </w:rPr>
      </w:pPr>
      <w:r w:rsidRPr="008F1E61">
        <w:rPr>
          <w:rFonts w:cs="David" w:hint="cs"/>
          <w:sz w:val="24"/>
          <w:szCs w:val="24"/>
          <w:u w:val="single"/>
          <w:rtl/>
        </w:rPr>
        <w:t xml:space="preserve">חוק הסיוע המשפטי, </w:t>
      </w:r>
      <w:proofErr w:type="spellStart"/>
      <w:r w:rsidR="00B23E55" w:rsidRPr="008F1E61">
        <w:rPr>
          <w:rFonts w:cs="David" w:hint="cs"/>
          <w:sz w:val="24"/>
          <w:szCs w:val="24"/>
          <w:u w:val="single"/>
          <w:rtl/>
        </w:rPr>
        <w:t>התשל"ב</w:t>
      </w:r>
      <w:proofErr w:type="spellEnd"/>
      <w:r w:rsidR="00F717F6" w:rsidRPr="008F1E61">
        <w:rPr>
          <w:rFonts w:cs="David" w:hint="eastAsia"/>
          <w:sz w:val="24"/>
          <w:szCs w:val="24"/>
          <w:u w:val="single"/>
          <w:rtl/>
        </w:rPr>
        <w:t>–</w:t>
      </w:r>
      <w:r w:rsidR="00B23E55" w:rsidRPr="008F1E61">
        <w:rPr>
          <w:rFonts w:cs="David" w:hint="cs"/>
          <w:sz w:val="24"/>
          <w:szCs w:val="24"/>
          <w:u w:val="single"/>
          <w:rtl/>
        </w:rPr>
        <w:t>1972</w:t>
      </w:r>
      <w:r w:rsidR="00F717F6">
        <w:rPr>
          <w:rFonts w:cs="David" w:hint="cs"/>
          <w:sz w:val="24"/>
          <w:szCs w:val="24"/>
          <w:rtl/>
        </w:rPr>
        <w:t xml:space="preserve"> (להלן </w:t>
      </w:r>
      <w:r w:rsidR="00F717F6">
        <w:rPr>
          <w:rFonts w:cs="David"/>
          <w:sz w:val="24"/>
          <w:szCs w:val="24"/>
          <w:rtl/>
        </w:rPr>
        <w:t>–</w:t>
      </w:r>
      <w:r w:rsidR="00F717F6">
        <w:rPr>
          <w:rFonts w:cs="David" w:hint="cs"/>
          <w:sz w:val="24"/>
          <w:szCs w:val="24"/>
          <w:rtl/>
        </w:rPr>
        <w:t xml:space="preserve"> חוק</w:t>
      </w:r>
      <w:r w:rsidR="00157127">
        <w:rPr>
          <w:rFonts w:cs="David" w:hint="cs"/>
          <w:sz w:val="24"/>
          <w:szCs w:val="24"/>
          <w:rtl/>
        </w:rPr>
        <w:t xml:space="preserve"> הסיוע</w:t>
      </w:r>
      <w:r w:rsidR="00F717F6">
        <w:rPr>
          <w:rFonts w:cs="David" w:hint="cs"/>
          <w:sz w:val="24"/>
          <w:szCs w:val="24"/>
          <w:rtl/>
        </w:rPr>
        <w:t>)</w:t>
      </w:r>
      <w:r w:rsidR="00B23E55" w:rsidRPr="005C277C">
        <w:rPr>
          <w:rFonts w:cs="David" w:hint="cs"/>
          <w:sz w:val="24"/>
          <w:szCs w:val="24"/>
          <w:rtl/>
        </w:rPr>
        <w:t xml:space="preserve">, </w:t>
      </w:r>
      <w:r w:rsidRPr="005C277C">
        <w:rPr>
          <w:rFonts w:cs="David" w:hint="cs"/>
          <w:sz w:val="24"/>
          <w:szCs w:val="24"/>
          <w:rtl/>
        </w:rPr>
        <w:t xml:space="preserve">קובע את ההליכים בהם יהיה זכאי אדם לייצוג על ידי </w:t>
      </w:r>
      <w:r w:rsidR="00D43B8A">
        <w:rPr>
          <w:rFonts w:cs="David" w:hint="cs"/>
          <w:sz w:val="24"/>
          <w:szCs w:val="24"/>
          <w:rtl/>
        </w:rPr>
        <w:t xml:space="preserve">לשכת </w:t>
      </w:r>
      <w:r w:rsidRPr="005C277C">
        <w:rPr>
          <w:rFonts w:cs="David" w:hint="cs"/>
          <w:sz w:val="24"/>
          <w:szCs w:val="24"/>
          <w:rtl/>
        </w:rPr>
        <w:t>הסיוע המשפטי</w:t>
      </w:r>
      <w:r w:rsidR="00B23E55" w:rsidRPr="005C277C">
        <w:rPr>
          <w:rFonts w:cs="David" w:hint="cs"/>
          <w:sz w:val="24"/>
          <w:szCs w:val="24"/>
          <w:rtl/>
        </w:rPr>
        <w:t>.</w:t>
      </w:r>
    </w:p>
    <w:p w:rsidR="006164DE" w:rsidRPr="005C277C" w:rsidRDefault="00B23E55" w:rsidP="00F717F6">
      <w:pPr>
        <w:spacing w:before="120" w:after="120" w:line="360" w:lineRule="auto"/>
        <w:jc w:val="both"/>
        <w:rPr>
          <w:rFonts w:cs="David"/>
          <w:sz w:val="24"/>
          <w:szCs w:val="24"/>
          <w:rtl/>
        </w:rPr>
      </w:pPr>
      <w:r w:rsidRPr="005C277C">
        <w:rPr>
          <w:rFonts w:cs="David" w:hint="cs"/>
          <w:sz w:val="24"/>
          <w:szCs w:val="24"/>
          <w:rtl/>
        </w:rPr>
        <w:t>לפי סעיף 2 לחוק</w:t>
      </w:r>
      <w:r w:rsidR="00CB0A43">
        <w:rPr>
          <w:rFonts w:cs="David" w:hint="cs"/>
          <w:sz w:val="24"/>
          <w:szCs w:val="24"/>
          <w:rtl/>
        </w:rPr>
        <w:t xml:space="preserve"> הסיוע</w:t>
      </w:r>
      <w:r w:rsidRPr="005C277C">
        <w:rPr>
          <w:rFonts w:cs="David" w:hint="cs"/>
          <w:sz w:val="24"/>
          <w:szCs w:val="24"/>
          <w:rtl/>
        </w:rPr>
        <w:t>, לשכת סיוע משפטי תיתן שירות משפטי, לרבות ההוצאות הכרוכות בו</w:t>
      </w:r>
      <w:r w:rsidR="00CB0A43">
        <w:rPr>
          <w:rFonts w:cs="David" w:hint="cs"/>
          <w:sz w:val="24"/>
          <w:szCs w:val="24"/>
          <w:rtl/>
        </w:rPr>
        <w:t>,</w:t>
      </w:r>
      <w:r w:rsidR="00F717F6">
        <w:rPr>
          <w:rFonts w:cs="David" w:hint="cs"/>
          <w:sz w:val="24"/>
          <w:szCs w:val="24"/>
          <w:rtl/>
        </w:rPr>
        <w:t xml:space="preserve"> למי שזכאי לכך לפי התקנות או התוספת.</w:t>
      </w:r>
      <w:r w:rsidRPr="005C277C">
        <w:rPr>
          <w:rFonts w:cs="David" w:hint="cs"/>
          <w:sz w:val="24"/>
          <w:szCs w:val="24"/>
          <w:rtl/>
        </w:rPr>
        <w:t xml:space="preserve"> </w:t>
      </w:r>
      <w:r w:rsidR="00981BA3" w:rsidRPr="005C277C">
        <w:rPr>
          <w:rFonts w:cs="David" w:hint="cs"/>
          <w:sz w:val="24"/>
          <w:szCs w:val="24"/>
          <w:rtl/>
        </w:rPr>
        <w:t xml:space="preserve"> </w:t>
      </w:r>
    </w:p>
    <w:p w:rsidR="009C487C" w:rsidRPr="005C277C" w:rsidRDefault="00B23E55" w:rsidP="00BF4C35">
      <w:pPr>
        <w:spacing w:before="120" w:after="120" w:line="360" w:lineRule="auto"/>
        <w:jc w:val="both"/>
        <w:rPr>
          <w:rFonts w:cs="David"/>
          <w:sz w:val="24"/>
          <w:szCs w:val="24"/>
          <w:rtl/>
        </w:rPr>
      </w:pPr>
      <w:r w:rsidRPr="005C277C">
        <w:rPr>
          <w:rFonts w:cs="David" w:hint="cs"/>
          <w:sz w:val="24"/>
          <w:szCs w:val="24"/>
          <w:rtl/>
        </w:rPr>
        <w:lastRenderedPageBreak/>
        <w:t xml:space="preserve">לפי סעיף 3 </w:t>
      </w:r>
      <w:r w:rsidR="00F717F6">
        <w:rPr>
          <w:rFonts w:cs="David" w:hint="cs"/>
          <w:sz w:val="24"/>
          <w:szCs w:val="24"/>
          <w:rtl/>
        </w:rPr>
        <w:t xml:space="preserve">לחוק, </w:t>
      </w:r>
      <w:r w:rsidRPr="005C277C">
        <w:rPr>
          <w:rFonts w:cs="David" w:hint="cs"/>
          <w:sz w:val="24"/>
          <w:szCs w:val="24"/>
          <w:rtl/>
        </w:rPr>
        <w:t>מבקש ש</w:t>
      </w:r>
      <w:r w:rsidR="009C487C" w:rsidRPr="005C277C">
        <w:rPr>
          <w:rFonts w:cs="David" w:hint="cs"/>
          <w:sz w:val="24"/>
          <w:szCs w:val="24"/>
          <w:rtl/>
        </w:rPr>
        <w:t>י</w:t>
      </w:r>
      <w:r w:rsidRPr="005C277C">
        <w:rPr>
          <w:rFonts w:cs="David" w:hint="cs"/>
          <w:sz w:val="24"/>
          <w:szCs w:val="24"/>
          <w:rtl/>
        </w:rPr>
        <w:t xml:space="preserve">רות משפטי יידרש להראות שידו אינה משגת לשאת בהוצאות שירות משפטי. </w:t>
      </w:r>
      <w:r w:rsidR="009C487C" w:rsidRPr="005C277C">
        <w:rPr>
          <w:rFonts w:cs="David" w:hint="cs"/>
          <w:sz w:val="24"/>
          <w:szCs w:val="24"/>
          <w:rtl/>
        </w:rPr>
        <w:t>ו</w:t>
      </w:r>
      <w:r w:rsidRPr="005C277C">
        <w:rPr>
          <w:rFonts w:cs="David" w:hint="cs"/>
          <w:sz w:val="24"/>
          <w:szCs w:val="24"/>
          <w:rtl/>
        </w:rPr>
        <w:t xml:space="preserve">אולם, לעניין נושאים מסוימים שנקבעו בתוספת, </w:t>
      </w:r>
      <w:r w:rsidR="009C487C" w:rsidRPr="005C277C">
        <w:rPr>
          <w:rFonts w:cs="David" w:hint="cs"/>
          <w:sz w:val="24"/>
          <w:szCs w:val="24"/>
          <w:rtl/>
        </w:rPr>
        <w:t xml:space="preserve">כאמור בסעיף 2, </w:t>
      </w:r>
      <w:r w:rsidR="00381E81" w:rsidRPr="005C277C">
        <w:rPr>
          <w:rFonts w:cs="David" w:hint="cs"/>
          <w:sz w:val="24"/>
          <w:szCs w:val="24"/>
          <w:rtl/>
        </w:rPr>
        <w:t xml:space="preserve">לא </w:t>
      </w:r>
      <w:r w:rsidR="00D43B8A">
        <w:rPr>
          <w:rFonts w:cs="David" w:hint="cs"/>
          <w:sz w:val="24"/>
          <w:szCs w:val="24"/>
          <w:rtl/>
        </w:rPr>
        <w:t xml:space="preserve">נדרש </w:t>
      </w:r>
      <w:r w:rsidR="000C525B" w:rsidRPr="005C277C">
        <w:rPr>
          <w:rFonts w:cs="David" w:hint="cs"/>
          <w:sz w:val="24"/>
          <w:szCs w:val="24"/>
          <w:rtl/>
        </w:rPr>
        <w:t>המבקש למבחן זכאות כלכ</w:t>
      </w:r>
      <w:r w:rsidR="00381E81" w:rsidRPr="005C277C">
        <w:rPr>
          <w:rFonts w:cs="David" w:hint="cs"/>
          <w:sz w:val="24"/>
          <w:szCs w:val="24"/>
          <w:rtl/>
        </w:rPr>
        <w:t>לית</w:t>
      </w:r>
      <w:r w:rsidR="000C525B" w:rsidRPr="005C277C">
        <w:rPr>
          <w:rFonts w:cs="David" w:hint="cs"/>
          <w:sz w:val="24"/>
          <w:szCs w:val="24"/>
          <w:rtl/>
        </w:rPr>
        <w:t xml:space="preserve"> כלשהו</w:t>
      </w:r>
      <w:r w:rsidRPr="005C277C">
        <w:rPr>
          <w:rFonts w:cs="David" w:hint="cs"/>
          <w:sz w:val="24"/>
          <w:szCs w:val="24"/>
          <w:rtl/>
        </w:rPr>
        <w:t xml:space="preserve"> לשם קבלת השירות.</w:t>
      </w:r>
      <w:r w:rsidR="00CB0A43">
        <w:rPr>
          <w:rFonts w:cs="David" w:hint="cs"/>
          <w:sz w:val="24"/>
          <w:szCs w:val="24"/>
          <w:rtl/>
        </w:rPr>
        <w:t xml:space="preserve"> </w:t>
      </w:r>
      <w:r w:rsidR="009C487C" w:rsidRPr="005C277C">
        <w:rPr>
          <w:rFonts w:cs="David" w:hint="cs"/>
          <w:sz w:val="24"/>
          <w:szCs w:val="24"/>
          <w:rtl/>
        </w:rPr>
        <w:t xml:space="preserve">בתוספת </w:t>
      </w:r>
      <w:r w:rsidR="00D43B8A">
        <w:rPr>
          <w:rFonts w:cs="David" w:hint="cs"/>
          <w:sz w:val="24"/>
          <w:szCs w:val="24"/>
          <w:rtl/>
        </w:rPr>
        <w:t>זו מנויים מ</w:t>
      </w:r>
      <w:r w:rsidR="009C487C" w:rsidRPr="005C277C">
        <w:rPr>
          <w:rFonts w:cs="David" w:hint="cs"/>
          <w:sz w:val="24"/>
          <w:szCs w:val="24"/>
          <w:rtl/>
        </w:rPr>
        <w:t>ספר עניינים וב</w:t>
      </w:r>
      <w:r w:rsidR="00F717F6">
        <w:rPr>
          <w:rFonts w:cs="David" w:hint="cs"/>
          <w:sz w:val="24"/>
          <w:szCs w:val="24"/>
          <w:rtl/>
        </w:rPr>
        <w:t xml:space="preserve">יניהם- </w:t>
      </w:r>
      <w:r w:rsidR="009C487C" w:rsidRPr="005C277C">
        <w:rPr>
          <w:rFonts w:cs="David" w:hint="cs"/>
          <w:sz w:val="24"/>
          <w:szCs w:val="24"/>
          <w:rtl/>
        </w:rPr>
        <w:t>ניצולי שואה</w:t>
      </w:r>
      <w:r w:rsidR="00F717F6">
        <w:rPr>
          <w:rFonts w:cs="David" w:hint="cs"/>
          <w:sz w:val="24"/>
          <w:szCs w:val="24"/>
          <w:rtl/>
        </w:rPr>
        <w:t xml:space="preserve"> בעניינים </w:t>
      </w:r>
      <w:r w:rsidR="00CB0A43">
        <w:rPr>
          <w:rFonts w:cs="David" w:hint="cs"/>
          <w:sz w:val="24"/>
          <w:szCs w:val="24"/>
          <w:rtl/>
        </w:rPr>
        <w:t>מסוימים הנוגעים בקבלת תגמולים וקצבאות</w:t>
      </w:r>
      <w:r w:rsidR="009C487C" w:rsidRPr="005C277C">
        <w:rPr>
          <w:rFonts w:cs="David" w:hint="cs"/>
          <w:sz w:val="24"/>
          <w:szCs w:val="24"/>
          <w:rtl/>
        </w:rPr>
        <w:t xml:space="preserve">, </w:t>
      </w:r>
      <w:r w:rsidR="00CB0A43">
        <w:rPr>
          <w:rFonts w:cs="David" w:hint="cs"/>
          <w:sz w:val="24"/>
          <w:szCs w:val="24"/>
          <w:rtl/>
        </w:rPr>
        <w:t xml:space="preserve">נפגעי עבירות סחר בבני אדם או החזקה בתנאי עבדות בהליכים אזרחיים ובהליכים לפי חוק הכניסה לישראל, </w:t>
      </w:r>
      <w:proofErr w:type="spellStart"/>
      <w:r w:rsidR="00CB0A43">
        <w:rPr>
          <w:rFonts w:cs="David" w:hint="cs"/>
          <w:sz w:val="24"/>
          <w:szCs w:val="24"/>
          <w:rtl/>
        </w:rPr>
        <w:t>התשי"ב</w:t>
      </w:r>
      <w:proofErr w:type="spellEnd"/>
      <w:r w:rsidR="00CB0A43">
        <w:rPr>
          <w:rFonts w:cs="David" w:hint="eastAsia"/>
          <w:sz w:val="24"/>
          <w:szCs w:val="24"/>
          <w:rtl/>
        </w:rPr>
        <w:t>–</w:t>
      </w:r>
      <w:r w:rsidR="00CB0A43">
        <w:rPr>
          <w:rFonts w:cs="David" w:hint="cs"/>
          <w:sz w:val="24"/>
          <w:szCs w:val="24"/>
          <w:rtl/>
        </w:rPr>
        <w:t xml:space="preserve">1952, </w:t>
      </w:r>
      <w:r w:rsidR="009C487C" w:rsidRPr="005C277C">
        <w:rPr>
          <w:rFonts w:cs="David" w:hint="cs"/>
          <w:sz w:val="24"/>
          <w:szCs w:val="24"/>
          <w:rtl/>
        </w:rPr>
        <w:t>עובד</w:t>
      </w:r>
      <w:r w:rsidR="00D43B8A">
        <w:rPr>
          <w:rFonts w:cs="David" w:hint="cs"/>
          <w:sz w:val="24"/>
          <w:szCs w:val="24"/>
          <w:rtl/>
        </w:rPr>
        <w:t xml:space="preserve">ים בהליכים מסוימים נגד מעבידם, </w:t>
      </w:r>
      <w:r w:rsidR="009C487C" w:rsidRPr="005C277C">
        <w:rPr>
          <w:rFonts w:cs="David" w:hint="cs"/>
          <w:sz w:val="24"/>
          <w:szCs w:val="24"/>
          <w:rtl/>
        </w:rPr>
        <w:t>הור</w:t>
      </w:r>
      <w:r w:rsidR="00CB0A43">
        <w:rPr>
          <w:rFonts w:cs="David" w:hint="cs"/>
          <w:sz w:val="24"/>
          <w:szCs w:val="24"/>
          <w:rtl/>
        </w:rPr>
        <w:t>ים</w:t>
      </w:r>
      <w:r w:rsidR="009C487C" w:rsidRPr="005C277C">
        <w:rPr>
          <w:rFonts w:cs="David" w:hint="cs"/>
          <w:sz w:val="24"/>
          <w:szCs w:val="24"/>
          <w:rtl/>
        </w:rPr>
        <w:t xml:space="preserve"> </w:t>
      </w:r>
      <w:r w:rsidR="00BF4C35">
        <w:rPr>
          <w:rFonts w:cs="David" w:hint="cs"/>
          <w:sz w:val="24"/>
          <w:szCs w:val="24"/>
          <w:rtl/>
        </w:rPr>
        <w:t xml:space="preserve">בהליכים מסוימים </w:t>
      </w:r>
      <w:r w:rsidR="009C487C" w:rsidRPr="005C277C">
        <w:rPr>
          <w:rFonts w:cs="David" w:hint="cs"/>
          <w:sz w:val="24"/>
          <w:szCs w:val="24"/>
          <w:rtl/>
        </w:rPr>
        <w:t xml:space="preserve">לפי חוק אימוץ ילדים, </w:t>
      </w:r>
      <w:r w:rsidR="00CB0A43">
        <w:rPr>
          <w:rFonts w:cs="David" w:hint="cs"/>
          <w:sz w:val="24"/>
          <w:szCs w:val="24"/>
          <w:rtl/>
        </w:rPr>
        <w:t>קטינים</w:t>
      </w:r>
      <w:r w:rsidR="00381E81" w:rsidRPr="005C277C">
        <w:rPr>
          <w:rFonts w:cs="David" w:hint="cs"/>
          <w:sz w:val="24"/>
          <w:szCs w:val="24"/>
          <w:rtl/>
        </w:rPr>
        <w:t xml:space="preserve"> שהתבקש נגד</w:t>
      </w:r>
      <w:r w:rsidR="00CB0A43">
        <w:rPr>
          <w:rFonts w:cs="David" w:hint="cs"/>
          <w:sz w:val="24"/>
          <w:szCs w:val="24"/>
          <w:rtl/>
        </w:rPr>
        <w:t>ם</w:t>
      </w:r>
      <w:r w:rsidR="00381E81" w:rsidRPr="005C277C">
        <w:rPr>
          <w:rFonts w:cs="David" w:hint="cs"/>
          <w:sz w:val="24"/>
          <w:szCs w:val="24"/>
          <w:rtl/>
        </w:rPr>
        <w:t xml:space="preserve"> צו הרחקה לפי החוק למניעת אלימות במשפחה, התשנ"א-1991, </w:t>
      </w:r>
      <w:r w:rsidR="009C487C" w:rsidRPr="005C277C">
        <w:rPr>
          <w:rFonts w:cs="David" w:hint="cs"/>
          <w:sz w:val="24"/>
          <w:szCs w:val="24"/>
          <w:rtl/>
        </w:rPr>
        <w:t>חול</w:t>
      </w:r>
      <w:r w:rsidR="00CB0A43">
        <w:rPr>
          <w:rFonts w:cs="David" w:hint="cs"/>
          <w:sz w:val="24"/>
          <w:szCs w:val="24"/>
          <w:rtl/>
        </w:rPr>
        <w:t>ים</w:t>
      </w:r>
      <w:r w:rsidR="009C487C" w:rsidRPr="005C277C">
        <w:rPr>
          <w:rFonts w:cs="David" w:hint="cs"/>
          <w:sz w:val="24"/>
          <w:szCs w:val="24"/>
          <w:rtl/>
        </w:rPr>
        <w:t xml:space="preserve"> המאושפז</w:t>
      </w:r>
      <w:r w:rsidR="00CB0A43">
        <w:rPr>
          <w:rFonts w:cs="David" w:hint="cs"/>
          <w:sz w:val="24"/>
          <w:szCs w:val="24"/>
          <w:rtl/>
        </w:rPr>
        <w:t>ים</w:t>
      </w:r>
      <w:r w:rsidR="009C487C" w:rsidRPr="005C277C">
        <w:rPr>
          <w:rFonts w:cs="David" w:hint="cs"/>
          <w:sz w:val="24"/>
          <w:szCs w:val="24"/>
          <w:rtl/>
        </w:rPr>
        <w:t xml:space="preserve"> לפי חוק טיפול בחולי נפש</w:t>
      </w:r>
      <w:r w:rsidR="00CB0A43">
        <w:rPr>
          <w:rFonts w:cs="David" w:hint="cs"/>
          <w:sz w:val="24"/>
          <w:szCs w:val="24"/>
          <w:rtl/>
        </w:rPr>
        <w:t xml:space="preserve">, </w:t>
      </w:r>
      <w:proofErr w:type="spellStart"/>
      <w:r w:rsidR="00CB0A43">
        <w:rPr>
          <w:rFonts w:cs="David" w:hint="cs"/>
          <w:sz w:val="24"/>
          <w:szCs w:val="24"/>
          <w:rtl/>
        </w:rPr>
        <w:t>התשנ"א</w:t>
      </w:r>
      <w:proofErr w:type="spellEnd"/>
      <w:r w:rsidR="00CB0A43">
        <w:rPr>
          <w:rFonts w:cs="David" w:hint="eastAsia"/>
          <w:sz w:val="24"/>
          <w:szCs w:val="24"/>
          <w:rtl/>
        </w:rPr>
        <w:t>–</w:t>
      </w:r>
      <w:r w:rsidR="00CB0A43">
        <w:rPr>
          <w:rFonts w:cs="David" w:hint="cs"/>
          <w:sz w:val="24"/>
          <w:szCs w:val="24"/>
          <w:rtl/>
        </w:rPr>
        <w:t>1991</w:t>
      </w:r>
      <w:r w:rsidR="00F717F6">
        <w:rPr>
          <w:rFonts w:cs="David" w:hint="cs"/>
          <w:sz w:val="24"/>
          <w:szCs w:val="24"/>
          <w:rtl/>
        </w:rPr>
        <w:t>.</w:t>
      </w:r>
      <w:r w:rsidR="00CB0A43">
        <w:rPr>
          <w:rFonts w:cs="David" w:hint="cs"/>
          <w:sz w:val="24"/>
          <w:szCs w:val="24"/>
          <w:rtl/>
        </w:rPr>
        <w:t xml:space="preserve"> בחלק מהפרטים בתוספת </w:t>
      </w:r>
    </w:p>
    <w:p w:rsidR="002C3EAF" w:rsidRPr="002C3EAF" w:rsidRDefault="002C3EAF" w:rsidP="005C277C">
      <w:pPr>
        <w:spacing w:before="120" w:after="120" w:line="360" w:lineRule="auto"/>
        <w:jc w:val="both"/>
        <w:rPr>
          <w:rFonts w:cs="David"/>
          <w:b/>
          <w:bCs/>
          <w:sz w:val="24"/>
          <w:szCs w:val="24"/>
          <w:rtl/>
        </w:rPr>
      </w:pPr>
      <w:r w:rsidRPr="002C3EAF">
        <w:rPr>
          <w:rFonts w:cs="David" w:hint="cs"/>
          <w:b/>
          <w:bCs/>
          <w:sz w:val="24"/>
          <w:szCs w:val="24"/>
          <w:rtl/>
        </w:rPr>
        <w:t>הצעת החוק הממשלתית</w:t>
      </w:r>
    </w:p>
    <w:p w:rsidR="009C487C" w:rsidRPr="005C277C" w:rsidRDefault="009C487C" w:rsidP="008472B7">
      <w:pPr>
        <w:spacing w:before="120" w:after="120" w:line="360" w:lineRule="auto"/>
        <w:jc w:val="both"/>
        <w:rPr>
          <w:rFonts w:cs="David"/>
          <w:sz w:val="24"/>
          <w:szCs w:val="24"/>
          <w:rtl/>
        </w:rPr>
      </w:pPr>
      <w:r w:rsidRPr="005C277C">
        <w:rPr>
          <w:rFonts w:cs="David" w:hint="cs"/>
          <w:sz w:val="24"/>
          <w:szCs w:val="24"/>
          <w:rtl/>
        </w:rPr>
        <w:t xml:space="preserve">מוצע </w:t>
      </w:r>
      <w:r w:rsidR="008472B7">
        <w:rPr>
          <w:rFonts w:cs="David" w:hint="cs"/>
          <w:sz w:val="24"/>
          <w:szCs w:val="24"/>
          <w:rtl/>
        </w:rPr>
        <w:t xml:space="preserve">לקבוע כי נפגע עבירת מין יהיה זכאי לסיוע משפטי בהליכים לפי חוק מגבלות על חזרתו של עבריין המין לסביבת נפגע העבירה, ללא מבחן זכאות כלכלית. </w:t>
      </w:r>
    </w:p>
    <w:p w:rsidR="008472B7" w:rsidRDefault="008472B7" w:rsidP="00F717F6">
      <w:pPr>
        <w:spacing w:before="120" w:after="120" w:line="360" w:lineRule="auto"/>
        <w:jc w:val="both"/>
        <w:rPr>
          <w:rFonts w:cs="David"/>
          <w:sz w:val="24"/>
          <w:szCs w:val="24"/>
          <w:rtl/>
        </w:rPr>
      </w:pPr>
      <w:r>
        <w:rPr>
          <w:rFonts w:cs="David" w:hint="cs"/>
          <w:sz w:val="24"/>
          <w:szCs w:val="24"/>
          <w:rtl/>
        </w:rPr>
        <w:t xml:space="preserve">לפי דברי ההסבר, מטרת התיקון המוצע להקל על נפגעות ונפגעי עבירות מין בהגשת בקשה לפי חוק מגבלות על חזרתו של עבריין המין ולסייע להם למצות את זכותם לפי חוק זה מבלי שהדבר יטיל עליהם נטל כלכלי. </w:t>
      </w:r>
      <w:r w:rsidR="003006C7">
        <w:rPr>
          <w:rFonts w:cs="David" w:hint="cs"/>
          <w:sz w:val="24"/>
          <w:szCs w:val="24"/>
          <w:rtl/>
        </w:rPr>
        <w:t xml:space="preserve">עוד צוין בדברי ההסבר כי מדובר בהליך אזרחי, והפרקליטות, למרות שהיא אחד הגורמים שיכולים להגיש את הבקשה, </w:t>
      </w:r>
      <w:r w:rsidR="00F717F6">
        <w:rPr>
          <w:rFonts w:cs="David" w:hint="cs"/>
          <w:sz w:val="24"/>
          <w:szCs w:val="24"/>
          <w:rtl/>
        </w:rPr>
        <w:t xml:space="preserve">ככלל </w:t>
      </w:r>
      <w:r w:rsidR="003006C7">
        <w:rPr>
          <w:rFonts w:cs="David" w:hint="cs"/>
          <w:sz w:val="24"/>
          <w:szCs w:val="24"/>
          <w:rtl/>
        </w:rPr>
        <w:t xml:space="preserve">אינה עושה כן. לפיכך, ונוכח הקושי המובהק של נפגעות ונפגעי עבירות מין ליזום הליכים הנוגעים ישירות בטראומה אותה חוו והאינטרס של המדינה להגן על זכויותיהם ולהקל עליהם את הגישה לערכאות, ישנה הצדקה להעניק סיוע משפטי מטעם המדינה לנפגעי עבירות כאמור. </w:t>
      </w:r>
    </w:p>
    <w:p w:rsidR="005722E8" w:rsidRPr="005C277C" w:rsidRDefault="005722E8" w:rsidP="005C277C">
      <w:pPr>
        <w:spacing w:before="120" w:after="120" w:line="360" w:lineRule="auto"/>
        <w:jc w:val="both"/>
        <w:rPr>
          <w:rFonts w:cs="David"/>
          <w:sz w:val="24"/>
          <w:szCs w:val="24"/>
          <w:rtl/>
        </w:rPr>
      </w:pPr>
    </w:p>
    <w:p w:rsidR="009C487C" w:rsidRPr="00E86063" w:rsidRDefault="005722E8" w:rsidP="005C277C">
      <w:pPr>
        <w:spacing w:before="120" w:after="120" w:line="360" w:lineRule="auto"/>
        <w:jc w:val="both"/>
        <w:rPr>
          <w:rFonts w:cs="David"/>
          <w:b/>
          <w:bCs/>
          <w:sz w:val="24"/>
          <w:szCs w:val="24"/>
          <w:rtl/>
        </w:rPr>
      </w:pPr>
      <w:r w:rsidRPr="00E86063">
        <w:rPr>
          <w:rFonts w:cs="David" w:hint="cs"/>
          <w:b/>
          <w:bCs/>
          <w:sz w:val="24"/>
          <w:szCs w:val="24"/>
          <w:rtl/>
        </w:rPr>
        <w:t>סוגיות לדיון:</w:t>
      </w:r>
    </w:p>
    <w:p w:rsidR="005722E8" w:rsidRPr="005C277C" w:rsidRDefault="005722E8" w:rsidP="00BF4C35">
      <w:pPr>
        <w:pStyle w:val="a3"/>
        <w:numPr>
          <w:ilvl w:val="0"/>
          <w:numId w:val="1"/>
        </w:numPr>
        <w:spacing w:before="120" w:after="120" w:line="360" w:lineRule="auto"/>
        <w:jc w:val="both"/>
        <w:rPr>
          <w:rFonts w:cs="David"/>
          <w:sz w:val="24"/>
          <w:szCs w:val="24"/>
        </w:rPr>
      </w:pPr>
      <w:r w:rsidRPr="005C277C">
        <w:rPr>
          <w:rFonts w:cs="David" w:hint="cs"/>
          <w:sz w:val="24"/>
          <w:szCs w:val="24"/>
          <w:rtl/>
        </w:rPr>
        <w:t>מוצע לקבל נתונים בדבר מספר ההליכ</w:t>
      </w:r>
      <w:r w:rsidR="003006C7">
        <w:rPr>
          <w:rFonts w:cs="David" w:hint="cs"/>
          <w:sz w:val="24"/>
          <w:szCs w:val="24"/>
          <w:rtl/>
        </w:rPr>
        <w:t>ים ה</w:t>
      </w:r>
      <w:r w:rsidR="009405BC">
        <w:rPr>
          <w:rFonts w:cs="David" w:hint="cs"/>
          <w:sz w:val="24"/>
          <w:szCs w:val="24"/>
          <w:rtl/>
        </w:rPr>
        <w:t>מתנהלים</w:t>
      </w:r>
      <w:r w:rsidR="003006C7">
        <w:rPr>
          <w:rFonts w:cs="David" w:hint="cs"/>
          <w:sz w:val="24"/>
          <w:szCs w:val="24"/>
          <w:rtl/>
        </w:rPr>
        <w:t xml:space="preserve"> לפי חוק </w:t>
      </w:r>
      <w:r w:rsidR="00BF4C35">
        <w:rPr>
          <w:rFonts w:cs="David" w:hint="cs"/>
          <w:sz w:val="24"/>
          <w:szCs w:val="24"/>
          <w:rtl/>
        </w:rPr>
        <w:t>המגבלות על חזרתו של עבריין המין</w:t>
      </w:r>
      <w:r w:rsidR="003006C7">
        <w:rPr>
          <w:rFonts w:cs="David" w:hint="cs"/>
          <w:sz w:val="24"/>
          <w:szCs w:val="24"/>
          <w:rtl/>
        </w:rPr>
        <w:t xml:space="preserve"> מדי שנה</w:t>
      </w:r>
      <w:r w:rsidR="009405BC">
        <w:rPr>
          <w:rFonts w:cs="David" w:hint="cs"/>
          <w:sz w:val="24"/>
          <w:szCs w:val="24"/>
          <w:rtl/>
        </w:rPr>
        <w:t xml:space="preserve"> ובסיבות למספר הבקשות הנמוך המוגש בנושא</w:t>
      </w:r>
      <w:r w:rsidR="003006C7">
        <w:rPr>
          <w:rFonts w:cs="David" w:hint="cs"/>
          <w:sz w:val="24"/>
          <w:szCs w:val="24"/>
          <w:rtl/>
        </w:rPr>
        <w:t>.</w:t>
      </w:r>
    </w:p>
    <w:p w:rsidR="009C487C" w:rsidRPr="009405BC" w:rsidRDefault="005722E8" w:rsidP="00BF4C35">
      <w:pPr>
        <w:pStyle w:val="a3"/>
        <w:numPr>
          <w:ilvl w:val="0"/>
          <w:numId w:val="1"/>
        </w:numPr>
        <w:spacing w:before="120" w:after="120" w:line="360" w:lineRule="auto"/>
        <w:jc w:val="both"/>
        <w:rPr>
          <w:rFonts w:cs="David"/>
          <w:sz w:val="24"/>
          <w:szCs w:val="24"/>
          <w:rtl/>
        </w:rPr>
      </w:pPr>
      <w:r w:rsidRPr="00F717F6">
        <w:rPr>
          <w:rFonts w:cs="David" w:hint="cs"/>
          <w:sz w:val="24"/>
          <w:szCs w:val="24"/>
          <w:rtl/>
        </w:rPr>
        <w:t xml:space="preserve">לפי דברי ההסבר, המשמעות </w:t>
      </w:r>
      <w:r w:rsidR="00BF4C35">
        <w:rPr>
          <w:rFonts w:cs="David" w:hint="cs"/>
          <w:sz w:val="24"/>
          <w:szCs w:val="24"/>
          <w:rtl/>
        </w:rPr>
        <w:t xml:space="preserve">לעניין זה </w:t>
      </w:r>
      <w:r w:rsidR="00F717F6" w:rsidRPr="00F717F6">
        <w:rPr>
          <w:rFonts w:cs="David" w:hint="cs"/>
          <w:sz w:val="24"/>
          <w:szCs w:val="24"/>
          <w:rtl/>
        </w:rPr>
        <w:t xml:space="preserve">של </w:t>
      </w:r>
      <w:r w:rsidR="00F717F6" w:rsidRPr="009405BC">
        <w:rPr>
          <w:rFonts w:cs="David" w:hint="cs"/>
          <w:sz w:val="24"/>
          <w:szCs w:val="24"/>
          <w:rtl/>
        </w:rPr>
        <w:t>סעיף 4</w:t>
      </w:r>
      <w:r w:rsidR="00BF4C35">
        <w:rPr>
          <w:rFonts w:cs="David" w:hint="cs"/>
          <w:sz w:val="24"/>
          <w:szCs w:val="24"/>
          <w:rtl/>
        </w:rPr>
        <w:t xml:space="preserve"> לחוק הסיוע המשפטי</w:t>
      </w:r>
      <w:r w:rsidR="009405BC" w:rsidRPr="009405BC">
        <w:rPr>
          <w:rFonts w:cs="David" w:hint="cs"/>
          <w:sz w:val="24"/>
          <w:szCs w:val="24"/>
          <w:rtl/>
        </w:rPr>
        <w:t>,</w:t>
      </w:r>
      <w:r w:rsidR="00F717F6" w:rsidRPr="009405BC">
        <w:rPr>
          <w:rFonts w:cs="David" w:hint="cs"/>
          <w:sz w:val="24"/>
          <w:szCs w:val="24"/>
          <w:rtl/>
        </w:rPr>
        <w:t xml:space="preserve"> הקובע את מבחן הסיכוי הסביר בהליך כתנאי למתן השירות</w:t>
      </w:r>
      <w:r w:rsidR="009405BC" w:rsidRPr="009405BC">
        <w:rPr>
          <w:rFonts w:cs="David" w:hint="cs"/>
          <w:sz w:val="24"/>
          <w:szCs w:val="24"/>
          <w:rtl/>
        </w:rPr>
        <w:t>,</w:t>
      </w:r>
      <w:r w:rsidR="00F717F6" w:rsidRPr="009405BC">
        <w:rPr>
          <w:rFonts w:cs="David" w:hint="cs"/>
          <w:sz w:val="24"/>
          <w:szCs w:val="24"/>
          <w:rtl/>
        </w:rPr>
        <w:t xml:space="preserve"> </w:t>
      </w:r>
      <w:r w:rsidRPr="009405BC">
        <w:rPr>
          <w:rFonts w:cs="David" w:hint="cs"/>
          <w:sz w:val="24"/>
          <w:szCs w:val="24"/>
          <w:rtl/>
        </w:rPr>
        <w:t xml:space="preserve">היא </w:t>
      </w:r>
      <w:r w:rsidR="00F717F6" w:rsidRPr="009405BC">
        <w:rPr>
          <w:rFonts w:cs="David" w:hint="cs"/>
          <w:sz w:val="24"/>
          <w:szCs w:val="24"/>
          <w:rtl/>
        </w:rPr>
        <w:t xml:space="preserve">האם </w:t>
      </w:r>
      <w:r w:rsidR="00381E81" w:rsidRPr="009405BC">
        <w:rPr>
          <w:rFonts w:cs="David" w:hint="cs"/>
          <w:sz w:val="24"/>
          <w:szCs w:val="24"/>
          <w:rtl/>
        </w:rPr>
        <w:t xml:space="preserve">עלול להיגרם למבקש נזק נפשי </w:t>
      </w:r>
      <w:r w:rsidR="009405BC" w:rsidRPr="009405BC">
        <w:rPr>
          <w:rFonts w:cs="David" w:hint="cs"/>
          <w:sz w:val="24"/>
          <w:szCs w:val="24"/>
          <w:rtl/>
        </w:rPr>
        <w:t>רב</w:t>
      </w:r>
      <w:r w:rsidR="00381E81" w:rsidRPr="009405BC">
        <w:rPr>
          <w:rFonts w:cs="David" w:hint="cs"/>
          <w:sz w:val="24"/>
          <w:szCs w:val="24"/>
          <w:rtl/>
        </w:rPr>
        <w:t xml:space="preserve"> בעקבות חזרת העבריין. מוצע ל</w:t>
      </w:r>
      <w:r w:rsidR="00F717F6" w:rsidRPr="009405BC">
        <w:rPr>
          <w:rFonts w:cs="David" w:hint="cs"/>
          <w:sz w:val="24"/>
          <w:szCs w:val="24"/>
          <w:rtl/>
        </w:rPr>
        <w:t xml:space="preserve">ברר כיצד </w:t>
      </w:r>
      <w:r w:rsidR="00381E81" w:rsidRPr="009405BC">
        <w:rPr>
          <w:rFonts w:cs="David" w:hint="cs"/>
          <w:sz w:val="24"/>
          <w:szCs w:val="24"/>
          <w:rtl/>
        </w:rPr>
        <w:t xml:space="preserve">לשכת הסיוע המשפטי </w:t>
      </w:r>
      <w:r w:rsidR="00F717F6" w:rsidRPr="009405BC">
        <w:rPr>
          <w:rFonts w:cs="David" w:hint="cs"/>
          <w:sz w:val="24"/>
          <w:szCs w:val="24"/>
          <w:rtl/>
        </w:rPr>
        <w:t>תבדוק את ה</w:t>
      </w:r>
      <w:r w:rsidR="009405BC" w:rsidRPr="009405BC">
        <w:rPr>
          <w:rFonts w:cs="David" w:hint="cs"/>
          <w:sz w:val="24"/>
          <w:szCs w:val="24"/>
          <w:rtl/>
        </w:rPr>
        <w:t xml:space="preserve">נושא </w:t>
      </w:r>
      <w:r w:rsidR="00F717F6" w:rsidRPr="009405BC">
        <w:rPr>
          <w:rFonts w:cs="David" w:hint="cs"/>
          <w:sz w:val="24"/>
          <w:szCs w:val="24"/>
          <w:rtl/>
        </w:rPr>
        <w:t xml:space="preserve">ולוודא שהדבר לא יפגע יתר על המידה בפרטיות נפגע העבירה. </w:t>
      </w:r>
    </w:p>
    <w:p w:rsidR="005C277C" w:rsidRPr="005C277C" w:rsidRDefault="005C277C" w:rsidP="005C277C">
      <w:pPr>
        <w:spacing w:before="120" w:after="120" w:line="360" w:lineRule="auto"/>
        <w:rPr>
          <w:rFonts w:cs="David"/>
          <w:sz w:val="24"/>
          <w:szCs w:val="24"/>
        </w:rPr>
      </w:pPr>
    </w:p>
    <w:sectPr w:rsidR="005C277C" w:rsidRPr="005C277C" w:rsidSect="00B702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D20F5"/>
    <w:multiLevelType w:val="hybridMultilevel"/>
    <w:tmpl w:val="813EBA8C"/>
    <w:lvl w:ilvl="0" w:tplc="1F36CE0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BA3"/>
    <w:rsid w:val="000B2DC0"/>
    <w:rsid w:val="000C525B"/>
    <w:rsid w:val="00157127"/>
    <w:rsid w:val="001833DF"/>
    <w:rsid w:val="00232739"/>
    <w:rsid w:val="002C3EAF"/>
    <w:rsid w:val="003006C7"/>
    <w:rsid w:val="00364114"/>
    <w:rsid w:val="00381E81"/>
    <w:rsid w:val="003D321C"/>
    <w:rsid w:val="005722E8"/>
    <w:rsid w:val="005C277C"/>
    <w:rsid w:val="006066CE"/>
    <w:rsid w:val="006164DE"/>
    <w:rsid w:val="00797FA5"/>
    <w:rsid w:val="008472B7"/>
    <w:rsid w:val="008F1E61"/>
    <w:rsid w:val="009405BC"/>
    <w:rsid w:val="00966BDE"/>
    <w:rsid w:val="00981BA3"/>
    <w:rsid w:val="009C487C"/>
    <w:rsid w:val="00B23E55"/>
    <w:rsid w:val="00B7028F"/>
    <w:rsid w:val="00BD4666"/>
    <w:rsid w:val="00BF4C35"/>
    <w:rsid w:val="00C668BE"/>
    <w:rsid w:val="00C76597"/>
    <w:rsid w:val="00CB0A43"/>
    <w:rsid w:val="00D43B8A"/>
    <w:rsid w:val="00D52EC4"/>
    <w:rsid w:val="00DC2ACC"/>
    <w:rsid w:val="00E86063"/>
    <w:rsid w:val="00EF567E"/>
    <w:rsid w:val="00F717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981BA3"/>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P00">
    <w:name w:val="P00"/>
    <w:rsid w:val="00B23E5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72"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B23E55"/>
    <w:rPr>
      <w:rFonts w:ascii="Times New Roman" w:hAnsi="Times New Roman" w:cs="Times New Roman"/>
      <w:sz w:val="26"/>
      <w:szCs w:val="26"/>
    </w:rPr>
  </w:style>
  <w:style w:type="character" w:customStyle="1" w:styleId="big-number">
    <w:name w:val="big-number"/>
    <w:rsid w:val="00B23E55"/>
    <w:rPr>
      <w:rFonts w:ascii="Times New Roman" w:hAnsi="Times New Roman" w:cs="Times New Roman"/>
      <w:sz w:val="32"/>
      <w:szCs w:val="32"/>
    </w:rPr>
  </w:style>
  <w:style w:type="character" w:styleId="Hyperlink">
    <w:name w:val="Hyperlink"/>
    <w:rsid w:val="00B23E55"/>
    <w:rPr>
      <w:color w:val="0000FF"/>
      <w:u w:val="single"/>
    </w:rPr>
  </w:style>
  <w:style w:type="paragraph" w:styleId="a3">
    <w:name w:val="List Paragraph"/>
    <w:basedOn w:val="a"/>
    <w:uiPriority w:val="34"/>
    <w:qFormat/>
    <w:rsid w:val="005722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981BA3"/>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P00">
    <w:name w:val="P00"/>
    <w:rsid w:val="00B23E5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72"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B23E55"/>
    <w:rPr>
      <w:rFonts w:ascii="Times New Roman" w:hAnsi="Times New Roman" w:cs="Times New Roman"/>
      <w:sz w:val="26"/>
      <w:szCs w:val="26"/>
    </w:rPr>
  </w:style>
  <w:style w:type="character" w:customStyle="1" w:styleId="big-number">
    <w:name w:val="big-number"/>
    <w:rsid w:val="00B23E55"/>
    <w:rPr>
      <w:rFonts w:ascii="Times New Roman" w:hAnsi="Times New Roman" w:cs="Times New Roman"/>
      <w:sz w:val="32"/>
      <w:szCs w:val="32"/>
    </w:rPr>
  </w:style>
  <w:style w:type="character" w:styleId="Hyperlink">
    <w:name w:val="Hyperlink"/>
    <w:rsid w:val="00B23E55"/>
    <w:rPr>
      <w:color w:val="0000FF"/>
      <w:u w:val="single"/>
    </w:rPr>
  </w:style>
  <w:style w:type="paragraph" w:styleId="a3">
    <w:name w:val="List Paragraph"/>
    <w:basedOn w:val="a"/>
    <w:uiPriority w:val="34"/>
    <w:qFormat/>
    <w:rsid w:val="00572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74023-886D-42DD-BDCF-D35EF9A68193}"/>
</file>

<file path=customXml/itemProps2.xml><?xml version="1.0" encoding="utf-8"?>
<ds:datastoreItem xmlns:ds="http://schemas.openxmlformats.org/officeDocument/2006/customXml" ds:itemID="{44F0F0C6-BC19-4FBE-9487-12ED8A4A9758}"/>
</file>

<file path=customXml/itemProps3.xml><?xml version="1.0" encoding="utf-8"?>
<ds:datastoreItem xmlns:ds="http://schemas.openxmlformats.org/officeDocument/2006/customXml" ds:itemID="{404FDA29-0F1A-4665-83C7-3F32EF41B686}"/>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3278</Characters>
  <Application>Microsoft Office Word</Application>
  <DocSecurity>4</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dc:creator>
  <cp:lastModifiedBy>עידן פז</cp:lastModifiedBy>
  <cp:revision>2</cp:revision>
  <cp:lastPrinted>2015-07-28T08:21:00Z</cp:lastPrinted>
  <dcterms:created xsi:type="dcterms:W3CDTF">2015-07-28T09:30:00Z</dcterms:created>
  <dcterms:modified xsi:type="dcterms:W3CDTF">2015-07-28T09:30:00Z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