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54D" w:rsidRDefault="00FB554D" w:rsidP="0025660F">
      <w:pPr>
        <w:spacing w:line="336" w:lineRule="auto"/>
        <w:jc w:val="center"/>
        <w:rPr>
          <w:b/>
          <w:bCs/>
          <w:sz w:val="28"/>
          <w:szCs w:val="28"/>
          <w:rtl/>
        </w:rPr>
      </w:pPr>
    </w:p>
    <w:p w:rsidR="00FB554D" w:rsidRPr="00FB554D" w:rsidRDefault="00C14EDA" w:rsidP="00FB554D">
      <w:pPr>
        <w:spacing w:line="336" w:lineRule="auto"/>
        <w:jc w:val="center"/>
        <w:rPr>
          <w:b/>
          <w:bCs/>
          <w:rtl/>
        </w:rPr>
      </w:pPr>
      <w:bookmarkStart w:id="0" w:name="_GoBack"/>
      <w:r w:rsidRPr="00FB554D">
        <w:rPr>
          <w:rFonts w:hint="cs"/>
          <w:b/>
          <w:bCs/>
          <w:rtl/>
        </w:rPr>
        <w:t xml:space="preserve">עמדת  מרכז מיד"ע </w:t>
      </w:r>
      <w:bookmarkEnd w:id="0"/>
      <w:r w:rsidRPr="00FB554D">
        <w:rPr>
          <w:rFonts w:hint="cs"/>
          <w:b/>
          <w:bCs/>
          <w:rtl/>
        </w:rPr>
        <w:t xml:space="preserve">לעניין </w:t>
      </w:r>
      <w:r w:rsidR="003B0C52" w:rsidRPr="00FB554D">
        <w:rPr>
          <w:rFonts w:hint="cs"/>
          <w:b/>
          <w:bCs/>
          <w:rtl/>
        </w:rPr>
        <w:t xml:space="preserve">הצעת חוק </w:t>
      </w:r>
      <w:r w:rsidR="00FB554D" w:rsidRPr="00FB554D">
        <w:rPr>
          <w:rFonts w:hint="cs"/>
          <w:b/>
          <w:bCs/>
          <w:rtl/>
        </w:rPr>
        <w:t xml:space="preserve">הצעת חוק העונשין (תיקון </w:t>
      </w:r>
      <w:r w:rsidR="00FB554D" w:rsidRPr="00FB554D">
        <w:rPr>
          <w:b/>
          <w:bCs/>
          <w:rtl/>
        </w:rPr>
        <w:t>–</w:t>
      </w:r>
      <w:r w:rsidR="00FB554D" w:rsidRPr="00FB554D">
        <w:rPr>
          <w:rFonts w:hint="cs"/>
          <w:b/>
          <w:bCs/>
          <w:rtl/>
        </w:rPr>
        <w:t xml:space="preserve"> בעילה אסורה בהסכמה ומעשה סדום במסגרת הדרכה או ייעוץ של כהן דת), התשע"ו </w:t>
      </w:r>
      <w:r w:rsidR="00FB554D" w:rsidRPr="00FB554D">
        <w:rPr>
          <w:b/>
          <w:bCs/>
          <w:rtl/>
        </w:rPr>
        <w:t>–</w:t>
      </w:r>
      <w:r w:rsidR="00FB554D" w:rsidRPr="00FB554D">
        <w:rPr>
          <w:rFonts w:hint="cs"/>
          <w:b/>
          <w:bCs/>
          <w:rtl/>
        </w:rPr>
        <w:t xml:space="preserve"> 2015 </w:t>
      </w:r>
    </w:p>
    <w:p w:rsidR="00FB554D" w:rsidRPr="00FB554D" w:rsidRDefault="00FB554D" w:rsidP="00FB554D">
      <w:pPr>
        <w:spacing w:line="360" w:lineRule="auto"/>
        <w:rPr>
          <w:b/>
          <w:bCs/>
          <w:rtl/>
        </w:rPr>
      </w:pPr>
    </w:p>
    <w:p w:rsidR="00FB554D" w:rsidRDefault="00FB554D" w:rsidP="00FB554D">
      <w:pPr>
        <w:pStyle w:val="a3"/>
        <w:numPr>
          <w:ilvl w:val="0"/>
          <w:numId w:val="3"/>
        </w:numPr>
        <w:spacing w:line="360" w:lineRule="auto"/>
        <w:ind w:left="368" w:hanging="426"/>
        <w:jc w:val="both"/>
      </w:pPr>
      <w:r>
        <w:rPr>
          <w:rFonts w:hint="cs"/>
          <w:rtl/>
        </w:rPr>
        <w:t xml:space="preserve">מרכז מיד"ע מברך על הצעת החוק, אך מבקש לעמוד על קיומם של אי-דיוקים בדברי ההסבר להצעת החוק. </w:t>
      </w:r>
    </w:p>
    <w:p w:rsidR="00FB554D" w:rsidRDefault="00FB554D" w:rsidP="00FB554D">
      <w:pPr>
        <w:pStyle w:val="a3"/>
        <w:numPr>
          <w:ilvl w:val="0"/>
          <w:numId w:val="3"/>
        </w:numPr>
        <w:spacing w:line="360" w:lineRule="auto"/>
        <w:ind w:left="368" w:hanging="426"/>
        <w:jc w:val="both"/>
      </w:pPr>
      <w:r>
        <w:rPr>
          <w:rFonts w:hint="cs"/>
          <w:rtl/>
        </w:rPr>
        <w:t>הצעת החוק מרחיבה את תחולתן של העבירות בעילה אסורה בהסכמה ומעשה סדום כך שיחולו גם במקרים בהם התקיים ניצול של יחסי מרות או תלות במסגרת הדרכה או ייעוץ של כהן דת או של מי שמתחזה להיות כהן דת או של אדם הידוע או המציג את עצמו כבעל סגולות רוחניות מיוחדות.</w:t>
      </w:r>
    </w:p>
    <w:p w:rsidR="00FB554D" w:rsidRDefault="00FB554D" w:rsidP="00FB554D">
      <w:pPr>
        <w:pStyle w:val="a3"/>
        <w:spacing w:line="360" w:lineRule="auto"/>
        <w:ind w:left="368"/>
        <w:jc w:val="both"/>
        <w:rPr>
          <w:rtl/>
        </w:rPr>
      </w:pPr>
      <w:r>
        <w:rPr>
          <w:rFonts w:hint="cs"/>
          <w:rtl/>
        </w:rPr>
        <w:t>לשון ההצעה משקפת הרמוניה חקיקתית עם סעיף 3(א)(6)(ז) לחוק למניעת הטרדה מינית, תשנ"ח-1998, אשר תוקן בשנת 2010 בעקבות פרשת מוטי אלון, וקובע כי הטרדה מינית היא, בין היתר, הצעות או התייחסויות חוזרות באשר למיניותו של אדם, גם כאשר אותו אדם לא הראה למטריד כי אינו מעוניין בהצעות או התייחסויות אלה, "תוך ניצול יחסי מרות או תלות, במסגרת הדרכה או ייעוץ של כהן דת או של מי שמתחזה להיות כהן דת או של אדם הידוע או המציג את עצמו כבעל סגולות רוחניות מיוחדות".</w:t>
      </w:r>
    </w:p>
    <w:p w:rsidR="00FB554D" w:rsidRDefault="00FB554D" w:rsidP="00FB554D">
      <w:pPr>
        <w:pStyle w:val="a3"/>
        <w:numPr>
          <w:ilvl w:val="0"/>
          <w:numId w:val="3"/>
        </w:numPr>
        <w:spacing w:line="360" w:lineRule="auto"/>
        <w:ind w:left="368" w:hanging="426"/>
        <w:jc w:val="both"/>
      </w:pPr>
      <w:r>
        <w:rPr>
          <w:rFonts w:hint="cs"/>
          <w:rtl/>
        </w:rPr>
        <w:t xml:space="preserve">על אף הדמיון וההרמוניה החקיקתיים, דברי ההסבר להצעת החוק אינם מדויקים ואינם מתיישבים עם דברי ההסבר לתיקון החוק למניעת הטרדה מינית. </w:t>
      </w:r>
    </w:p>
    <w:p w:rsidR="00FB554D" w:rsidRDefault="00FB554D" w:rsidP="00FB554D">
      <w:pPr>
        <w:pStyle w:val="a3"/>
        <w:numPr>
          <w:ilvl w:val="0"/>
          <w:numId w:val="3"/>
        </w:numPr>
        <w:spacing w:line="360" w:lineRule="auto"/>
        <w:ind w:left="368" w:hanging="426"/>
        <w:jc w:val="both"/>
      </w:pPr>
      <w:r>
        <w:rPr>
          <w:rFonts w:hint="cs"/>
          <w:rtl/>
        </w:rPr>
        <w:t xml:space="preserve">החוק למניעת הטרדה מינית מכוון לנסיבות של הדרכה וייעוץ רוחניים או דתיים, בעוד שדברי ההסבר להצעת החוק מתייחסים בבירור למנהיגי כתות בלבד. </w:t>
      </w:r>
    </w:p>
    <w:p w:rsidR="00FB554D" w:rsidRDefault="00FB554D" w:rsidP="00FB554D">
      <w:pPr>
        <w:pStyle w:val="a3"/>
        <w:numPr>
          <w:ilvl w:val="0"/>
          <w:numId w:val="3"/>
        </w:numPr>
        <w:spacing w:line="360" w:lineRule="auto"/>
        <w:ind w:left="368" w:hanging="426"/>
        <w:jc w:val="both"/>
      </w:pPr>
      <w:r>
        <w:rPr>
          <w:rFonts w:hint="cs"/>
          <w:rtl/>
        </w:rPr>
        <w:t xml:space="preserve">דברי ההסבר בנוגע לקבוצות דתיות, ובפרט ההתייחסות לשליטה מוחית של מנהיג הקבוצה, משקפים תפיסה אשר אינה מקובלת במחקר האקדמי, ונדחתה על ידי בתי משפט, לרבות בתי משפט עליונים, בארץ ובעולם. יתרה מכך, תפיסה זו שוללת את האמונה באוטונומיה אישית ובאחריות של בני אדם למעשיהם (בית המשפט העליון התייחס לתפיסה זו בהרחבה לאחרונה בפרשת חסידיו של אליאור חן). </w:t>
      </w:r>
    </w:p>
    <w:p w:rsidR="00FB554D" w:rsidRDefault="00FB554D" w:rsidP="00FB554D">
      <w:pPr>
        <w:pStyle w:val="a3"/>
        <w:numPr>
          <w:ilvl w:val="0"/>
          <w:numId w:val="3"/>
        </w:numPr>
        <w:spacing w:line="360" w:lineRule="auto"/>
        <w:ind w:left="368" w:hanging="426"/>
        <w:jc w:val="both"/>
      </w:pPr>
      <w:r>
        <w:rPr>
          <w:rFonts w:hint="cs"/>
          <w:rtl/>
        </w:rPr>
        <w:t xml:space="preserve">בניגוד לאמור בדברי ההסבר, מדינת ישראל אינה מתקשה להעמיד לדין מנהיגי כתות על ניצול ופגיעה מינית בקורבנות, ובאמתחתה מגוון עבירות פליליות מתאימות, כפי שניתן ללמוד מהפסיקה בפרשות כדוגמת גואל רצון (אשר נידון לשלושים שנות מאסר) וד.א. (אשר נידון לעשרים ושש שנות מאסר). </w:t>
      </w:r>
    </w:p>
    <w:p w:rsidR="00FB554D" w:rsidRDefault="00FB554D" w:rsidP="00FB554D">
      <w:pPr>
        <w:pStyle w:val="a3"/>
        <w:numPr>
          <w:ilvl w:val="0"/>
          <w:numId w:val="3"/>
        </w:numPr>
        <w:spacing w:line="360" w:lineRule="auto"/>
        <w:ind w:left="368" w:hanging="426"/>
        <w:jc w:val="both"/>
      </w:pPr>
      <w:r>
        <w:rPr>
          <w:rFonts w:hint="cs"/>
          <w:rtl/>
        </w:rPr>
        <w:t xml:space="preserve">על כן, ראוי לשנות את דברי ההסבר כך שישקפו הרמוניה חקיקתית עם דברי ההסבר של החוק למניעת הטרדה מינית, וייצגו את המצב המשפטי באשר לכתות בישראל לאשורו. </w:t>
      </w:r>
    </w:p>
    <w:p w:rsidR="00383301" w:rsidRPr="00E1387B" w:rsidRDefault="00383301" w:rsidP="0025660F">
      <w:pPr>
        <w:spacing w:after="120" w:line="336" w:lineRule="auto"/>
        <w:jc w:val="both"/>
        <w:rPr>
          <w:b/>
          <w:bCs/>
        </w:rPr>
      </w:pPr>
    </w:p>
    <w:p w:rsidR="00FB554D" w:rsidRDefault="00FB554D" w:rsidP="00B83C27">
      <w:pPr>
        <w:spacing w:line="336" w:lineRule="auto"/>
        <w:jc w:val="both"/>
        <w:rPr>
          <w:rtl/>
        </w:rPr>
      </w:pPr>
    </w:p>
    <w:p w:rsidR="00E1387B" w:rsidRDefault="00383301" w:rsidP="00B83C27">
      <w:pPr>
        <w:spacing w:line="336" w:lineRule="auto"/>
        <w:jc w:val="both"/>
        <w:rPr>
          <w:rtl/>
        </w:rPr>
      </w:pPr>
      <w:r>
        <w:rPr>
          <w:rFonts w:hint="cs"/>
          <w:rtl/>
        </w:rPr>
        <w:t xml:space="preserve">נשמח לפרט עוד, להביא מראי מקום למצב החקיקתי בארץ ובעולם כמו גם למחקרים אקדמיים בתחום, </w:t>
      </w:r>
      <w:r w:rsidR="00B83C27">
        <w:rPr>
          <w:rFonts w:hint="cs"/>
          <w:rtl/>
        </w:rPr>
        <w:t xml:space="preserve">להשתתף בדיונים בנושא, </w:t>
      </w:r>
      <w:r>
        <w:rPr>
          <w:rFonts w:hint="cs"/>
          <w:rtl/>
        </w:rPr>
        <w:t>ולענות על כל שאלה.</w:t>
      </w:r>
    </w:p>
    <w:p w:rsidR="00383301" w:rsidRDefault="00383301" w:rsidP="0025660F">
      <w:pPr>
        <w:spacing w:after="0" w:line="336" w:lineRule="auto"/>
        <w:jc w:val="both"/>
        <w:rPr>
          <w:rtl/>
        </w:rPr>
      </w:pPr>
      <w:r>
        <w:rPr>
          <w:rFonts w:hint="cs"/>
          <w:rtl/>
        </w:rPr>
        <w:t>בברכה</w:t>
      </w:r>
      <w:r w:rsidR="006C5145">
        <w:rPr>
          <w:rFonts w:hint="cs"/>
          <w:rtl/>
        </w:rPr>
        <w:t>,</w:t>
      </w:r>
    </w:p>
    <w:p w:rsidR="006C5145" w:rsidRPr="00383301" w:rsidRDefault="006C5145" w:rsidP="0025660F">
      <w:pPr>
        <w:spacing w:line="336" w:lineRule="auto"/>
        <w:jc w:val="both"/>
        <w:rPr>
          <w:rtl/>
        </w:rPr>
      </w:pPr>
      <w:r>
        <w:rPr>
          <w:rFonts w:hint="cs"/>
          <w:rtl/>
        </w:rPr>
        <w:t>פרופ' בועז הוס</w:t>
      </w:r>
      <w:r w:rsidR="00C14EDA">
        <w:rPr>
          <w:rFonts w:hint="cs"/>
          <w:rtl/>
        </w:rPr>
        <w:t xml:space="preserve">, ד"ר רחל ורצברגר, </w:t>
      </w:r>
      <w:r>
        <w:rPr>
          <w:rFonts w:hint="cs"/>
          <w:rtl/>
        </w:rPr>
        <w:t xml:space="preserve"> ד"ר תומר פרסיקו, ד"ר אדם קלין אורון, ד"ר מריאנה רוח-מדבר</w:t>
      </w:r>
      <w:r w:rsidR="00D8172E">
        <w:rPr>
          <w:rFonts w:hint="cs"/>
          <w:rtl/>
        </w:rPr>
        <w:t xml:space="preserve">, </w:t>
      </w:r>
      <w:r w:rsidR="00C14EDA">
        <w:rPr>
          <w:rFonts w:hint="cs"/>
          <w:rtl/>
        </w:rPr>
        <w:t xml:space="preserve">עו"ד </w:t>
      </w:r>
      <w:r w:rsidR="00D8172E">
        <w:rPr>
          <w:rFonts w:hint="cs"/>
          <w:rtl/>
        </w:rPr>
        <w:t>משואה שגיב</w:t>
      </w:r>
      <w:r>
        <w:rPr>
          <w:rFonts w:hint="cs"/>
          <w:rtl/>
        </w:rPr>
        <w:t xml:space="preserve"> </w:t>
      </w:r>
      <w:r>
        <w:rPr>
          <w:rtl/>
        </w:rPr>
        <w:t>–</w:t>
      </w:r>
      <w:r>
        <w:rPr>
          <w:rFonts w:hint="cs"/>
          <w:rtl/>
        </w:rPr>
        <w:t xml:space="preserve"> חברי הוועד המנהל של מרכז מיד"ע.</w:t>
      </w:r>
    </w:p>
    <w:p w:rsidR="003B0C52" w:rsidRDefault="003B0C52" w:rsidP="0025660F">
      <w:pPr>
        <w:spacing w:line="336" w:lineRule="auto"/>
        <w:jc w:val="both"/>
        <w:rPr>
          <w:b/>
          <w:bCs/>
          <w:rtl/>
        </w:rPr>
      </w:pPr>
      <w:r w:rsidRPr="006C5145">
        <w:rPr>
          <w:rFonts w:eastAsia="Times New Roman" w:hint="cs"/>
          <w:rtl/>
        </w:rPr>
        <w:t xml:space="preserve">מרכז מיד"ע במכון ון ליר בירושלים </w:t>
      </w:r>
      <w:r w:rsidR="008D0C09">
        <w:rPr>
          <w:rFonts w:eastAsia="Times New Roman" w:hint="cs"/>
          <w:rtl/>
        </w:rPr>
        <w:t xml:space="preserve">אוסף </w:t>
      </w:r>
      <w:r w:rsidR="008D0C09" w:rsidRPr="008D0C09">
        <w:rPr>
          <w:rFonts w:eastAsia="Times New Roman" w:hint="cs"/>
          <w:rtl/>
        </w:rPr>
        <w:t xml:space="preserve">מידע מהימן ואובייקטיבי אודות קבוצות דתיות עכשוויות בישראל, במטרה להעמידו לשירות מוסדות המדינה וכלל הציבור. </w:t>
      </w:r>
      <w:r w:rsidR="008D0C09">
        <w:rPr>
          <w:rFonts w:eastAsia="Times New Roman" w:hint="cs"/>
          <w:rtl/>
        </w:rPr>
        <w:t>המרכז מ</w:t>
      </w:r>
      <w:r w:rsidR="008D0C09" w:rsidRPr="008D0C09">
        <w:rPr>
          <w:rFonts w:eastAsia="Times New Roman" w:hint="cs"/>
          <w:rtl/>
        </w:rPr>
        <w:t>ופעל על ידי חוקרים מוסמכים בתחום, תוך שימוש ב</w:t>
      </w:r>
      <w:r w:rsidR="006C5145">
        <w:rPr>
          <w:rFonts w:eastAsia="Times New Roman" w:hint="cs"/>
          <w:rtl/>
        </w:rPr>
        <w:t xml:space="preserve">כלים מדעיים והקפדה על </w:t>
      </w:r>
      <w:r w:rsidR="008D0C09" w:rsidRPr="008D0C09">
        <w:rPr>
          <w:rFonts w:eastAsia="Times New Roman" w:hint="cs"/>
          <w:rtl/>
        </w:rPr>
        <w:t xml:space="preserve">סטנדרטים </w:t>
      </w:r>
      <w:r w:rsidR="006C5145">
        <w:rPr>
          <w:rFonts w:eastAsia="Times New Roman" w:hint="cs"/>
          <w:rtl/>
        </w:rPr>
        <w:t>אקדמיים</w:t>
      </w:r>
      <w:r w:rsidR="008D0C09">
        <w:rPr>
          <w:rFonts w:hint="cs"/>
          <w:b/>
          <w:bCs/>
          <w:rtl/>
        </w:rPr>
        <w:t>.</w:t>
      </w:r>
    </w:p>
    <w:p w:rsidR="006C5145" w:rsidRPr="001B5BF9" w:rsidRDefault="006C5145" w:rsidP="0025660F">
      <w:pPr>
        <w:spacing w:line="336" w:lineRule="auto"/>
        <w:jc w:val="both"/>
        <w:rPr>
          <w:b/>
          <w:bCs/>
          <w:rtl/>
        </w:rPr>
      </w:pPr>
      <w:r>
        <w:rPr>
          <w:rFonts w:hint="cs"/>
          <w:b/>
          <w:bCs/>
          <w:rtl/>
        </w:rPr>
        <w:t>לפרטים נוספים: פרופ' בועז הוס, אוניברסיטת בן גוריון שבנגב,</w:t>
      </w:r>
      <w:r w:rsidR="0025660F">
        <w:rPr>
          <w:b/>
          <w:bCs/>
          <w:rtl/>
        </w:rPr>
        <w:br/>
      </w:r>
      <w:r>
        <w:rPr>
          <w:rFonts w:hint="cs"/>
          <w:b/>
          <w:bCs/>
          <w:rtl/>
        </w:rPr>
        <w:t xml:space="preserve"> </w:t>
      </w:r>
      <w:hyperlink r:id="rId7" w:history="1">
        <w:r w:rsidRPr="001F740E">
          <w:rPr>
            <w:rStyle w:val="Hyperlink"/>
            <w:b/>
            <w:bCs/>
          </w:rPr>
          <w:t>bhuss@bgu.ac.il</w:t>
        </w:r>
      </w:hyperlink>
      <w:r>
        <w:rPr>
          <w:rFonts w:hint="cs"/>
          <w:b/>
          <w:bCs/>
          <w:rtl/>
        </w:rPr>
        <w:t>, 052-3757614</w:t>
      </w:r>
      <w:r w:rsidR="0025660F">
        <w:rPr>
          <w:rFonts w:hint="cs"/>
          <w:b/>
          <w:bCs/>
          <w:rtl/>
        </w:rPr>
        <w:t>.</w:t>
      </w:r>
    </w:p>
    <w:sectPr w:rsidR="006C5145" w:rsidRPr="001B5BF9" w:rsidSect="004B78FA">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24B" w:rsidRDefault="0098424B" w:rsidP="00C14EDA">
      <w:pPr>
        <w:spacing w:after="0" w:line="240" w:lineRule="auto"/>
      </w:pPr>
      <w:r>
        <w:separator/>
      </w:r>
    </w:p>
  </w:endnote>
  <w:endnote w:type="continuationSeparator" w:id="0">
    <w:p w:rsidR="0098424B" w:rsidRDefault="0098424B" w:rsidP="00C1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24B" w:rsidRDefault="0098424B" w:rsidP="00C14EDA">
      <w:pPr>
        <w:spacing w:after="0" w:line="240" w:lineRule="auto"/>
      </w:pPr>
      <w:r>
        <w:separator/>
      </w:r>
    </w:p>
  </w:footnote>
  <w:footnote w:type="continuationSeparator" w:id="0">
    <w:p w:rsidR="0098424B" w:rsidRDefault="0098424B" w:rsidP="00C14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3974"/>
    </w:tblGrid>
    <w:tr w:rsidR="00BE32CC" w:rsidTr="005A224C">
      <w:trPr>
        <w:trHeight w:val="1430"/>
      </w:trPr>
      <w:tc>
        <w:tcPr>
          <w:tcW w:w="4261" w:type="dxa"/>
        </w:tcPr>
        <w:p w:rsidR="00BE32CC" w:rsidRDefault="00BE32CC" w:rsidP="00BE32CC">
          <w:pPr>
            <w:pStyle w:val="ab"/>
            <w:tabs>
              <w:tab w:val="clear" w:pos="4153"/>
              <w:tab w:val="clear" w:pos="8306"/>
              <w:tab w:val="left" w:pos="2725"/>
            </w:tabs>
            <w:jc w:val="both"/>
            <w:rPr>
              <w:rtl/>
            </w:rPr>
          </w:pPr>
          <w:r w:rsidRPr="00C14EDA">
            <w:rPr>
              <w:rFonts w:ascii="Calibri" w:eastAsia="Times New Roman" w:hAnsi="Calibri" w:cs="Arial"/>
              <w:noProof/>
              <w:sz w:val="22"/>
              <w:szCs w:val="22"/>
              <w:rtl/>
            </w:rPr>
            <w:drawing>
              <wp:inline distT="0" distB="0" distL="0" distR="0" wp14:anchorId="62197334" wp14:editId="0565873B">
                <wp:extent cx="952500" cy="1250675"/>
                <wp:effectExtent l="0" t="0" r="0" b="6985"/>
                <wp:docPr id="1" name="Picture 2" descr="C:\Users\SAMSUNG\Downloads\meida_b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wnloads\meida_bw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399" cy="1251856"/>
                        </a:xfrm>
                        <a:prstGeom prst="rect">
                          <a:avLst/>
                        </a:prstGeom>
                        <a:noFill/>
                        <a:ln>
                          <a:noFill/>
                        </a:ln>
                      </pic:spPr>
                    </pic:pic>
                  </a:graphicData>
                </a:graphic>
              </wp:inline>
            </w:drawing>
          </w:r>
          <w:r>
            <w:rPr>
              <w:rtl/>
            </w:rPr>
            <w:tab/>
          </w:r>
        </w:p>
      </w:tc>
      <w:tc>
        <w:tcPr>
          <w:tcW w:w="3974" w:type="dxa"/>
        </w:tcPr>
        <w:p w:rsidR="00BE32CC" w:rsidRDefault="00BE32CC" w:rsidP="00BE32CC">
          <w:pPr>
            <w:pStyle w:val="ab"/>
            <w:tabs>
              <w:tab w:val="left" w:pos="5612"/>
            </w:tabs>
            <w:jc w:val="right"/>
            <w:rPr>
              <w:rtl/>
            </w:rPr>
          </w:pPr>
        </w:p>
        <w:p w:rsidR="005A224C" w:rsidRDefault="005A224C" w:rsidP="00BE32CC">
          <w:pPr>
            <w:pStyle w:val="ab"/>
            <w:tabs>
              <w:tab w:val="left" w:pos="5612"/>
            </w:tabs>
            <w:jc w:val="right"/>
            <w:rPr>
              <w:rtl/>
            </w:rPr>
          </w:pPr>
        </w:p>
        <w:p w:rsidR="005A224C" w:rsidRDefault="005A224C" w:rsidP="00BE32CC">
          <w:pPr>
            <w:pStyle w:val="ab"/>
            <w:tabs>
              <w:tab w:val="left" w:pos="5612"/>
            </w:tabs>
            <w:jc w:val="right"/>
            <w:rPr>
              <w:rtl/>
            </w:rPr>
          </w:pPr>
        </w:p>
        <w:p w:rsidR="005A224C" w:rsidRDefault="005A224C" w:rsidP="00BE32CC">
          <w:pPr>
            <w:pStyle w:val="ab"/>
            <w:tabs>
              <w:tab w:val="left" w:pos="5612"/>
            </w:tabs>
            <w:jc w:val="right"/>
            <w:rPr>
              <w:rtl/>
            </w:rPr>
          </w:pPr>
        </w:p>
        <w:p w:rsidR="00BE32CC" w:rsidRDefault="00BE32CC" w:rsidP="00BE32CC">
          <w:pPr>
            <w:pStyle w:val="ab"/>
            <w:tabs>
              <w:tab w:val="left" w:pos="5612"/>
            </w:tabs>
            <w:jc w:val="right"/>
            <w:rPr>
              <w:rtl/>
            </w:rPr>
          </w:pPr>
          <w:r>
            <w:rPr>
              <w:rFonts w:hint="cs"/>
              <w:rtl/>
            </w:rPr>
            <w:t>17 בינואר 2016</w:t>
          </w:r>
        </w:p>
      </w:tc>
    </w:tr>
  </w:tbl>
  <w:p w:rsidR="00C14EDA" w:rsidRDefault="00C14ED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015C0"/>
    <w:multiLevelType w:val="hybridMultilevel"/>
    <w:tmpl w:val="12FA7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E4D58"/>
    <w:multiLevelType w:val="hybridMultilevel"/>
    <w:tmpl w:val="FEA21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B05964"/>
    <w:multiLevelType w:val="hybridMultilevel"/>
    <w:tmpl w:val="20A6F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8C"/>
    <w:rsid w:val="001035F9"/>
    <w:rsid w:val="00126545"/>
    <w:rsid w:val="00175851"/>
    <w:rsid w:val="001B5BF9"/>
    <w:rsid w:val="0025660F"/>
    <w:rsid w:val="00383301"/>
    <w:rsid w:val="003A7288"/>
    <w:rsid w:val="003B0C52"/>
    <w:rsid w:val="00471043"/>
    <w:rsid w:val="004B64C5"/>
    <w:rsid w:val="004B78FA"/>
    <w:rsid w:val="004B7D14"/>
    <w:rsid w:val="00533681"/>
    <w:rsid w:val="005A224C"/>
    <w:rsid w:val="005C401A"/>
    <w:rsid w:val="005C7A8C"/>
    <w:rsid w:val="006C5145"/>
    <w:rsid w:val="008C3786"/>
    <w:rsid w:val="008D0C09"/>
    <w:rsid w:val="009449B3"/>
    <w:rsid w:val="0098424B"/>
    <w:rsid w:val="009E60C0"/>
    <w:rsid w:val="00A12125"/>
    <w:rsid w:val="00A90466"/>
    <w:rsid w:val="00B21807"/>
    <w:rsid w:val="00B560D7"/>
    <w:rsid w:val="00B83C27"/>
    <w:rsid w:val="00BE32CC"/>
    <w:rsid w:val="00C14EDA"/>
    <w:rsid w:val="00C95749"/>
    <w:rsid w:val="00D8172E"/>
    <w:rsid w:val="00DA148F"/>
    <w:rsid w:val="00E136BC"/>
    <w:rsid w:val="00E1387B"/>
    <w:rsid w:val="00E55E09"/>
    <w:rsid w:val="00E72099"/>
    <w:rsid w:val="00EB6FA5"/>
    <w:rsid w:val="00F940A7"/>
    <w:rsid w:val="00FB55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8F193E7-B009-4D2B-8595-4EBDA7FC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David"/>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807"/>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C52"/>
    <w:pPr>
      <w:ind w:left="720"/>
      <w:contextualSpacing/>
    </w:pPr>
  </w:style>
  <w:style w:type="character" w:styleId="a4">
    <w:name w:val="annotation reference"/>
    <w:basedOn w:val="a0"/>
    <w:uiPriority w:val="99"/>
    <w:semiHidden/>
    <w:unhideWhenUsed/>
    <w:rsid w:val="00383301"/>
    <w:rPr>
      <w:sz w:val="16"/>
      <w:szCs w:val="16"/>
    </w:rPr>
  </w:style>
  <w:style w:type="paragraph" w:styleId="a5">
    <w:name w:val="annotation text"/>
    <w:basedOn w:val="a"/>
    <w:link w:val="a6"/>
    <w:uiPriority w:val="99"/>
    <w:semiHidden/>
    <w:unhideWhenUsed/>
    <w:rsid w:val="00383301"/>
    <w:pPr>
      <w:spacing w:line="240" w:lineRule="auto"/>
    </w:pPr>
    <w:rPr>
      <w:sz w:val="20"/>
      <w:szCs w:val="20"/>
    </w:rPr>
  </w:style>
  <w:style w:type="character" w:customStyle="1" w:styleId="a6">
    <w:name w:val="טקסט הערה תו"/>
    <w:basedOn w:val="a0"/>
    <w:link w:val="a5"/>
    <w:uiPriority w:val="99"/>
    <w:semiHidden/>
    <w:rsid w:val="00383301"/>
  </w:style>
  <w:style w:type="paragraph" w:styleId="a7">
    <w:name w:val="annotation subject"/>
    <w:basedOn w:val="a5"/>
    <w:next w:val="a5"/>
    <w:link w:val="a8"/>
    <w:uiPriority w:val="99"/>
    <w:semiHidden/>
    <w:unhideWhenUsed/>
    <w:rsid w:val="00383301"/>
    <w:rPr>
      <w:b/>
      <w:bCs/>
    </w:rPr>
  </w:style>
  <w:style w:type="character" w:customStyle="1" w:styleId="a8">
    <w:name w:val="נושא הערה תו"/>
    <w:basedOn w:val="a6"/>
    <w:link w:val="a7"/>
    <w:uiPriority w:val="99"/>
    <w:semiHidden/>
    <w:rsid w:val="00383301"/>
    <w:rPr>
      <w:b/>
      <w:bCs/>
    </w:rPr>
  </w:style>
  <w:style w:type="paragraph" w:styleId="a9">
    <w:name w:val="Balloon Text"/>
    <w:basedOn w:val="a"/>
    <w:link w:val="aa"/>
    <w:uiPriority w:val="99"/>
    <w:semiHidden/>
    <w:unhideWhenUsed/>
    <w:rsid w:val="00383301"/>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383301"/>
    <w:rPr>
      <w:rFonts w:ascii="Tahoma" w:hAnsi="Tahoma" w:cs="Tahoma"/>
      <w:sz w:val="16"/>
      <w:szCs w:val="16"/>
    </w:rPr>
  </w:style>
  <w:style w:type="character" w:styleId="Hyperlink">
    <w:name w:val="Hyperlink"/>
    <w:basedOn w:val="a0"/>
    <w:uiPriority w:val="99"/>
    <w:unhideWhenUsed/>
    <w:rsid w:val="006C5145"/>
    <w:rPr>
      <w:color w:val="0000FF" w:themeColor="hyperlink"/>
      <w:u w:val="single"/>
    </w:rPr>
  </w:style>
  <w:style w:type="paragraph" w:styleId="ab">
    <w:name w:val="header"/>
    <w:basedOn w:val="a"/>
    <w:link w:val="ac"/>
    <w:uiPriority w:val="99"/>
    <w:unhideWhenUsed/>
    <w:rsid w:val="00C14EDA"/>
    <w:pPr>
      <w:tabs>
        <w:tab w:val="center" w:pos="4153"/>
        <w:tab w:val="right" w:pos="8306"/>
      </w:tabs>
      <w:spacing w:after="0" w:line="240" w:lineRule="auto"/>
    </w:pPr>
  </w:style>
  <w:style w:type="character" w:customStyle="1" w:styleId="ac">
    <w:name w:val="כותרת עליונה תו"/>
    <w:basedOn w:val="a0"/>
    <w:link w:val="ab"/>
    <w:uiPriority w:val="99"/>
    <w:rsid w:val="00C14EDA"/>
    <w:rPr>
      <w:sz w:val="24"/>
      <w:szCs w:val="24"/>
    </w:rPr>
  </w:style>
  <w:style w:type="paragraph" w:styleId="ad">
    <w:name w:val="footer"/>
    <w:basedOn w:val="a"/>
    <w:link w:val="ae"/>
    <w:uiPriority w:val="99"/>
    <w:unhideWhenUsed/>
    <w:rsid w:val="00C14EDA"/>
    <w:pPr>
      <w:tabs>
        <w:tab w:val="center" w:pos="4153"/>
        <w:tab w:val="right" w:pos="8306"/>
      </w:tabs>
      <w:spacing w:after="0" w:line="240" w:lineRule="auto"/>
    </w:pPr>
  </w:style>
  <w:style w:type="character" w:customStyle="1" w:styleId="ae">
    <w:name w:val="כותרת תחתונה תו"/>
    <w:basedOn w:val="a0"/>
    <w:link w:val="ad"/>
    <w:uiPriority w:val="99"/>
    <w:rsid w:val="00C14EDA"/>
    <w:rPr>
      <w:sz w:val="24"/>
      <w:szCs w:val="24"/>
    </w:rPr>
  </w:style>
  <w:style w:type="table" w:styleId="af">
    <w:name w:val="Table Grid"/>
    <w:basedOn w:val="a1"/>
    <w:uiPriority w:val="59"/>
    <w:rsid w:val="00BE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bhuss@bgu.ac.i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451FC-7B97-453B-8BD5-035D59E6B7E7}"/>
</file>

<file path=customXml/itemProps2.xml><?xml version="1.0" encoding="utf-8"?>
<ds:datastoreItem xmlns:ds="http://schemas.openxmlformats.org/officeDocument/2006/customXml" ds:itemID="{6EA3306E-E774-4051-8D53-2E3198912AAF}"/>
</file>

<file path=customXml/itemProps3.xml><?xml version="1.0" encoding="utf-8"?>
<ds:datastoreItem xmlns:ds="http://schemas.openxmlformats.org/officeDocument/2006/customXml" ds:itemID="{D9F6ABA0-317C-42EA-A0CA-5CC10C8C9D83}"/>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2157</Characters>
  <Application>Microsoft Office Word</Application>
  <DocSecurity>4</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masua</dc:creator>
  <cp:lastModifiedBy>חופית עלפי</cp:lastModifiedBy>
  <cp:revision>2</cp:revision>
  <dcterms:created xsi:type="dcterms:W3CDTF">2016-02-29T11:45:00Z</dcterms:created>
  <dcterms:modified xsi:type="dcterms:W3CDTF">2016-02-29T11:45:00Z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