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A618F" w14:textId="77777777" w:rsidR="00D271F4" w:rsidRPr="0000131B" w:rsidRDefault="00D271F4" w:rsidP="00D271F4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568519</w:t>
      </w:r>
      <w:bookmarkEnd w:id="0"/>
    </w:p>
    <w:p w14:paraId="7F9D7CEB" w14:textId="77777777" w:rsidR="00D271F4" w:rsidRPr="00DB7060" w:rsidRDefault="00D271F4" w:rsidP="00D271F4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57CE38A2" w14:textId="77777777" w:rsidR="00D271F4" w:rsidRPr="00F67051" w:rsidRDefault="00D271F4" w:rsidP="00D271F4">
      <w:pPr>
        <w:rPr>
          <w:rFonts w:cs="David"/>
          <w:b/>
          <w:bCs/>
          <w:sz w:val="26"/>
          <w:szCs w:val="26"/>
          <w:rtl/>
        </w:rPr>
      </w:pPr>
    </w:p>
    <w:p w14:paraId="74329E1F" w14:textId="0ACA9A83" w:rsidR="00D271F4" w:rsidRPr="00CF1AA2" w:rsidRDefault="00D271F4" w:rsidP="00D079BA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דוד ביטן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יוסי יונה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דוד אמסלם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נאוה בוקר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יואב קיש</w:t>
      </w:r>
      <w:bookmarkStart w:id="4" w:name="LGS_Join_List"/>
      <w:bookmarkEnd w:id="3"/>
      <w:r>
        <w:rPr>
          <w:rtl/>
        </w:rPr>
        <w:t xml:space="preserve"> </w:t>
      </w:r>
      <w:bookmarkEnd w:id="4"/>
      <w:r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54E911C2" w14:textId="77777777" w:rsidR="00D271F4" w:rsidRPr="00904591" w:rsidRDefault="00D271F4" w:rsidP="00D271F4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______________________________________________</w:t>
      </w:r>
      <w:r w:rsidRPr="00E06736"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>
        <w:t xml:space="preserve">           </w:t>
      </w:r>
    </w:p>
    <w:p w14:paraId="0C5B1B1E" w14:textId="77777777" w:rsidR="00D271F4" w:rsidRDefault="00D271F4" w:rsidP="00D271F4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 </w:t>
      </w:r>
      <w:bookmarkStart w:id="6" w:name="Private_Number"/>
      <w:r>
        <w:rPr>
          <w:rFonts w:hint="cs"/>
          <w:rtl/>
        </w:rPr>
        <w:t>פ/2479/20</w:t>
      </w:r>
      <w:bookmarkEnd w:id="6"/>
    </w:p>
    <w:p w14:paraId="564A2AB5" w14:textId="77777777" w:rsidR="00D079BA" w:rsidRDefault="00D079BA" w:rsidP="00D079BA">
      <w:pPr>
        <w:pStyle w:val="HeadHatzaotHok"/>
        <w:spacing w:before="0"/>
        <w:rPr>
          <w:rtl/>
        </w:rPr>
      </w:pPr>
      <w:bookmarkStart w:id="7" w:name="LGS_Subject"/>
    </w:p>
    <w:p w14:paraId="6CFBB76A" w14:textId="7655361F" w:rsidR="00D079BA" w:rsidRDefault="00D271F4" w:rsidP="00D079BA">
      <w:pPr>
        <w:pStyle w:val="HeadHatzaotHok"/>
        <w:spacing w:before="0"/>
        <w:rPr>
          <w:rtl/>
        </w:rPr>
      </w:pPr>
      <w:bookmarkStart w:id="8" w:name="_GoBack"/>
      <w:bookmarkEnd w:id="8"/>
      <w:r>
        <w:rPr>
          <w:rFonts w:hint="cs"/>
          <w:rtl/>
        </w:rPr>
        <w:t xml:space="preserve">הצעת חוק ההוצאה לפועל (תיקון – אי חיוב בריבית עקב שיהוי בביצוע הליכי הוצאה לפועל), </w:t>
      </w:r>
    </w:p>
    <w:p w14:paraId="1E2C06FF" w14:textId="0FB8503A" w:rsidR="00D271F4" w:rsidRPr="00F67051" w:rsidRDefault="00D271F4" w:rsidP="00D079BA">
      <w:pPr>
        <w:pStyle w:val="HeadHatzaotHok"/>
        <w:spacing w:before="0"/>
        <w:rPr>
          <w:rtl/>
        </w:rPr>
      </w:pPr>
      <w:r>
        <w:rPr>
          <w:rFonts w:hint="cs"/>
          <w:rtl/>
        </w:rPr>
        <w:t>התשע"ו–</w:t>
      </w:r>
      <w:bookmarkEnd w:id="7"/>
      <w:r w:rsidR="00D079BA">
        <w:rPr>
          <w:rFonts w:hint="cs"/>
          <w:rtl/>
        </w:rPr>
        <w:t>2016</w:t>
      </w:r>
    </w:p>
    <w:p w14:paraId="1A1527DA" w14:textId="77777777" w:rsidR="00D271F4" w:rsidRDefault="00D271F4" w:rsidP="00D271F4">
      <w:pPr>
        <w:pStyle w:val="HeadDivreiHesber"/>
        <w:spacing w:before="0" w:after="0"/>
        <w:rPr>
          <w:rtl/>
        </w:rPr>
      </w:pPr>
    </w:p>
    <w:tbl>
      <w:tblPr>
        <w:bidiVisual/>
        <w:tblW w:w="964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624"/>
        <w:gridCol w:w="7143"/>
      </w:tblGrid>
      <w:tr w:rsidR="00D271F4" w:rsidRPr="0099569F" w14:paraId="225154DD" w14:textId="77777777" w:rsidTr="000D4070"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8A6870D" w14:textId="77777777" w:rsidR="00D271F4" w:rsidRPr="0099569F" w:rsidRDefault="00D271F4" w:rsidP="000D4070">
            <w:pPr>
              <w:pStyle w:val="TableSideHeading"/>
              <w:keepLines w:val="0"/>
              <w:rPr>
                <w:rFonts w:eastAsia="Times New Roman"/>
                <w:snapToGrid/>
              </w:rPr>
            </w:pPr>
            <w:r>
              <w:rPr>
                <w:rFonts w:eastAsia="Times New Roman" w:hint="cs"/>
                <w:snapToGrid/>
                <w:sz w:val="26"/>
                <w:rtl/>
              </w:rPr>
              <w:t>תיקון</w:t>
            </w:r>
            <w:r w:rsidRPr="0099569F">
              <w:rPr>
                <w:rFonts w:eastAsia="Times New Roman"/>
                <w:snapToGrid/>
                <w:sz w:val="26"/>
                <w:rtl/>
              </w:rPr>
              <w:t xml:space="preserve"> סעי</w:t>
            </w:r>
            <w:r>
              <w:rPr>
                <w:rFonts w:eastAsia="Times New Roman" w:hint="cs"/>
                <w:snapToGrid/>
                <w:sz w:val="26"/>
                <w:rtl/>
              </w:rPr>
              <w:t xml:space="preserve">ף </w:t>
            </w:r>
            <w:r w:rsidRPr="0099569F">
              <w:rPr>
                <w:rFonts w:eastAsia="Times New Roman" w:hint="cs"/>
                <w:snapToGrid/>
                <w:sz w:val="26"/>
                <w:rtl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797C1AE" w14:textId="77777777" w:rsidR="00D271F4" w:rsidRPr="00B81554" w:rsidRDefault="00D271F4" w:rsidP="000D4070">
            <w:pPr>
              <w:pStyle w:val="TableText"/>
              <w:ind w:right="0"/>
              <w:jc w:val="both"/>
            </w:pPr>
            <w:r w:rsidRPr="00B81554">
              <w:rPr>
                <w:rtl/>
              </w:rPr>
              <w:t>1.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3EE26BF" w14:textId="77777777" w:rsidR="00D271F4" w:rsidRPr="000D4070" w:rsidRDefault="00D271F4" w:rsidP="000D4070">
            <w:pPr>
              <w:pStyle w:val="TableBlock"/>
            </w:pPr>
            <w:r w:rsidRPr="00B81554">
              <w:rPr>
                <w:rtl/>
              </w:rPr>
              <w:t>בחוק ההוצאה לפועל, התשכ"ז</w:t>
            </w:r>
            <w:r w:rsidRPr="00A8657F">
              <w:rPr>
                <w:rtl/>
              </w:rPr>
              <w:t>–1967</w:t>
            </w:r>
            <w:r w:rsidRPr="000D4070">
              <w:rPr>
                <w:rStyle w:val="a5"/>
                <w:rtl/>
              </w:rPr>
              <w:footnoteReference w:id="2"/>
            </w:r>
            <w:r w:rsidRPr="00B81554">
              <w:rPr>
                <w:rtl/>
              </w:rPr>
              <w:t xml:space="preserve"> (להלן – החוק העיקרי</w:t>
            </w:r>
            <w:r w:rsidRPr="00A8657F">
              <w:rPr>
                <w:rtl/>
              </w:rPr>
              <w:t xml:space="preserve">), </w:t>
            </w:r>
            <w:r>
              <w:rPr>
                <w:rFonts w:hint="cs"/>
                <w:rtl/>
              </w:rPr>
              <w:t xml:space="preserve">בסעיף 6, </w:t>
            </w:r>
            <w:r w:rsidRPr="00A8657F">
              <w:rPr>
                <w:rtl/>
              </w:rPr>
              <w:t>אחרי סעיף קטן (ב1) יבוא:</w:t>
            </w:r>
          </w:p>
        </w:tc>
      </w:tr>
      <w:tr w:rsidR="00D271F4" w:rsidRPr="0099569F" w14:paraId="02F0E85C" w14:textId="77777777" w:rsidTr="000D4070"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25317635" w14:textId="77777777" w:rsidR="00D271F4" w:rsidRPr="0099569F" w:rsidDel="000352C6" w:rsidRDefault="00D271F4" w:rsidP="000D4070">
            <w:pPr>
              <w:pStyle w:val="TableSideHeading"/>
              <w:keepLines w:val="0"/>
              <w:rPr>
                <w:rFonts w:eastAsia="Times New Roman"/>
                <w:snapToGrid/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5909383" w14:textId="77777777" w:rsidR="00D271F4" w:rsidRPr="0099569F" w:rsidRDefault="00D271F4" w:rsidP="000D4070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677F4A3" w14:textId="77777777" w:rsidR="00D271F4" w:rsidRPr="00A8657F" w:rsidRDefault="00D271F4" w:rsidP="000D4070">
            <w:pPr>
              <w:pStyle w:val="TableBlock"/>
              <w:rPr>
                <w:rtl/>
              </w:rPr>
            </w:pPr>
            <w:r w:rsidRPr="00B81554">
              <w:rPr>
                <w:rtl/>
              </w:rPr>
              <w:t>"(ב2)</w:t>
            </w:r>
            <w:r w:rsidRPr="00B81554">
              <w:rPr>
                <w:rtl/>
              </w:rPr>
              <w:tab/>
              <w:t xml:space="preserve">על אף האמור בחוק זה, </w:t>
            </w:r>
            <w:r w:rsidRPr="00A8657F">
              <w:rPr>
                <w:rtl/>
              </w:rPr>
              <w:t xml:space="preserve">בקשה לביצוע פסק דין שלא הוגשה בתוך 180 ימים מהמועד שנקבע לביצועו, ואם לא נקבע מועד כאמור – לאחר שחלפו 180 ימים מיום מתן פסק הדין, לא תיווסף לחוב הפסוק ריבית </w:t>
            </w:r>
            <w:r w:rsidRPr="006C570E">
              <w:rPr>
                <w:rtl/>
              </w:rPr>
              <w:t xml:space="preserve">לפי </w:t>
            </w:r>
            <w:r w:rsidRPr="00A8657F">
              <w:rPr>
                <w:rtl/>
              </w:rPr>
              <w:t>חוק פסיקת ריבית והצמדה,</w:t>
            </w:r>
            <w:r w:rsidRPr="00B81554">
              <w:rPr>
                <w:rtl/>
              </w:rPr>
              <w:t xml:space="preserve"> אלא החל ממועד הגשת הבקשה לביצוע פסק הדין, ואולם האמור בסעיף זה לא יחול על פסק דין למזונות.</w:t>
            </w:r>
            <w:r w:rsidRPr="00A8657F">
              <w:rPr>
                <w:rtl/>
              </w:rPr>
              <w:t>"</w:t>
            </w:r>
          </w:p>
        </w:tc>
      </w:tr>
      <w:tr w:rsidR="00D271F4" w:rsidRPr="0099569F" w14:paraId="432B0624" w14:textId="77777777" w:rsidTr="000D4070"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F0ECE69" w14:textId="77777777" w:rsidR="00D271F4" w:rsidRPr="0099569F" w:rsidDel="000352C6" w:rsidRDefault="00D271F4" w:rsidP="000D4070">
            <w:pPr>
              <w:pStyle w:val="TableSideHeading"/>
              <w:keepLines w:val="0"/>
              <w:rPr>
                <w:rFonts w:eastAsia="Times New Roman"/>
                <w:snapToGrid/>
                <w:sz w:val="26"/>
                <w:rtl/>
              </w:rPr>
            </w:pPr>
            <w:r>
              <w:rPr>
                <w:rFonts w:eastAsia="Times New Roman" w:hint="cs"/>
                <w:snapToGrid/>
                <w:sz w:val="26"/>
                <w:rtl/>
              </w:rPr>
              <w:t>תיקון סעיף 81א3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6118CCE" w14:textId="77777777" w:rsidR="00D271F4" w:rsidRPr="0099569F" w:rsidRDefault="00D271F4" w:rsidP="000D4070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A539295" w14:textId="77777777" w:rsidR="00D271F4" w:rsidRPr="00A8657F" w:rsidRDefault="00D271F4" w:rsidP="000D4070">
            <w:pPr>
              <w:pStyle w:val="TableBlock"/>
              <w:rPr>
                <w:rtl/>
              </w:rPr>
            </w:pPr>
            <w:r w:rsidRPr="00B81554">
              <w:rPr>
                <w:rtl/>
              </w:rPr>
              <w:t xml:space="preserve">בסעיף </w:t>
            </w:r>
            <w:r>
              <w:rPr>
                <w:rFonts w:hint="cs"/>
                <w:rtl/>
              </w:rPr>
              <w:t>81א3</w:t>
            </w:r>
            <w:r w:rsidRPr="00B81554">
              <w:rPr>
                <w:rtl/>
              </w:rPr>
              <w:t xml:space="preserve"> לחוק העיקרי, אחרי סעיף קטן (ג</w:t>
            </w:r>
            <w:r w:rsidRPr="00A8657F">
              <w:rPr>
                <w:rtl/>
              </w:rPr>
              <w:t>) יבוא:</w:t>
            </w:r>
          </w:p>
        </w:tc>
      </w:tr>
      <w:tr w:rsidR="00D271F4" w:rsidRPr="0099569F" w14:paraId="5D5253C8" w14:textId="77777777" w:rsidTr="000D4070"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4976CC4" w14:textId="77777777" w:rsidR="00D271F4" w:rsidRDefault="00D271F4" w:rsidP="000D4070">
            <w:pPr>
              <w:pStyle w:val="TableSideHeading"/>
              <w:keepLines w:val="0"/>
              <w:rPr>
                <w:rFonts w:eastAsia="Times New Roman"/>
                <w:snapToGrid/>
                <w:sz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034854E" w14:textId="77777777" w:rsidR="00D271F4" w:rsidRDefault="00D271F4" w:rsidP="000D4070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19EABC9B" w14:textId="77777777" w:rsidR="00D271F4" w:rsidRPr="006C570E" w:rsidRDefault="00D271F4" w:rsidP="000D4070">
            <w:pPr>
              <w:pStyle w:val="TableBlock"/>
              <w:rPr>
                <w:rtl/>
              </w:rPr>
            </w:pPr>
            <w:r w:rsidRPr="00B81554">
              <w:rPr>
                <w:rtl/>
              </w:rPr>
              <w:t>"(ג1)</w:t>
            </w:r>
            <w:r w:rsidRPr="00B81554">
              <w:rPr>
                <w:rtl/>
              </w:rPr>
              <w:tab/>
              <w:t xml:space="preserve">על אף האמור בחוק זה, בקשה לביצוע שטר שלא הוגשה בתוך 180 ימים ממועד פירעון, </w:t>
            </w:r>
            <w:r w:rsidRPr="00A8657F">
              <w:rPr>
                <w:rtl/>
              </w:rPr>
              <w:t xml:space="preserve">לא תיווסף לסכום החוב ריבית </w:t>
            </w:r>
            <w:r w:rsidRPr="002747B5">
              <w:rPr>
                <w:rtl/>
              </w:rPr>
              <w:t xml:space="preserve">לפי </w:t>
            </w:r>
            <w:r w:rsidRPr="00A8657F">
              <w:rPr>
                <w:rtl/>
              </w:rPr>
              <w:t>חוק פסיקת והצמדה, אלא החל ממועד הגשת הבקשה לביצוע השטר."</w:t>
            </w:r>
          </w:p>
        </w:tc>
      </w:tr>
    </w:tbl>
    <w:p w14:paraId="3A6518D1" w14:textId="77777777" w:rsidR="00D271F4" w:rsidRDefault="00D271F4" w:rsidP="00D271F4">
      <w:pPr>
        <w:keepLines/>
        <w:tabs>
          <w:tab w:val="left" w:pos="624"/>
          <w:tab w:val="left" w:pos="1247"/>
        </w:tabs>
        <w:spacing w:before="0" w:line="360" w:lineRule="auto"/>
        <w:ind w:firstLine="0"/>
        <w:rPr>
          <w:rtl/>
        </w:rPr>
      </w:pPr>
    </w:p>
    <w:p w14:paraId="5375D8C0" w14:textId="77777777" w:rsidR="00D271F4" w:rsidRDefault="00D271F4" w:rsidP="00D271F4">
      <w:pPr>
        <w:pStyle w:val="HeadDivreiHesber"/>
        <w:rPr>
          <w:rtl/>
        </w:rPr>
      </w:pPr>
      <w:r>
        <w:rPr>
          <w:rFonts w:hint="cs"/>
          <w:rtl/>
        </w:rPr>
        <w:t>דברי הסבר</w:t>
      </w:r>
    </w:p>
    <w:p w14:paraId="6B091AE2" w14:textId="77777777" w:rsidR="00D271F4" w:rsidRDefault="00D271F4" w:rsidP="00D271F4">
      <w:pPr>
        <w:pStyle w:val="Hesber"/>
        <w:rPr>
          <w:rtl/>
        </w:rPr>
      </w:pPr>
      <w:r>
        <w:rPr>
          <w:rFonts w:hint="cs"/>
          <w:rtl/>
        </w:rPr>
        <w:t xml:space="preserve">מטרת התיקון לחוק היא למנוע מהזוכה להשתהות בפתיחת תיק בהוצאה לפועל, במקרים שניתן פסק דין או שטר שלא נפרע. </w:t>
      </w:r>
    </w:p>
    <w:p w14:paraId="575947D6" w14:textId="58CE9284" w:rsidR="00D271F4" w:rsidRDefault="00D271F4" w:rsidP="00D271F4">
      <w:pPr>
        <w:pStyle w:val="Hesber"/>
        <w:rPr>
          <w:rtl/>
        </w:rPr>
      </w:pPr>
      <w:r>
        <w:rPr>
          <w:rFonts w:hint="cs"/>
          <w:rtl/>
        </w:rPr>
        <w:t xml:space="preserve">כיום הזוכה יכול להחליט שלא לפעול </w:t>
      </w:r>
      <w:r w:rsidRPr="00651CD7">
        <w:rPr>
          <w:rFonts w:hint="cs"/>
          <w:rtl/>
        </w:rPr>
        <w:t xml:space="preserve">בסמוך למועד הקבוע לתשלום פסק הדין או </w:t>
      </w:r>
      <w:r>
        <w:rPr>
          <w:rFonts w:hint="cs"/>
          <w:rtl/>
        </w:rPr>
        <w:t>ל</w:t>
      </w:r>
      <w:r w:rsidRPr="00651CD7">
        <w:rPr>
          <w:rFonts w:hint="cs"/>
          <w:rtl/>
        </w:rPr>
        <w:t>פירעון השטר</w:t>
      </w:r>
      <w:r>
        <w:rPr>
          <w:rFonts w:hint="cs"/>
          <w:rtl/>
        </w:rPr>
        <w:t xml:space="preserve">, לצורך אכיפת החוב, וכך במשך תקופה ארוכה שיכולה להימשך מספר שנים ואף מעבר לכך </w:t>
      </w:r>
      <w:r w:rsidRPr="00651CD7">
        <w:rPr>
          <w:rFonts w:hint="cs"/>
          <w:rtl/>
        </w:rPr>
        <w:t xml:space="preserve">ורק בחלוף </w:t>
      </w:r>
      <w:r w:rsidRPr="00651CD7">
        <w:rPr>
          <w:rFonts w:hint="cs"/>
          <w:rtl/>
        </w:rPr>
        <w:lastRenderedPageBreak/>
        <w:t xml:space="preserve">שנים אלה </w:t>
      </w:r>
      <w:r>
        <w:rPr>
          <w:rFonts w:hint="cs"/>
          <w:rtl/>
        </w:rPr>
        <w:t>י</w:t>
      </w:r>
      <w:r w:rsidRPr="00651CD7">
        <w:rPr>
          <w:rFonts w:hint="cs"/>
          <w:rtl/>
        </w:rPr>
        <w:t>בקש הזוכה לאכ</w:t>
      </w:r>
      <w:r>
        <w:rPr>
          <w:rFonts w:hint="cs"/>
          <w:rtl/>
        </w:rPr>
        <w:t>וף את החוב באמצעות ההוצאה לפועל, ורק אז י</w:t>
      </w:r>
      <w:r w:rsidRPr="00651CD7">
        <w:rPr>
          <w:rFonts w:hint="cs"/>
          <w:rtl/>
        </w:rPr>
        <w:t xml:space="preserve">סתבר לחייב, כי במשך </w:t>
      </w:r>
      <w:r w:rsidR="00D079BA">
        <w:rPr>
          <w:rFonts w:hint="cs"/>
          <w:rtl/>
        </w:rPr>
        <w:t>התקופה שחלפה</w:t>
      </w:r>
      <w:r w:rsidRPr="00651CD7">
        <w:rPr>
          <w:rFonts w:hint="cs"/>
          <w:rtl/>
        </w:rPr>
        <w:t xml:space="preserve"> חובו תפח עשרות מונים.</w:t>
      </w:r>
    </w:p>
    <w:p w14:paraId="1725C0C6" w14:textId="77777777" w:rsidR="00D271F4" w:rsidRPr="00D079BA" w:rsidRDefault="00D271F4" w:rsidP="00D079BA">
      <w:pPr>
        <w:pStyle w:val="Hesber"/>
        <w:rPr>
          <w:rtl/>
        </w:rPr>
      </w:pPr>
      <w:r w:rsidRPr="00D079BA">
        <w:rPr>
          <w:rFonts w:hint="cs"/>
          <w:rtl/>
        </w:rPr>
        <w:t xml:space="preserve">הצעת החוק נועדה להשיג שתי מטרות עיקריות: מחד גיסא, לתמרץ את הזוכה לפנות להוצאה לפועל  לצורך אכיפת פסק הדין או השטר, ומאידך גיסא, למנוע התווספות של ריבית לחוב. </w:t>
      </w:r>
    </w:p>
    <w:p w14:paraId="1E613237" w14:textId="0B396B58" w:rsidR="00D271F4" w:rsidRPr="00D079BA" w:rsidRDefault="00D271F4" w:rsidP="00D079BA">
      <w:pPr>
        <w:pStyle w:val="Hesber"/>
        <w:rPr>
          <w:rtl/>
        </w:rPr>
      </w:pPr>
      <w:r w:rsidRPr="00D079BA">
        <w:rPr>
          <w:rFonts w:hint="cs"/>
          <w:rtl/>
        </w:rPr>
        <w:t xml:space="preserve">מוצע לקבוע שזוכה שלא פעל כאמור למימושו של פסק הדין בתוך 180 ימים, מהמועד שנקבע בו לביצועו, ובשטר </w:t>
      </w:r>
      <w:r w:rsidR="00D079BA">
        <w:rPr>
          <w:rFonts w:hint="eastAsia"/>
          <w:rtl/>
        </w:rPr>
        <w:t>–</w:t>
      </w:r>
      <w:r w:rsidR="00D079BA">
        <w:rPr>
          <w:rFonts w:hint="cs"/>
          <w:rtl/>
        </w:rPr>
        <w:t xml:space="preserve"> </w:t>
      </w:r>
      <w:r w:rsidRPr="00D079BA">
        <w:rPr>
          <w:rFonts w:hint="cs"/>
          <w:rtl/>
        </w:rPr>
        <w:t>בתוך 180 ימים ממועד פירעונו, לא תיווסף לחוב ריבית לפי פסיקת ריבית והצמדה, התשכ"א</w:t>
      </w:r>
      <w:r w:rsidRPr="00D079BA">
        <w:rPr>
          <w:rtl/>
        </w:rPr>
        <w:t>–</w:t>
      </w:r>
      <w:r w:rsidRPr="00D079BA">
        <w:rPr>
          <w:rFonts w:hint="cs"/>
          <w:rtl/>
        </w:rPr>
        <w:t>1961, אלא החל מהמועד שבו פסק הדין או השטר, לפי העניין, הוגש בפועל לביצוע ואכיפה על פי החוק.</w:t>
      </w:r>
    </w:p>
    <w:p w14:paraId="11D029FF" w14:textId="77777777" w:rsidR="00D271F4" w:rsidRDefault="00D271F4" w:rsidP="00D271F4">
      <w:pPr>
        <w:pStyle w:val="Hesber"/>
        <w:rPr>
          <w:rtl/>
        </w:rPr>
      </w:pPr>
    </w:p>
    <w:p w14:paraId="378EC839" w14:textId="77777777" w:rsidR="00D079BA" w:rsidRDefault="00D079BA" w:rsidP="00D271F4">
      <w:pPr>
        <w:pStyle w:val="Hesber"/>
        <w:rPr>
          <w:rtl/>
        </w:rPr>
      </w:pPr>
    </w:p>
    <w:p w14:paraId="2A9475B3" w14:textId="77777777" w:rsidR="00D079BA" w:rsidRPr="00D73212" w:rsidRDefault="00D079BA" w:rsidP="00D079BA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1C742481" w14:textId="77777777" w:rsidR="00D079BA" w:rsidRPr="00D73212" w:rsidRDefault="00D079BA" w:rsidP="00D079B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EA91F7D" w14:textId="77777777" w:rsidR="00D079BA" w:rsidRPr="00D73212" w:rsidRDefault="00D079BA" w:rsidP="00D079B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2929C1D9" w14:textId="77777777" w:rsidR="00D079BA" w:rsidRPr="00317312" w:rsidRDefault="00D079BA" w:rsidP="00D079BA">
      <w:pPr>
        <w:pStyle w:val="Hesber"/>
      </w:pPr>
      <w:r>
        <w:rPr>
          <w:rFonts w:hint="cs"/>
          <w:color w:val="auto"/>
          <w:rtl/>
          <w:lang w:eastAsia="en-US"/>
        </w:rPr>
        <w:t>א' בשבט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ו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11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</w:t>
      </w:r>
      <w:r w:rsidRPr="00D73212">
        <w:rPr>
          <w:color w:val="auto"/>
          <w:rtl/>
          <w:lang w:eastAsia="en-US"/>
        </w:rPr>
        <w:t>.1</w:t>
      </w:r>
      <w:r>
        <w:rPr>
          <w:rFonts w:hint="cs"/>
          <w:color w:val="auto"/>
          <w:rtl/>
          <w:lang w:eastAsia="en-US"/>
        </w:rPr>
        <w:t>6</w:t>
      </w:r>
    </w:p>
    <w:p w14:paraId="39D3414C" w14:textId="77777777" w:rsidR="0099569F" w:rsidRPr="00D271F4" w:rsidRDefault="0099569F" w:rsidP="00D271F4">
      <w:pPr>
        <w:rPr>
          <w:rtl/>
        </w:rPr>
      </w:pPr>
    </w:p>
    <w:sectPr w:rsidR="0099569F" w:rsidRPr="00D271F4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D079BA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79E7D015" w14:textId="77777777" w:rsidR="00D271F4" w:rsidRDefault="00D271F4" w:rsidP="00D271F4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התשכ"ז, עמ' 116.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2815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B5B34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76D37"/>
    <w:rsid w:val="00982412"/>
    <w:rsid w:val="00983A8D"/>
    <w:rsid w:val="0099569F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1E20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56C7B"/>
    <w:rsid w:val="00C9176A"/>
    <w:rsid w:val="00CF1AA2"/>
    <w:rsid w:val="00D079BA"/>
    <w:rsid w:val="00D17774"/>
    <w:rsid w:val="00D271F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4775B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CA5C72C-669C-495D-9582-F788285E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Hyperlink">
    <w:name w:val="Hyperlink"/>
    <w:basedOn w:val="a0"/>
    <w:rsid w:val="009956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82BF3-6C3C-44BD-8538-AAC10CC8ED9B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customXml/itemProps4.xml><?xml version="1.0" encoding="utf-8"?>
<ds:datastoreItem xmlns:ds="http://schemas.openxmlformats.org/officeDocument/2006/customXml" ds:itemID="{810EA804-09E2-4B6E-B8E8-19242FB84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6</cp:revision>
  <cp:lastPrinted>2016-01-07T10:31:00Z</cp:lastPrinted>
  <dcterms:created xsi:type="dcterms:W3CDTF">2015-04-20T09:58:00Z</dcterms:created>
  <dcterms:modified xsi:type="dcterms:W3CDTF">2016-01-07T10:31:00Z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568519</vt:r8>
  </property>
</Properties>
</file>