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C05" w:rsidRDefault="00DE50F2" w:rsidP="00F36AC6">
      <w:pPr>
        <w:spacing w:after="0" w:line="240" w:lineRule="auto"/>
        <w:contextualSpacing/>
        <w:jc w:val="right"/>
        <w:rPr>
          <w:rFonts w:cs="David"/>
          <w:sz w:val="24"/>
          <w:szCs w:val="24"/>
          <w:rtl/>
        </w:rPr>
      </w:pPr>
      <w:r>
        <w:rPr>
          <w:rFonts w:cs="David" w:hint="cs"/>
          <w:sz w:val="24"/>
          <w:szCs w:val="24"/>
          <w:rtl/>
        </w:rPr>
        <w:t>‏ו</w:t>
      </w:r>
      <w:r>
        <w:rPr>
          <w:rFonts w:cs="David"/>
          <w:sz w:val="24"/>
          <w:szCs w:val="24"/>
          <w:rtl/>
        </w:rPr>
        <w:t xml:space="preserve">' </w:t>
      </w:r>
      <w:r>
        <w:rPr>
          <w:rFonts w:cs="David" w:hint="cs"/>
          <w:sz w:val="24"/>
          <w:szCs w:val="24"/>
          <w:rtl/>
        </w:rPr>
        <w:t>אדר</w:t>
      </w:r>
      <w:r>
        <w:rPr>
          <w:rFonts w:cs="David"/>
          <w:sz w:val="24"/>
          <w:szCs w:val="24"/>
          <w:rtl/>
        </w:rPr>
        <w:t xml:space="preserve"> </w:t>
      </w:r>
      <w:r>
        <w:rPr>
          <w:rFonts w:cs="David" w:hint="cs"/>
          <w:sz w:val="24"/>
          <w:szCs w:val="24"/>
          <w:rtl/>
        </w:rPr>
        <w:t>א</w:t>
      </w:r>
      <w:r>
        <w:rPr>
          <w:rFonts w:cs="David"/>
          <w:sz w:val="24"/>
          <w:szCs w:val="24"/>
          <w:rtl/>
        </w:rPr>
        <w:t xml:space="preserve">, </w:t>
      </w:r>
      <w:r>
        <w:rPr>
          <w:rFonts w:cs="David" w:hint="cs"/>
          <w:sz w:val="24"/>
          <w:szCs w:val="24"/>
          <w:rtl/>
        </w:rPr>
        <w:t>תשע</w:t>
      </w:r>
      <w:r>
        <w:rPr>
          <w:rFonts w:cs="David"/>
          <w:sz w:val="24"/>
          <w:szCs w:val="24"/>
          <w:rtl/>
        </w:rPr>
        <w:t>"</w:t>
      </w:r>
      <w:r>
        <w:rPr>
          <w:rFonts w:cs="David" w:hint="cs"/>
          <w:sz w:val="24"/>
          <w:szCs w:val="24"/>
          <w:rtl/>
        </w:rPr>
        <w:t>ו</w:t>
      </w:r>
    </w:p>
    <w:p w:rsidR="00DE50F2" w:rsidRDefault="00DE50F2" w:rsidP="00F36AC6">
      <w:pPr>
        <w:spacing w:after="0" w:line="240" w:lineRule="auto"/>
        <w:contextualSpacing/>
        <w:jc w:val="right"/>
        <w:rPr>
          <w:rFonts w:cs="David"/>
          <w:sz w:val="24"/>
          <w:szCs w:val="24"/>
          <w:rtl/>
        </w:rPr>
      </w:pPr>
      <w:r>
        <w:rPr>
          <w:rFonts w:cs="David" w:hint="cs"/>
          <w:sz w:val="24"/>
          <w:szCs w:val="24"/>
          <w:rtl/>
        </w:rPr>
        <w:t>‏</w:t>
      </w:r>
      <w:r>
        <w:rPr>
          <w:rFonts w:cs="David"/>
          <w:sz w:val="24"/>
          <w:szCs w:val="24"/>
          <w:rtl/>
        </w:rPr>
        <w:t xml:space="preserve">15 </w:t>
      </w:r>
      <w:r>
        <w:rPr>
          <w:rFonts w:cs="David" w:hint="cs"/>
          <w:sz w:val="24"/>
          <w:szCs w:val="24"/>
          <w:rtl/>
        </w:rPr>
        <w:t>פברואר</w:t>
      </w:r>
      <w:r>
        <w:rPr>
          <w:rFonts w:cs="David"/>
          <w:sz w:val="24"/>
          <w:szCs w:val="24"/>
          <w:rtl/>
        </w:rPr>
        <w:t>, 2016</w:t>
      </w:r>
    </w:p>
    <w:p w:rsidR="00DE50F2" w:rsidRDefault="00DE50F2" w:rsidP="00F36AC6">
      <w:pPr>
        <w:spacing w:after="0" w:line="240" w:lineRule="auto"/>
        <w:rPr>
          <w:rFonts w:cs="David"/>
          <w:sz w:val="24"/>
          <w:szCs w:val="24"/>
          <w:rtl/>
        </w:rPr>
      </w:pPr>
      <w:r>
        <w:rPr>
          <w:rFonts w:cs="David" w:hint="cs"/>
          <w:sz w:val="24"/>
          <w:szCs w:val="24"/>
          <w:rtl/>
        </w:rPr>
        <w:t>אל: חברי ועדת החוקה חוק ומשפט</w:t>
      </w:r>
    </w:p>
    <w:p w:rsidR="00DE50F2" w:rsidRDefault="00DE50F2" w:rsidP="00F36AC6">
      <w:pPr>
        <w:spacing w:after="0" w:line="240" w:lineRule="auto"/>
        <w:rPr>
          <w:rFonts w:cs="David"/>
          <w:sz w:val="24"/>
          <w:szCs w:val="24"/>
          <w:rtl/>
        </w:rPr>
      </w:pPr>
      <w:r>
        <w:rPr>
          <w:rFonts w:cs="David" w:hint="cs"/>
          <w:sz w:val="24"/>
          <w:szCs w:val="24"/>
          <w:rtl/>
        </w:rPr>
        <w:t>מאת: הייעוץ המשפטי</w:t>
      </w:r>
    </w:p>
    <w:p w:rsidR="00DE50F2" w:rsidRDefault="00DE50F2" w:rsidP="00F36AC6">
      <w:pPr>
        <w:spacing w:after="0" w:line="320" w:lineRule="exact"/>
        <w:rPr>
          <w:rFonts w:cs="David"/>
          <w:sz w:val="24"/>
          <w:szCs w:val="24"/>
          <w:rtl/>
        </w:rPr>
      </w:pPr>
    </w:p>
    <w:p w:rsidR="00DE50F2" w:rsidRDefault="00DE50F2" w:rsidP="00F36AC6">
      <w:pPr>
        <w:spacing w:after="0" w:line="320" w:lineRule="exact"/>
        <w:jc w:val="center"/>
        <w:rPr>
          <w:rFonts w:cs="David"/>
          <w:b/>
          <w:bCs/>
          <w:sz w:val="24"/>
          <w:szCs w:val="24"/>
          <w:u w:val="single"/>
          <w:rtl/>
        </w:rPr>
      </w:pPr>
      <w:r>
        <w:rPr>
          <w:rFonts w:cs="David" w:hint="cs"/>
          <w:b/>
          <w:bCs/>
          <w:sz w:val="24"/>
          <w:szCs w:val="24"/>
          <w:u w:val="single"/>
          <w:rtl/>
        </w:rPr>
        <w:t xml:space="preserve">השעיית חברי כנסת בשל מעשים בניגוד לסעיף 7א לחוק-יסוד: הכנסת </w:t>
      </w:r>
      <w:r>
        <w:rPr>
          <w:rFonts w:cs="David"/>
          <w:b/>
          <w:bCs/>
          <w:sz w:val="24"/>
          <w:szCs w:val="24"/>
          <w:u w:val="single"/>
          <w:rtl/>
        </w:rPr>
        <w:t>–</w:t>
      </w:r>
      <w:r>
        <w:rPr>
          <w:rFonts w:cs="David" w:hint="cs"/>
          <w:b/>
          <w:bCs/>
          <w:sz w:val="24"/>
          <w:szCs w:val="24"/>
          <w:u w:val="single"/>
          <w:rtl/>
        </w:rPr>
        <w:t xml:space="preserve"> הערות לקראת הדיון הקבוע מחר</w:t>
      </w:r>
    </w:p>
    <w:p w:rsidR="00DE50F2" w:rsidRPr="00DE50F2" w:rsidRDefault="00DE50F2" w:rsidP="00F36AC6">
      <w:pPr>
        <w:spacing w:after="0" w:line="320" w:lineRule="exact"/>
        <w:jc w:val="center"/>
        <w:rPr>
          <w:rFonts w:cs="David"/>
          <w:b/>
          <w:bCs/>
          <w:sz w:val="24"/>
          <w:szCs w:val="24"/>
          <w:u w:val="single"/>
          <w:rtl/>
        </w:rPr>
      </w:pPr>
    </w:p>
    <w:p w:rsidR="00AE7356" w:rsidRDefault="00DE50F2" w:rsidP="00AE7356">
      <w:pPr>
        <w:spacing w:after="0" w:line="320" w:lineRule="exact"/>
        <w:jc w:val="both"/>
        <w:rPr>
          <w:rFonts w:cs="David"/>
          <w:sz w:val="24"/>
          <w:szCs w:val="24"/>
          <w:rtl/>
        </w:rPr>
      </w:pPr>
      <w:r>
        <w:rPr>
          <w:rFonts w:cs="David" w:hint="cs"/>
          <w:sz w:val="24"/>
          <w:szCs w:val="24"/>
          <w:rtl/>
        </w:rPr>
        <w:t>על שולחן הוועדה הונח נוסח מאת יושב ראש הוועדה, על מנת שזו תדון ותיזום מטעמה תיקון לחוק-יסוד: הכנסת שיסמיך את הכנסת</w:t>
      </w:r>
      <w:r w:rsidR="00144674">
        <w:rPr>
          <w:rFonts w:cs="David" w:hint="cs"/>
          <w:sz w:val="24"/>
          <w:szCs w:val="24"/>
          <w:rtl/>
        </w:rPr>
        <w:t>,</w:t>
      </w:r>
      <w:r>
        <w:rPr>
          <w:rFonts w:cs="David" w:hint="cs"/>
          <w:sz w:val="24"/>
          <w:szCs w:val="24"/>
          <w:rtl/>
        </w:rPr>
        <w:t xml:space="preserve"> </w:t>
      </w:r>
      <w:r w:rsidR="00144674">
        <w:rPr>
          <w:rFonts w:cs="David" w:hint="cs"/>
          <w:sz w:val="24"/>
          <w:szCs w:val="24"/>
          <w:rtl/>
        </w:rPr>
        <w:t xml:space="preserve">ברוב גדול, </w:t>
      </w:r>
      <w:r>
        <w:rPr>
          <w:rFonts w:cs="David" w:hint="cs"/>
          <w:sz w:val="24"/>
          <w:szCs w:val="24"/>
          <w:rtl/>
        </w:rPr>
        <w:t>להשעות, לתקופה שתקבע, חבר הכנסת שעשה מעשה בניגוד לסעיף 7א</w:t>
      </w:r>
      <w:r w:rsidR="00AE7356">
        <w:rPr>
          <w:rFonts w:cs="David" w:hint="cs"/>
          <w:sz w:val="24"/>
          <w:szCs w:val="24"/>
          <w:rtl/>
        </w:rPr>
        <w:t>(א)</w:t>
      </w:r>
      <w:r>
        <w:rPr>
          <w:rFonts w:cs="David" w:hint="cs"/>
          <w:sz w:val="24"/>
          <w:szCs w:val="24"/>
          <w:rtl/>
        </w:rPr>
        <w:t xml:space="preserve"> לחוק היסוד. </w:t>
      </w:r>
      <w:r w:rsidR="00AE7356">
        <w:rPr>
          <w:rFonts w:cs="David" w:hint="cs"/>
          <w:sz w:val="24"/>
          <w:szCs w:val="24"/>
          <w:rtl/>
        </w:rPr>
        <w:t xml:space="preserve">לפי ההצעה, תוכל הכנסת להחליט ברוב של 90 מחבריה, להשעות את חבר הכנסת לתקופה שנקבע. השעיה כזאת תהייה רק לאחר הליך בוועדת הכנסת והמלצה ברוב של שלושה רבעים של חבריה, וייפתח רק אחרי פניה של 61 חברי הכנסת. בתקופת ההשעיה, יחול סעיף 43 לחוק-יסוד: הכנסת, שקובע שהבא בתור באותה רשימה ייכנס לכנסת במקום חבר הכנסת המושעה. </w:t>
      </w:r>
      <w:r>
        <w:rPr>
          <w:rFonts w:cs="David" w:hint="cs"/>
          <w:sz w:val="24"/>
          <w:szCs w:val="24"/>
          <w:rtl/>
        </w:rPr>
        <w:t>בצד זאת, מוצע לתקן את סעיף 7א עצמו</w:t>
      </w:r>
      <w:r w:rsidR="00AE7356">
        <w:rPr>
          <w:rFonts w:cs="David" w:hint="cs"/>
          <w:sz w:val="24"/>
          <w:szCs w:val="24"/>
          <w:rtl/>
        </w:rPr>
        <w:t>.</w:t>
      </w:r>
      <w:r>
        <w:rPr>
          <w:rFonts w:cs="David" w:hint="cs"/>
          <w:sz w:val="24"/>
          <w:szCs w:val="24"/>
          <w:rtl/>
        </w:rPr>
        <w:t xml:space="preserve"> </w:t>
      </w:r>
      <w:r w:rsidR="00AE7356">
        <w:rPr>
          <w:rFonts w:cs="David" w:hint="cs"/>
          <w:sz w:val="24"/>
          <w:szCs w:val="24"/>
          <w:rtl/>
        </w:rPr>
        <w:t>סעיף 7א קובע:</w:t>
      </w:r>
    </w:p>
    <w:p w:rsidR="00AE7356" w:rsidRDefault="00AE7356" w:rsidP="00AE7356">
      <w:pPr>
        <w:pStyle w:val="p00"/>
        <w:bidi/>
        <w:spacing w:before="0" w:beforeAutospacing="0" w:after="0" w:afterAutospacing="0"/>
        <w:ind w:left="1440" w:right="1276"/>
        <w:jc w:val="both"/>
        <w:rPr>
          <w:rStyle w:val="default"/>
          <w:rFonts w:ascii="Garamond" w:hAnsi="Garamond" w:cs="David"/>
          <w:color w:val="000000"/>
          <w:rtl/>
        </w:rPr>
      </w:pPr>
    </w:p>
    <w:p w:rsidR="00AE7356" w:rsidRPr="00AE7356" w:rsidRDefault="00AE7356" w:rsidP="00AE7356">
      <w:pPr>
        <w:pStyle w:val="p00"/>
        <w:bidi/>
        <w:spacing w:before="0" w:beforeAutospacing="0" w:after="0" w:afterAutospacing="0"/>
        <w:ind w:left="1440" w:right="1276"/>
        <w:jc w:val="both"/>
        <w:rPr>
          <w:rFonts w:ascii="Garamond" w:hAnsi="Garamond" w:cs="David"/>
          <w:color w:val="000000"/>
          <w:rtl/>
        </w:rPr>
      </w:pPr>
      <w:r w:rsidRPr="00AE7356">
        <w:rPr>
          <w:rStyle w:val="default"/>
          <w:rFonts w:ascii="Garamond" w:hAnsi="Garamond" w:cs="David" w:hint="cs"/>
          <w:color w:val="000000"/>
          <w:rtl/>
        </w:rPr>
        <w:t>"(</w:t>
      </w:r>
      <w:r w:rsidRPr="00AE7356">
        <w:rPr>
          <w:rStyle w:val="default"/>
          <w:rFonts w:ascii="Garamond" w:hAnsi="Garamond" w:cs="David"/>
          <w:color w:val="000000"/>
          <w:rtl/>
        </w:rPr>
        <w:t>א) </w:t>
      </w:r>
      <w:r w:rsidRPr="00AE7356">
        <w:rPr>
          <w:rStyle w:val="apple-converted-space"/>
          <w:rFonts w:ascii="Garamond" w:hAnsi="Garamond" w:cs="David"/>
          <w:color w:val="000000"/>
          <w:rtl/>
        </w:rPr>
        <w:t> </w:t>
      </w:r>
      <w:r w:rsidRPr="00AE7356">
        <w:rPr>
          <w:rStyle w:val="default"/>
          <w:rFonts w:ascii="Garamond" w:hAnsi="Garamond" w:cs="David"/>
          <w:color w:val="000000"/>
          <w:rtl/>
        </w:rPr>
        <w:t xml:space="preserve">רשימת מועמדים לא תשתתף בבחירות לכנסת ולא יהיה אדם מועמד בבחירות לכנסת, אם יש במטרותיה או במעשיה של הרשימה או במעשיו של האדם, לפי </w:t>
      </w:r>
      <w:proofErr w:type="spellStart"/>
      <w:r w:rsidRPr="00AE7356">
        <w:rPr>
          <w:rStyle w:val="default"/>
          <w:rFonts w:ascii="Garamond" w:hAnsi="Garamond" w:cs="David"/>
          <w:color w:val="000000"/>
          <w:rtl/>
        </w:rPr>
        <w:t>הענין</w:t>
      </w:r>
      <w:proofErr w:type="spellEnd"/>
      <w:r w:rsidRPr="00AE7356">
        <w:rPr>
          <w:rStyle w:val="default"/>
          <w:rFonts w:ascii="Garamond" w:hAnsi="Garamond" w:cs="David"/>
          <w:color w:val="000000"/>
          <w:rtl/>
        </w:rPr>
        <w:t>, במפורש או במשתמע, אחד מאלה:</w:t>
      </w:r>
    </w:p>
    <w:p w:rsidR="00AE7356" w:rsidRPr="00AE7356" w:rsidRDefault="00AE7356" w:rsidP="00AE7356">
      <w:pPr>
        <w:pStyle w:val="p00"/>
        <w:bidi/>
        <w:spacing w:before="0" w:beforeAutospacing="0" w:after="0" w:afterAutospacing="0"/>
        <w:ind w:left="2461" w:right="1276"/>
        <w:jc w:val="both"/>
        <w:rPr>
          <w:rFonts w:ascii="Garamond" w:hAnsi="Garamond" w:cs="David"/>
          <w:color w:val="000000"/>
          <w:rtl/>
        </w:rPr>
      </w:pPr>
      <w:r w:rsidRPr="00AE7356">
        <w:rPr>
          <w:rStyle w:val="default"/>
          <w:rFonts w:ascii="Garamond" w:hAnsi="Garamond" w:cs="David"/>
          <w:color w:val="000000"/>
          <w:rtl/>
        </w:rPr>
        <w:t>(1)  </w:t>
      </w:r>
      <w:r w:rsidRPr="00AE7356">
        <w:rPr>
          <w:rStyle w:val="apple-converted-space"/>
          <w:rFonts w:ascii="Garamond" w:hAnsi="Garamond" w:cs="David"/>
          <w:color w:val="000000"/>
          <w:rtl/>
        </w:rPr>
        <w:t> </w:t>
      </w:r>
      <w:r w:rsidRPr="00AE7356">
        <w:rPr>
          <w:rStyle w:val="default"/>
          <w:rFonts w:ascii="Garamond" w:hAnsi="Garamond" w:cs="David"/>
          <w:color w:val="000000"/>
          <w:rtl/>
        </w:rPr>
        <w:t>שלילת קיומה של מדינת ישראל כמדינה יהודית ודמוקרטית;</w:t>
      </w:r>
    </w:p>
    <w:p w:rsidR="00AE7356" w:rsidRPr="00AE7356" w:rsidRDefault="00AE7356" w:rsidP="00AE7356">
      <w:pPr>
        <w:pStyle w:val="p00"/>
        <w:bidi/>
        <w:spacing w:before="0" w:beforeAutospacing="0" w:after="0" w:afterAutospacing="0"/>
        <w:ind w:left="2461" w:right="1276"/>
        <w:jc w:val="both"/>
        <w:rPr>
          <w:rFonts w:ascii="Garamond" w:hAnsi="Garamond" w:cs="David"/>
          <w:color w:val="000000"/>
          <w:rtl/>
        </w:rPr>
      </w:pPr>
      <w:r w:rsidRPr="00AE7356">
        <w:rPr>
          <w:rStyle w:val="default"/>
          <w:rFonts w:ascii="Garamond" w:hAnsi="Garamond" w:cs="David"/>
          <w:color w:val="000000"/>
          <w:rtl/>
        </w:rPr>
        <w:t>(2)  </w:t>
      </w:r>
      <w:r w:rsidRPr="00AE7356">
        <w:rPr>
          <w:rStyle w:val="apple-converted-space"/>
          <w:rFonts w:ascii="Garamond" w:hAnsi="Garamond" w:cs="David"/>
          <w:color w:val="000000"/>
          <w:rtl/>
        </w:rPr>
        <w:t> </w:t>
      </w:r>
      <w:r w:rsidRPr="00AE7356">
        <w:rPr>
          <w:rStyle w:val="default"/>
          <w:rFonts w:ascii="Garamond" w:hAnsi="Garamond" w:cs="David"/>
          <w:color w:val="000000"/>
          <w:rtl/>
        </w:rPr>
        <w:t>הסתה לגזענות;</w:t>
      </w:r>
    </w:p>
    <w:p w:rsidR="00AE7356" w:rsidRPr="00AE7356" w:rsidRDefault="00AE7356" w:rsidP="00AE7356">
      <w:pPr>
        <w:pStyle w:val="p00"/>
        <w:bidi/>
        <w:spacing w:before="0" w:beforeAutospacing="0" w:after="0" w:afterAutospacing="0"/>
        <w:ind w:left="2461" w:right="1276"/>
        <w:jc w:val="both"/>
        <w:rPr>
          <w:rFonts w:ascii="Garamond" w:hAnsi="Garamond" w:cs="David"/>
          <w:color w:val="000000"/>
          <w:rtl/>
        </w:rPr>
      </w:pPr>
      <w:r w:rsidRPr="00AE7356">
        <w:rPr>
          <w:rStyle w:val="default"/>
          <w:rFonts w:ascii="Garamond" w:hAnsi="Garamond" w:cs="David"/>
          <w:color w:val="000000"/>
          <w:rtl/>
        </w:rPr>
        <w:t>(3)  </w:t>
      </w:r>
      <w:r w:rsidRPr="00AE7356">
        <w:rPr>
          <w:rStyle w:val="apple-converted-space"/>
          <w:rFonts w:ascii="Garamond" w:hAnsi="Garamond" w:cs="David"/>
          <w:color w:val="000000"/>
          <w:rtl/>
        </w:rPr>
        <w:t> </w:t>
      </w:r>
      <w:r w:rsidRPr="00AE7356">
        <w:rPr>
          <w:rStyle w:val="default"/>
          <w:rFonts w:ascii="Garamond" w:hAnsi="Garamond" w:cs="David"/>
          <w:color w:val="000000"/>
          <w:rtl/>
        </w:rPr>
        <w:t>תמיכה במאבק מזוין, של מדינת אויב או של ארגון טרור, נגד מדינת ישראל.</w:t>
      </w:r>
    </w:p>
    <w:p w:rsidR="00AE7356" w:rsidRDefault="00AE7356" w:rsidP="00AE7356">
      <w:pPr>
        <w:pStyle w:val="p00"/>
        <w:bidi/>
        <w:spacing w:before="0" w:beforeAutospacing="0" w:after="0" w:afterAutospacing="0"/>
        <w:ind w:left="1440" w:right="1276"/>
        <w:jc w:val="both"/>
        <w:rPr>
          <w:rStyle w:val="default"/>
          <w:rFonts w:ascii="Garamond" w:hAnsi="Garamond" w:cs="David"/>
          <w:color w:val="000000"/>
          <w:rtl/>
        </w:rPr>
      </w:pPr>
      <w:r w:rsidRPr="00AE7356">
        <w:rPr>
          <w:rStyle w:val="default"/>
          <w:rFonts w:ascii="Garamond" w:hAnsi="Garamond" w:cs="David"/>
          <w:color w:val="000000"/>
          <w:rtl/>
        </w:rPr>
        <w:t xml:space="preserve"> </w:t>
      </w:r>
      <w:r w:rsidRPr="00AE7356">
        <w:rPr>
          <w:rStyle w:val="default"/>
          <w:rFonts w:ascii="Garamond" w:hAnsi="Garamond" w:cs="David"/>
          <w:color w:val="000000"/>
          <w:rtl/>
        </w:rPr>
        <w:t>(א1)</w:t>
      </w:r>
      <w:r w:rsidRPr="00AE7356">
        <w:rPr>
          <w:rStyle w:val="apple-converted-space"/>
          <w:rFonts w:ascii="Garamond" w:hAnsi="Garamond" w:cs="David"/>
          <w:color w:val="000000"/>
          <w:rtl/>
        </w:rPr>
        <w:t> </w:t>
      </w:r>
      <w:r w:rsidRPr="00AE7356">
        <w:rPr>
          <w:rStyle w:val="default"/>
          <w:rFonts w:ascii="Garamond" w:hAnsi="Garamond" w:cs="David"/>
          <w:color w:val="000000"/>
          <w:rtl/>
        </w:rPr>
        <w:t>לעניין סעיף זה, יראו מועמד ששהה במדינת אויב שלא כדין בשבע השנים שקדמו למועד הגשת רשימת המועמדים כמי שיש במעשיו משום תמיכה במאבק מזוין נגד מדינת ישראל, כל עוד לא הוכיח אחרת.</w:t>
      </w:r>
    </w:p>
    <w:p w:rsidR="00AE7356" w:rsidRDefault="00AE7356" w:rsidP="00AE7356">
      <w:pPr>
        <w:pStyle w:val="p00"/>
        <w:bidi/>
        <w:spacing w:before="0" w:beforeAutospacing="0" w:after="0" w:afterAutospacing="0"/>
        <w:ind w:left="1440" w:right="1276"/>
        <w:jc w:val="both"/>
        <w:rPr>
          <w:rStyle w:val="default"/>
          <w:rFonts w:ascii="Garamond" w:hAnsi="Garamond" w:cs="David"/>
          <w:color w:val="000000"/>
          <w:rtl/>
        </w:rPr>
      </w:pPr>
      <w:r w:rsidRPr="00AE7356">
        <w:rPr>
          <w:rStyle w:val="default"/>
          <w:rFonts w:ascii="Garamond" w:hAnsi="Garamond" w:cs="David"/>
          <w:color w:val="000000"/>
          <w:rtl/>
        </w:rPr>
        <w:t>(ב) </w:t>
      </w:r>
      <w:r w:rsidRPr="00AE7356">
        <w:rPr>
          <w:rStyle w:val="default"/>
          <w:rtl/>
        </w:rPr>
        <w:t> </w:t>
      </w:r>
      <w:r w:rsidRPr="00AE7356">
        <w:rPr>
          <w:rStyle w:val="default"/>
          <w:rFonts w:ascii="Garamond" w:hAnsi="Garamond" w:cs="David"/>
          <w:color w:val="000000"/>
          <w:rtl/>
        </w:rPr>
        <w:t>החלטת ועדת הבחירות המרכזית כי מועמד מנוע מלהשתתף בבחירות טעונה אישור בית המשפט העליון.</w:t>
      </w:r>
    </w:p>
    <w:p w:rsidR="00AE7356" w:rsidRDefault="00AE7356" w:rsidP="00AE7356">
      <w:pPr>
        <w:pStyle w:val="p00"/>
        <w:bidi/>
        <w:spacing w:before="0" w:beforeAutospacing="0" w:after="0" w:afterAutospacing="0"/>
        <w:ind w:left="1440" w:right="1276"/>
        <w:jc w:val="both"/>
        <w:rPr>
          <w:rStyle w:val="default"/>
          <w:rFonts w:ascii="Garamond" w:hAnsi="Garamond" w:cs="David"/>
          <w:color w:val="000000"/>
          <w:rtl/>
        </w:rPr>
      </w:pPr>
      <w:r w:rsidRPr="00AE7356">
        <w:rPr>
          <w:rStyle w:val="default"/>
          <w:rFonts w:ascii="Garamond" w:hAnsi="Garamond" w:cs="David"/>
          <w:color w:val="000000"/>
          <w:rtl/>
        </w:rPr>
        <w:t xml:space="preserve"> </w:t>
      </w:r>
      <w:r w:rsidRPr="00AE7356">
        <w:rPr>
          <w:rStyle w:val="default"/>
          <w:rFonts w:ascii="Garamond" w:hAnsi="Garamond" w:cs="David"/>
          <w:color w:val="000000"/>
          <w:rtl/>
        </w:rPr>
        <w:t>(ג)  </w:t>
      </w:r>
      <w:r w:rsidRPr="00AE7356">
        <w:rPr>
          <w:rStyle w:val="default"/>
          <w:rtl/>
        </w:rPr>
        <w:t> </w:t>
      </w:r>
      <w:r w:rsidRPr="00AE7356">
        <w:rPr>
          <w:rStyle w:val="default"/>
          <w:rFonts w:ascii="Garamond" w:hAnsi="Garamond" w:cs="David"/>
          <w:color w:val="000000"/>
          <w:rtl/>
        </w:rPr>
        <w:t xml:space="preserve">מועמד יצהיר הצהרה </w:t>
      </w:r>
      <w:proofErr w:type="spellStart"/>
      <w:r w:rsidRPr="00AE7356">
        <w:rPr>
          <w:rStyle w:val="default"/>
          <w:rFonts w:ascii="Garamond" w:hAnsi="Garamond" w:cs="David"/>
          <w:color w:val="000000"/>
          <w:rtl/>
        </w:rPr>
        <w:t>לענין</w:t>
      </w:r>
      <w:proofErr w:type="spellEnd"/>
      <w:r w:rsidRPr="00AE7356">
        <w:rPr>
          <w:rStyle w:val="default"/>
          <w:rFonts w:ascii="Garamond" w:hAnsi="Garamond" w:cs="David"/>
          <w:color w:val="000000"/>
          <w:rtl/>
        </w:rPr>
        <w:t xml:space="preserve"> סעיף זה.</w:t>
      </w:r>
    </w:p>
    <w:p w:rsidR="00AE7356" w:rsidRPr="00AE7356" w:rsidRDefault="00AE7356" w:rsidP="00AE7356">
      <w:pPr>
        <w:pStyle w:val="p00"/>
        <w:bidi/>
        <w:spacing w:before="0" w:beforeAutospacing="0" w:after="0" w:afterAutospacing="0"/>
        <w:ind w:left="1440" w:right="1276"/>
        <w:jc w:val="both"/>
        <w:rPr>
          <w:rFonts w:ascii="Garamond" w:hAnsi="Garamond" w:cs="David"/>
          <w:color w:val="000000"/>
          <w:rtl/>
        </w:rPr>
      </w:pPr>
      <w:r w:rsidRPr="00AE7356">
        <w:rPr>
          <w:rStyle w:val="default"/>
          <w:rFonts w:ascii="Garamond" w:hAnsi="Garamond" w:cs="David"/>
          <w:color w:val="000000"/>
          <w:rtl/>
        </w:rPr>
        <w:t>(ד) </w:t>
      </w:r>
      <w:r w:rsidRPr="00AE7356">
        <w:rPr>
          <w:rStyle w:val="default"/>
          <w:rtl/>
        </w:rPr>
        <w:t> </w:t>
      </w:r>
      <w:r w:rsidRPr="00AE7356">
        <w:rPr>
          <w:rStyle w:val="default"/>
          <w:rFonts w:ascii="Garamond" w:hAnsi="Garamond" w:cs="David"/>
          <w:color w:val="000000"/>
          <w:rtl/>
        </w:rPr>
        <w:t xml:space="preserve">פרטים </w:t>
      </w:r>
      <w:proofErr w:type="spellStart"/>
      <w:r w:rsidRPr="00AE7356">
        <w:rPr>
          <w:rStyle w:val="default"/>
          <w:rFonts w:ascii="Garamond" w:hAnsi="Garamond" w:cs="David"/>
          <w:color w:val="000000"/>
          <w:rtl/>
        </w:rPr>
        <w:t>לענין</w:t>
      </w:r>
      <w:proofErr w:type="spellEnd"/>
      <w:r w:rsidRPr="00AE7356">
        <w:rPr>
          <w:rStyle w:val="default"/>
          <w:rFonts w:ascii="Garamond" w:hAnsi="Garamond" w:cs="David"/>
          <w:color w:val="000000"/>
          <w:rtl/>
        </w:rPr>
        <w:t xml:space="preserve"> הדיון </w:t>
      </w:r>
      <w:proofErr w:type="spellStart"/>
      <w:r w:rsidRPr="00AE7356">
        <w:rPr>
          <w:rStyle w:val="default"/>
          <w:rFonts w:ascii="Garamond" w:hAnsi="Garamond" w:cs="David"/>
          <w:color w:val="000000"/>
          <w:rtl/>
        </w:rPr>
        <w:t>בועדת</w:t>
      </w:r>
      <w:proofErr w:type="spellEnd"/>
      <w:r w:rsidRPr="00AE7356">
        <w:rPr>
          <w:rStyle w:val="default"/>
          <w:rFonts w:ascii="Garamond" w:hAnsi="Garamond" w:cs="David"/>
          <w:color w:val="000000"/>
          <w:rtl/>
        </w:rPr>
        <w:t xml:space="preserve"> הבחירות המרכזית ובבית המשפט העליון </w:t>
      </w:r>
      <w:proofErr w:type="spellStart"/>
      <w:r w:rsidRPr="00AE7356">
        <w:rPr>
          <w:rStyle w:val="default"/>
          <w:rFonts w:ascii="Garamond" w:hAnsi="Garamond" w:cs="David"/>
          <w:color w:val="000000"/>
          <w:rtl/>
        </w:rPr>
        <w:t>ולענין</w:t>
      </w:r>
      <w:proofErr w:type="spellEnd"/>
      <w:r w:rsidRPr="00AE7356">
        <w:rPr>
          <w:rStyle w:val="default"/>
          <w:rFonts w:ascii="Garamond" w:hAnsi="Garamond" w:cs="David"/>
          <w:color w:val="000000"/>
          <w:rtl/>
        </w:rPr>
        <w:t xml:space="preserve"> הצהרה לפי סעיף קטן (ג), ייקבעו בחוק.</w:t>
      </w:r>
      <w:r w:rsidRPr="00AE7356">
        <w:rPr>
          <w:rFonts w:ascii="Garamond" w:hAnsi="Garamond" w:cs="David" w:hint="cs"/>
          <w:color w:val="000000"/>
          <w:rtl/>
        </w:rPr>
        <w:t>"</w:t>
      </w:r>
    </w:p>
    <w:p w:rsidR="00AE7356" w:rsidRPr="00AE7356" w:rsidRDefault="00AE7356" w:rsidP="00AE7356">
      <w:pPr>
        <w:spacing w:after="0" w:line="320" w:lineRule="exact"/>
        <w:ind w:left="1440" w:right="1276"/>
        <w:jc w:val="both"/>
        <w:rPr>
          <w:rFonts w:cs="David" w:hint="cs"/>
          <w:sz w:val="24"/>
          <w:szCs w:val="24"/>
          <w:rtl/>
        </w:rPr>
      </w:pPr>
      <w:r w:rsidRPr="00AE7356">
        <w:rPr>
          <w:rFonts w:cs="David" w:hint="cs"/>
          <w:sz w:val="24"/>
          <w:szCs w:val="24"/>
          <w:rtl/>
        </w:rPr>
        <w:t xml:space="preserve"> </w:t>
      </w:r>
    </w:p>
    <w:p w:rsidR="00DE50F2" w:rsidRDefault="00AE7356" w:rsidP="00AE7356">
      <w:pPr>
        <w:spacing w:after="0" w:line="320" w:lineRule="exact"/>
        <w:jc w:val="both"/>
        <w:rPr>
          <w:rFonts w:cs="David"/>
          <w:sz w:val="24"/>
          <w:szCs w:val="24"/>
          <w:rtl/>
        </w:rPr>
      </w:pPr>
      <w:r>
        <w:rPr>
          <w:rFonts w:cs="David" w:hint="cs"/>
          <w:sz w:val="24"/>
          <w:szCs w:val="24"/>
          <w:rtl/>
        </w:rPr>
        <w:t>יושב ראש הוועדה מציע לתקנו ו</w:t>
      </w:r>
      <w:r w:rsidR="00DE50F2">
        <w:rPr>
          <w:rFonts w:cs="David" w:hint="cs"/>
          <w:sz w:val="24"/>
          <w:szCs w:val="24"/>
          <w:rtl/>
        </w:rPr>
        <w:t>לקבוע שהתבטאות היא בכלל מעשה, ולהרחיב את העילה הקיימת של תמיכה במאבק מזוין נגד מדינת ישראל</w:t>
      </w:r>
      <w:r>
        <w:rPr>
          <w:rFonts w:cs="David" w:hint="cs"/>
          <w:sz w:val="24"/>
          <w:szCs w:val="24"/>
          <w:rtl/>
        </w:rPr>
        <w:t>, בכך שיימחקו המילים "</w:t>
      </w:r>
      <w:r w:rsidRPr="00AE7356">
        <w:rPr>
          <w:rStyle w:val="default"/>
          <w:rFonts w:ascii="Garamond" w:hAnsi="Garamond" w:cs="David"/>
          <w:color w:val="000000"/>
          <w:sz w:val="24"/>
          <w:szCs w:val="24"/>
          <w:rtl/>
        </w:rPr>
        <w:t>של מדינת אויב או של ארגון טרור</w:t>
      </w:r>
      <w:r>
        <w:rPr>
          <w:rStyle w:val="default"/>
          <w:rFonts w:ascii="Garamond" w:hAnsi="Garamond" w:cs="David" w:hint="cs"/>
          <w:color w:val="000000"/>
          <w:sz w:val="24"/>
          <w:szCs w:val="24"/>
          <w:rtl/>
        </w:rPr>
        <w:t>"</w:t>
      </w:r>
      <w:r>
        <w:rPr>
          <w:rFonts w:cs="David" w:hint="cs"/>
          <w:sz w:val="24"/>
          <w:szCs w:val="24"/>
          <w:rtl/>
        </w:rPr>
        <w:t xml:space="preserve"> מפסקה (3)</w:t>
      </w:r>
      <w:r w:rsidR="00DE50F2">
        <w:rPr>
          <w:rFonts w:cs="David" w:hint="cs"/>
          <w:sz w:val="24"/>
          <w:szCs w:val="24"/>
          <w:rtl/>
        </w:rPr>
        <w:t>.</w:t>
      </w:r>
    </w:p>
    <w:p w:rsidR="00DE50F2" w:rsidRDefault="00DE50F2" w:rsidP="00F36AC6">
      <w:pPr>
        <w:spacing w:after="0" w:line="320" w:lineRule="exact"/>
        <w:jc w:val="both"/>
        <w:rPr>
          <w:rFonts w:cs="David"/>
          <w:sz w:val="24"/>
          <w:szCs w:val="24"/>
          <w:rtl/>
        </w:rPr>
      </w:pPr>
    </w:p>
    <w:p w:rsidR="00DE50F2" w:rsidRDefault="00DE50F2" w:rsidP="00253114">
      <w:pPr>
        <w:spacing w:after="0" w:line="320" w:lineRule="exact"/>
        <w:jc w:val="both"/>
        <w:rPr>
          <w:rFonts w:cs="David"/>
          <w:sz w:val="24"/>
          <w:szCs w:val="24"/>
          <w:rtl/>
        </w:rPr>
      </w:pPr>
      <w:r w:rsidRPr="00253114">
        <w:rPr>
          <w:rFonts w:cs="David" w:hint="cs"/>
          <w:sz w:val="24"/>
          <w:szCs w:val="24"/>
          <w:u w:val="single"/>
          <w:rtl/>
        </w:rPr>
        <w:t xml:space="preserve">הסוגיה שהונחה </w:t>
      </w:r>
      <w:r w:rsidR="00F24938" w:rsidRPr="00253114">
        <w:rPr>
          <w:rFonts w:cs="David" w:hint="cs"/>
          <w:sz w:val="24"/>
          <w:szCs w:val="24"/>
          <w:u w:val="single"/>
          <w:rtl/>
        </w:rPr>
        <w:t>לפתחה של הוועדה היא רגישה ביותר ומוצע לדון בה בזהירות רבה</w:t>
      </w:r>
      <w:r w:rsidR="00F24938">
        <w:rPr>
          <w:rFonts w:cs="David" w:hint="cs"/>
          <w:sz w:val="24"/>
          <w:szCs w:val="24"/>
          <w:rtl/>
        </w:rPr>
        <w:t>. היא עוסקת לא רק במתח שבין הזכות הבסיסית ביותר בדמוקרטיה לבין גבולות המגננה של הדמוקרטיה, אלא גם במתח שבין הפן הרעיוני-אנליטי</w:t>
      </w:r>
      <w:r w:rsidR="00253114">
        <w:rPr>
          <w:rFonts w:cs="David" w:hint="cs"/>
          <w:sz w:val="24"/>
          <w:szCs w:val="24"/>
          <w:rtl/>
        </w:rPr>
        <w:t xml:space="preserve"> (של שלילת הכהונה ממי שפועל נגד הערכים הבסיסיים של המדינה)</w:t>
      </w:r>
      <w:r w:rsidR="00F24938">
        <w:rPr>
          <w:rFonts w:cs="David" w:hint="cs"/>
          <w:sz w:val="24"/>
          <w:szCs w:val="24"/>
          <w:rtl/>
        </w:rPr>
        <w:t xml:space="preserve"> לבין הפן </w:t>
      </w:r>
      <w:r w:rsidR="00F24938" w:rsidRPr="005D344D">
        <w:rPr>
          <w:rFonts w:cs="David" w:hint="cs"/>
          <w:sz w:val="24"/>
          <w:szCs w:val="24"/>
          <w:rtl/>
        </w:rPr>
        <w:t>המעשי</w:t>
      </w:r>
      <w:r w:rsidR="00253114">
        <w:rPr>
          <w:rFonts w:cs="David" w:hint="cs"/>
          <w:sz w:val="24"/>
          <w:szCs w:val="24"/>
          <w:rtl/>
        </w:rPr>
        <w:t xml:space="preserve"> (הליך ראוי וזהיר שלא יפגע במי שלא "חצה את הגבול")</w:t>
      </w:r>
      <w:r w:rsidR="005D344D" w:rsidRPr="005D344D">
        <w:rPr>
          <w:rFonts w:cs="David" w:hint="cs"/>
          <w:sz w:val="24"/>
          <w:szCs w:val="24"/>
          <w:rtl/>
        </w:rPr>
        <w:t>:</w:t>
      </w:r>
      <w:r w:rsidR="00F24938" w:rsidRPr="005D344D">
        <w:rPr>
          <w:rFonts w:cs="David" w:hint="cs"/>
          <w:sz w:val="24"/>
          <w:szCs w:val="24"/>
          <w:rtl/>
        </w:rPr>
        <w:t xml:space="preserve"> יש לחתור </w:t>
      </w:r>
      <w:r w:rsidR="005D344D">
        <w:rPr>
          <w:rFonts w:cs="David" w:hint="cs"/>
          <w:sz w:val="24"/>
          <w:szCs w:val="24"/>
          <w:rtl/>
        </w:rPr>
        <w:t xml:space="preserve">לכך שאופן היישום של ההליך ייתן ביטוי מלא לחשיבות הערכים </w:t>
      </w:r>
      <w:r w:rsidR="00253114">
        <w:rPr>
          <w:rFonts w:cs="David" w:hint="cs"/>
          <w:sz w:val="24"/>
          <w:szCs w:val="24"/>
          <w:rtl/>
        </w:rPr>
        <w:t xml:space="preserve">המתנגשים והזכויות החוקתיות </w:t>
      </w:r>
      <w:r w:rsidR="005D344D">
        <w:rPr>
          <w:rFonts w:cs="David" w:hint="cs"/>
          <w:sz w:val="24"/>
          <w:szCs w:val="24"/>
          <w:rtl/>
        </w:rPr>
        <w:t>המוטלים על הכף.</w:t>
      </w:r>
    </w:p>
    <w:p w:rsidR="00F24938" w:rsidRDefault="00F24938" w:rsidP="00F36AC6">
      <w:pPr>
        <w:spacing w:after="0" w:line="320" w:lineRule="exact"/>
        <w:jc w:val="both"/>
        <w:rPr>
          <w:rFonts w:cs="David"/>
          <w:sz w:val="24"/>
          <w:szCs w:val="24"/>
          <w:rtl/>
        </w:rPr>
      </w:pPr>
    </w:p>
    <w:p w:rsidR="00D5231E" w:rsidRDefault="00280D65" w:rsidP="00F36AC6">
      <w:pPr>
        <w:spacing w:after="0" w:line="320" w:lineRule="exact"/>
        <w:jc w:val="both"/>
        <w:rPr>
          <w:rFonts w:cs="David"/>
          <w:sz w:val="24"/>
          <w:szCs w:val="24"/>
          <w:rtl/>
        </w:rPr>
      </w:pPr>
      <w:r>
        <w:rPr>
          <w:rFonts w:cs="David" w:hint="cs"/>
          <w:sz w:val="24"/>
          <w:szCs w:val="24"/>
          <w:rtl/>
        </w:rPr>
        <w:t xml:space="preserve">הזכות החוקתית לבחור ולהיבחר היא מהזכויות החשובות ביותר במדינה דמוקרטית. </w:t>
      </w:r>
      <w:r w:rsidR="00D5231E">
        <w:rPr>
          <w:rFonts w:cs="David" w:hint="cs"/>
          <w:sz w:val="24"/>
          <w:szCs w:val="24"/>
          <w:rtl/>
        </w:rPr>
        <w:t>היא מוציאה</w:t>
      </w:r>
      <w:r>
        <w:rPr>
          <w:rFonts w:cs="David" w:hint="cs"/>
          <w:sz w:val="24"/>
          <w:szCs w:val="24"/>
          <w:rtl/>
        </w:rPr>
        <w:t xml:space="preserve"> לפועל את הזכות של הציבור </w:t>
      </w:r>
      <w:r w:rsidR="00D5231E">
        <w:rPr>
          <w:rFonts w:cs="David" w:hint="cs"/>
          <w:sz w:val="24"/>
          <w:szCs w:val="24"/>
          <w:rtl/>
        </w:rPr>
        <w:t>להיות מיוצג, באמצעות נציגיו בבית הנבחרים</w:t>
      </w:r>
      <w:r>
        <w:rPr>
          <w:rFonts w:cs="David" w:hint="cs"/>
          <w:sz w:val="24"/>
          <w:szCs w:val="24"/>
          <w:rtl/>
        </w:rPr>
        <w:t xml:space="preserve">, ואת היותו של אותו ציבור בוחר בעל עמדות לגיטימיות הראויות להישמע, ולהיות שותף </w:t>
      </w:r>
      <w:r w:rsidR="00D5231E">
        <w:rPr>
          <w:rFonts w:cs="David" w:hint="cs"/>
          <w:sz w:val="24"/>
          <w:szCs w:val="24"/>
          <w:rtl/>
        </w:rPr>
        <w:t xml:space="preserve">בשיח הפוליטי </w:t>
      </w:r>
      <w:r>
        <w:rPr>
          <w:rFonts w:cs="David" w:hint="cs"/>
          <w:sz w:val="24"/>
          <w:szCs w:val="24"/>
          <w:rtl/>
        </w:rPr>
        <w:t>לעיצוב המדיניות. מאחר שכך, "ההגבלות המוטלות על זכות זו צריכות להיות מינימאליות, ועליהן להגן על אינטרסים חיוניים ביותר."</w:t>
      </w:r>
      <w:r>
        <w:rPr>
          <w:rStyle w:val="FootnoteReference"/>
          <w:rFonts w:cs="David"/>
          <w:sz w:val="24"/>
          <w:szCs w:val="24"/>
          <w:rtl/>
        </w:rPr>
        <w:footnoteReference w:id="1"/>
      </w:r>
      <w:r w:rsidR="00D5231E">
        <w:rPr>
          <w:rFonts w:cs="David" w:hint="cs"/>
          <w:sz w:val="24"/>
          <w:szCs w:val="24"/>
          <w:rtl/>
        </w:rPr>
        <w:t xml:space="preserve"> </w:t>
      </w:r>
    </w:p>
    <w:p w:rsidR="00D5231E" w:rsidRDefault="00D5231E" w:rsidP="00F36AC6">
      <w:pPr>
        <w:spacing w:after="0" w:line="320" w:lineRule="exact"/>
        <w:jc w:val="both"/>
        <w:rPr>
          <w:rFonts w:cs="David"/>
          <w:sz w:val="24"/>
          <w:szCs w:val="24"/>
          <w:rtl/>
        </w:rPr>
      </w:pPr>
    </w:p>
    <w:p w:rsidR="00F24938" w:rsidRDefault="00D5231E" w:rsidP="00AE7356">
      <w:pPr>
        <w:spacing w:after="0" w:line="320" w:lineRule="exact"/>
        <w:jc w:val="both"/>
        <w:rPr>
          <w:rFonts w:cs="David"/>
          <w:sz w:val="24"/>
          <w:szCs w:val="24"/>
          <w:rtl/>
        </w:rPr>
      </w:pPr>
      <w:r>
        <w:rPr>
          <w:rFonts w:cs="David" w:hint="cs"/>
          <w:sz w:val="24"/>
          <w:szCs w:val="24"/>
          <w:rtl/>
        </w:rPr>
        <w:t xml:space="preserve">הכנסת קבעה בעבר בחוק-יסוד: הכנסת מגבלות </w:t>
      </w:r>
      <w:r w:rsidR="00906B9D">
        <w:rPr>
          <w:rFonts w:cs="David" w:hint="cs"/>
          <w:sz w:val="24"/>
          <w:szCs w:val="24"/>
          <w:rtl/>
        </w:rPr>
        <w:t xml:space="preserve">על מועמדים ועל חברי כנסת מכהנים, </w:t>
      </w:r>
      <w:r>
        <w:rPr>
          <w:rFonts w:cs="David" w:hint="cs"/>
          <w:sz w:val="24"/>
          <w:szCs w:val="24"/>
          <w:rtl/>
        </w:rPr>
        <w:t xml:space="preserve">במטרה לשמור על המחנה </w:t>
      </w:r>
      <w:r w:rsidR="00906B9D">
        <w:rPr>
          <w:rFonts w:cs="David" w:hint="cs"/>
          <w:sz w:val="24"/>
          <w:szCs w:val="24"/>
          <w:rtl/>
        </w:rPr>
        <w:t>"</w:t>
      </w:r>
      <w:r>
        <w:rPr>
          <w:rFonts w:cs="David" w:hint="cs"/>
          <w:sz w:val="24"/>
          <w:szCs w:val="24"/>
          <w:rtl/>
        </w:rPr>
        <w:t>טהור</w:t>
      </w:r>
      <w:r w:rsidR="00906B9D">
        <w:rPr>
          <w:rFonts w:cs="David" w:hint="cs"/>
          <w:sz w:val="24"/>
          <w:szCs w:val="24"/>
          <w:rtl/>
        </w:rPr>
        <w:t>"</w:t>
      </w:r>
      <w:r>
        <w:rPr>
          <w:rFonts w:cs="David" w:hint="cs"/>
          <w:sz w:val="24"/>
          <w:szCs w:val="24"/>
          <w:rtl/>
        </w:rPr>
        <w:t xml:space="preserve"> ועל אמון הציבור בנבחריו (סעיף 7 ו-42 שאוסרים על הצגת מועמדות לכנסת תוך כדי כהונה במשרה בכירה במדינה או על כהונה כפולה בכנסת ובמשרה כזו, סע</w:t>
      </w:r>
      <w:r w:rsidR="00B11951">
        <w:rPr>
          <w:rFonts w:cs="David" w:hint="cs"/>
          <w:sz w:val="24"/>
          <w:szCs w:val="24"/>
          <w:rtl/>
        </w:rPr>
        <w:t>יפים 42א ו-42ב שקובעים הדחה והשעיה מהכנסת בשל הרשעה בעבירה פלילית שיש עמה קלון או בשל ריצוי עונש מאסר). הגבלות מסוג זה, ובעיקר ההגבלות בעילה של הרשעה בפלילים, אינן נדירות בעולם.</w:t>
      </w:r>
      <w:r w:rsidR="00670B76">
        <w:rPr>
          <w:rFonts w:cs="David" w:hint="cs"/>
          <w:sz w:val="24"/>
          <w:szCs w:val="24"/>
          <w:rtl/>
        </w:rPr>
        <w:t xml:space="preserve"> בנוסף קיימים כללי האתיקה שנועדו לשמור על כבוד הכנסת ועל אמון הציבור בה</w:t>
      </w:r>
      <w:r w:rsidR="00AE7356">
        <w:rPr>
          <w:rFonts w:cs="David" w:hint="cs"/>
          <w:sz w:val="24"/>
          <w:szCs w:val="24"/>
          <w:rtl/>
        </w:rPr>
        <w:t>, שמאפשרים הטלת סנקציות על חברי הכנסת, שיש בהן הגבלות על פעילותם הפרלמנטרית אך אינם מגיעים לדרגה של הדחה</w:t>
      </w:r>
      <w:r w:rsidR="00670B76">
        <w:rPr>
          <w:rFonts w:cs="David" w:hint="cs"/>
          <w:sz w:val="24"/>
          <w:szCs w:val="24"/>
          <w:rtl/>
        </w:rPr>
        <w:t>.</w:t>
      </w:r>
    </w:p>
    <w:p w:rsidR="00B11951" w:rsidRDefault="00B11951" w:rsidP="00F36AC6">
      <w:pPr>
        <w:spacing w:after="0" w:line="320" w:lineRule="exact"/>
        <w:jc w:val="both"/>
        <w:rPr>
          <w:rFonts w:cs="David"/>
          <w:sz w:val="24"/>
          <w:szCs w:val="24"/>
          <w:rtl/>
        </w:rPr>
      </w:pPr>
    </w:p>
    <w:p w:rsidR="00EC5491" w:rsidRDefault="00144674" w:rsidP="00AE7356">
      <w:pPr>
        <w:spacing w:after="0" w:line="320" w:lineRule="exact"/>
        <w:jc w:val="both"/>
        <w:rPr>
          <w:rFonts w:cs="David"/>
          <w:sz w:val="24"/>
          <w:szCs w:val="24"/>
          <w:rtl/>
        </w:rPr>
      </w:pPr>
      <w:r>
        <w:rPr>
          <w:rFonts w:cs="David" w:hint="cs"/>
          <w:sz w:val="24"/>
          <w:szCs w:val="24"/>
          <w:rtl/>
        </w:rPr>
        <w:t>בצד מגבלות אלו קבעה הכנסת</w:t>
      </w:r>
      <w:r w:rsidR="00D2155E">
        <w:rPr>
          <w:rFonts w:cs="David" w:hint="cs"/>
          <w:sz w:val="24"/>
          <w:szCs w:val="24"/>
          <w:rtl/>
        </w:rPr>
        <w:t>, בסעיף 7א לחוק היסוד,</w:t>
      </w:r>
      <w:r>
        <w:rPr>
          <w:rFonts w:cs="David" w:hint="cs"/>
          <w:sz w:val="24"/>
          <w:szCs w:val="24"/>
          <w:rtl/>
        </w:rPr>
        <w:t xml:space="preserve"> את זכותה של הדמוקרטיה להגן על עצמה מפני מי שמנסה לעשות שימוש בכלים הדמוקרטיים במטרה לשלול את עצם קיומה של המדינה או לפגוע בעקרונות היסוד שלה.</w:t>
      </w:r>
      <w:r w:rsidR="00F36AC6">
        <w:rPr>
          <w:rFonts w:cs="David" w:hint="cs"/>
          <w:sz w:val="24"/>
          <w:szCs w:val="24"/>
          <w:rtl/>
        </w:rPr>
        <w:t xml:space="preserve"> </w:t>
      </w:r>
      <w:r>
        <w:rPr>
          <w:rFonts w:cs="David" w:hint="cs"/>
          <w:sz w:val="24"/>
          <w:szCs w:val="24"/>
          <w:rtl/>
        </w:rPr>
        <w:t>"זהו למעשה "הפרדוקס הדמוקרטי". פרדוקס הנגזר מחד מהצורך לדאוג שהדמוקרטיה תמשיך להתקיים, ומאידך מהרצון להגן על אגד הזכויות וחירויות היסוד הגלומות בה ועל שוק הדעות החופשי העומד בבסיסה</w:t>
      </w:r>
      <w:r w:rsidR="00D2155E">
        <w:rPr>
          <w:rFonts w:cs="David" w:hint="cs"/>
          <w:sz w:val="24"/>
          <w:szCs w:val="24"/>
          <w:rtl/>
        </w:rPr>
        <w:t>".</w:t>
      </w:r>
      <w:r w:rsidR="00D2155E">
        <w:rPr>
          <w:rStyle w:val="FootnoteReference"/>
          <w:rFonts w:cs="David"/>
          <w:sz w:val="24"/>
          <w:szCs w:val="24"/>
          <w:rtl/>
        </w:rPr>
        <w:footnoteReference w:id="2"/>
      </w:r>
      <w:r w:rsidR="00D2155E">
        <w:rPr>
          <w:rFonts w:cs="David" w:hint="cs"/>
          <w:sz w:val="24"/>
          <w:szCs w:val="24"/>
          <w:rtl/>
        </w:rPr>
        <w:t xml:space="preserve"> בשל פרדוקס זה מתחייבת הגבלה של מי שעושה שימוש בכלים הדמוקרטיים לקידום מטרות אנטי דמוקרטיות.</w:t>
      </w:r>
    </w:p>
    <w:p w:rsidR="00EC5491" w:rsidRDefault="00EC5491" w:rsidP="00F36AC6">
      <w:pPr>
        <w:spacing w:after="0" w:line="320" w:lineRule="exact"/>
        <w:jc w:val="both"/>
        <w:rPr>
          <w:rFonts w:cs="David"/>
          <w:sz w:val="24"/>
          <w:szCs w:val="24"/>
          <w:rtl/>
        </w:rPr>
      </w:pPr>
    </w:p>
    <w:p w:rsidR="00144674" w:rsidRDefault="00F64D74" w:rsidP="00F36AC6">
      <w:pPr>
        <w:spacing w:after="0" w:line="320" w:lineRule="exact"/>
        <w:jc w:val="both"/>
        <w:rPr>
          <w:rFonts w:cs="David"/>
          <w:sz w:val="24"/>
          <w:szCs w:val="24"/>
          <w:rtl/>
        </w:rPr>
      </w:pPr>
      <w:r>
        <w:rPr>
          <w:rFonts w:cs="David" w:hint="cs"/>
          <w:sz w:val="24"/>
          <w:szCs w:val="24"/>
          <w:rtl/>
        </w:rPr>
        <w:t xml:space="preserve"> מגבלה מתחייבת</w:t>
      </w:r>
      <w:r w:rsidR="00EC5491">
        <w:rPr>
          <w:rFonts w:cs="David" w:hint="cs"/>
          <w:sz w:val="24"/>
          <w:szCs w:val="24"/>
          <w:rtl/>
        </w:rPr>
        <w:t xml:space="preserve"> זו פוגעת לא רק בזכות לבחור ולהיבחר, אלא גם בחופש הביטוי, בשוויון, וכשמדובר ברשימת מועמדים, גם בחופש ההתאגדות</w:t>
      </w:r>
      <w:r w:rsidR="00EC5491">
        <w:rPr>
          <w:rStyle w:val="FootnoteReference"/>
          <w:rFonts w:cs="David"/>
          <w:sz w:val="24"/>
          <w:szCs w:val="24"/>
          <w:rtl/>
        </w:rPr>
        <w:footnoteReference w:id="3"/>
      </w:r>
      <w:r w:rsidR="00EC5491">
        <w:rPr>
          <w:rFonts w:cs="David" w:hint="cs"/>
          <w:sz w:val="24"/>
          <w:szCs w:val="24"/>
          <w:rtl/>
        </w:rPr>
        <w:t>. בשל כל אלה מתחייבת זהירות מפליגה בהפעלתה.</w:t>
      </w:r>
    </w:p>
    <w:p w:rsidR="00D2155E" w:rsidRDefault="00D2155E" w:rsidP="00F36AC6">
      <w:pPr>
        <w:spacing w:after="0" w:line="320" w:lineRule="exact"/>
        <w:jc w:val="both"/>
        <w:rPr>
          <w:rFonts w:cs="David"/>
          <w:sz w:val="24"/>
          <w:szCs w:val="24"/>
          <w:rtl/>
        </w:rPr>
      </w:pPr>
    </w:p>
    <w:p w:rsidR="00D2155E" w:rsidRPr="007C56CF" w:rsidRDefault="00EC5491" w:rsidP="00AD0685">
      <w:pPr>
        <w:spacing w:after="0" w:line="320" w:lineRule="exact"/>
        <w:jc w:val="both"/>
        <w:rPr>
          <w:rFonts w:cs="David"/>
          <w:sz w:val="24"/>
          <w:szCs w:val="24"/>
          <w:rtl/>
        </w:rPr>
      </w:pPr>
      <w:r>
        <w:rPr>
          <w:rFonts w:cs="David" w:hint="cs"/>
          <w:sz w:val="24"/>
          <w:szCs w:val="24"/>
          <w:u w:val="single"/>
          <w:rtl/>
        </w:rPr>
        <w:t xml:space="preserve">ולכן </w:t>
      </w:r>
      <w:r w:rsidR="00D2155E" w:rsidRPr="00F64D74">
        <w:rPr>
          <w:rFonts w:cs="David" w:hint="cs"/>
          <w:sz w:val="24"/>
          <w:szCs w:val="24"/>
          <w:u w:val="single"/>
          <w:rtl/>
        </w:rPr>
        <w:t xml:space="preserve">יודגש </w:t>
      </w:r>
      <w:r>
        <w:rPr>
          <w:rFonts w:cs="David" w:hint="cs"/>
          <w:sz w:val="24"/>
          <w:szCs w:val="24"/>
          <w:u w:val="single"/>
          <w:rtl/>
        </w:rPr>
        <w:t xml:space="preserve">כבר כאן </w:t>
      </w:r>
      <w:r w:rsidR="00D2155E" w:rsidRPr="00F64D74">
        <w:rPr>
          <w:rFonts w:cs="David" w:hint="cs"/>
          <w:sz w:val="24"/>
          <w:szCs w:val="24"/>
          <w:u w:val="single"/>
          <w:rtl/>
        </w:rPr>
        <w:t>ש</w:t>
      </w:r>
      <w:r w:rsidR="00AD0685">
        <w:rPr>
          <w:rFonts w:cs="David" w:hint="cs"/>
          <w:sz w:val="24"/>
          <w:szCs w:val="24"/>
          <w:u w:val="single"/>
          <w:rtl/>
        </w:rPr>
        <w:t>אופן הפעלת הסעיף חשוב</w:t>
      </w:r>
      <w:r w:rsidR="00D2155E" w:rsidRPr="00F64D74">
        <w:rPr>
          <w:rFonts w:cs="David" w:hint="cs"/>
          <w:sz w:val="24"/>
          <w:szCs w:val="24"/>
          <w:u w:val="single"/>
          <w:rtl/>
        </w:rPr>
        <w:t xml:space="preserve"> לא פחות </w:t>
      </w:r>
      <w:r w:rsidR="00636839" w:rsidRPr="00F64D74">
        <w:rPr>
          <w:rFonts w:cs="David" w:hint="cs"/>
          <w:sz w:val="24"/>
          <w:szCs w:val="24"/>
          <w:u w:val="single"/>
          <w:rtl/>
        </w:rPr>
        <w:t>מעצם קביעתו, שכן בנוסח</w:t>
      </w:r>
      <w:r w:rsidR="00AE7356">
        <w:rPr>
          <w:rFonts w:cs="David" w:hint="cs"/>
          <w:sz w:val="24"/>
          <w:szCs w:val="24"/>
          <w:u w:val="single"/>
          <w:rtl/>
        </w:rPr>
        <w:t xml:space="preserve"> עילותיו, שצוטטו לעיל,</w:t>
      </w:r>
      <w:r w:rsidR="00636839" w:rsidRPr="00F64D74">
        <w:rPr>
          <w:rFonts w:cs="David" w:hint="cs"/>
          <w:sz w:val="24"/>
          <w:szCs w:val="24"/>
          <w:u w:val="single"/>
          <w:rtl/>
        </w:rPr>
        <w:t xml:space="preserve"> </w:t>
      </w:r>
      <w:r w:rsidR="00515A13">
        <w:rPr>
          <w:rFonts w:cs="David" w:hint="cs"/>
          <w:sz w:val="24"/>
          <w:szCs w:val="24"/>
          <w:u w:val="single"/>
          <w:rtl/>
        </w:rPr>
        <w:t xml:space="preserve">יש </w:t>
      </w:r>
      <w:r w:rsidR="00636839" w:rsidRPr="00F64D74">
        <w:rPr>
          <w:rFonts w:cs="David" w:hint="cs"/>
          <w:sz w:val="24"/>
          <w:szCs w:val="24"/>
          <w:u w:val="single"/>
          <w:rtl/>
        </w:rPr>
        <w:t>מידה</w:t>
      </w:r>
      <w:r w:rsidR="00D2155E" w:rsidRPr="00F64D74">
        <w:rPr>
          <w:rFonts w:cs="David" w:hint="cs"/>
          <w:sz w:val="24"/>
          <w:szCs w:val="24"/>
          <w:u w:val="single"/>
          <w:rtl/>
        </w:rPr>
        <w:t xml:space="preserve"> של כלליות</w:t>
      </w:r>
      <w:r w:rsidR="00636839" w:rsidRPr="00F64D74">
        <w:rPr>
          <w:rFonts w:cs="David" w:hint="cs"/>
          <w:sz w:val="24"/>
          <w:szCs w:val="24"/>
          <w:u w:val="single"/>
          <w:rtl/>
        </w:rPr>
        <w:t xml:space="preserve"> שיכולה לחרוג מהמינימום המתחייב כדי להגן על </w:t>
      </w:r>
      <w:r w:rsidR="00AD0685">
        <w:rPr>
          <w:rFonts w:cs="David" w:hint="cs"/>
          <w:sz w:val="24"/>
          <w:szCs w:val="24"/>
          <w:u w:val="single"/>
          <w:rtl/>
        </w:rPr>
        <w:t>המדינה</w:t>
      </w:r>
      <w:r w:rsidR="00636839" w:rsidRPr="00F64D74">
        <w:rPr>
          <w:rFonts w:cs="David" w:hint="cs"/>
          <w:sz w:val="24"/>
          <w:szCs w:val="24"/>
          <w:u w:val="single"/>
          <w:rtl/>
        </w:rPr>
        <w:t>. לכן קבע בית המשפט כי הפעלתו של הסעיף תיעשה בצמצום, במקרים קיצוניים, ובאופן דווקני על מנת להגן על האינטרסים החיוניים ביותר.</w:t>
      </w:r>
      <w:r w:rsidR="00636839" w:rsidRPr="007C56CF">
        <w:rPr>
          <w:rFonts w:cs="David" w:hint="cs"/>
          <w:sz w:val="24"/>
          <w:szCs w:val="24"/>
          <w:rtl/>
        </w:rPr>
        <w:t xml:space="preserve"> לפיכך נקבע</w:t>
      </w:r>
      <w:r w:rsidR="00636839" w:rsidRPr="007C56CF">
        <w:rPr>
          <w:rStyle w:val="FootnoteReference"/>
          <w:rFonts w:cs="David"/>
          <w:sz w:val="24"/>
          <w:szCs w:val="24"/>
          <w:rtl/>
        </w:rPr>
        <w:footnoteReference w:id="4"/>
      </w:r>
      <w:r w:rsidR="00636839" w:rsidRPr="007C56CF">
        <w:rPr>
          <w:rFonts w:cs="David" w:hint="cs"/>
          <w:sz w:val="24"/>
          <w:szCs w:val="24"/>
          <w:rtl/>
        </w:rPr>
        <w:t xml:space="preserve">, כי יש לבחון את המאפיינים </w:t>
      </w:r>
      <w:r w:rsidR="00636839" w:rsidRPr="00AD0685">
        <w:rPr>
          <w:rFonts w:cs="David" w:hint="cs"/>
          <w:sz w:val="24"/>
          <w:szCs w:val="24"/>
          <w:u w:val="single"/>
          <w:rtl/>
        </w:rPr>
        <w:t>הדומיננטיים והמרכזיים</w:t>
      </w:r>
      <w:r w:rsidR="00F36AC6">
        <w:rPr>
          <w:rFonts w:cs="David" w:hint="cs"/>
          <w:sz w:val="24"/>
          <w:szCs w:val="24"/>
          <w:rtl/>
        </w:rPr>
        <w:t xml:space="preserve"> בפעילות</w:t>
      </w:r>
      <w:r w:rsidR="00636839" w:rsidRPr="007C56CF">
        <w:rPr>
          <w:rFonts w:cs="David" w:hint="cs"/>
          <w:sz w:val="24"/>
          <w:szCs w:val="24"/>
          <w:rtl/>
        </w:rPr>
        <w:t xml:space="preserve"> של המועמד או של הרשימה ולא את ההיבטים השוליים, שיש לבחון את המטרות והמעשים הנלמדים </w:t>
      </w:r>
      <w:r w:rsidR="00636839" w:rsidRPr="00AD0685">
        <w:rPr>
          <w:rFonts w:cs="David" w:hint="cs"/>
          <w:sz w:val="24"/>
          <w:szCs w:val="24"/>
          <w:rtl/>
        </w:rPr>
        <w:t xml:space="preserve">מהצהרות מפורשות או ממסקנות מסתברות המשתמעות באופן חד משמעי, שיש לוודא </w:t>
      </w:r>
      <w:r w:rsidR="00636839" w:rsidRPr="002C74DF">
        <w:rPr>
          <w:rFonts w:cs="David" w:hint="cs"/>
          <w:sz w:val="24"/>
          <w:szCs w:val="24"/>
          <w:u w:val="single"/>
          <w:rtl/>
        </w:rPr>
        <w:t>שלא מדובר בשאיפות תיאורטיות בלבד אלא בכאל</w:t>
      </w:r>
      <w:r w:rsidR="002D2C13" w:rsidRPr="002C74DF">
        <w:rPr>
          <w:rFonts w:cs="David" w:hint="cs"/>
          <w:sz w:val="24"/>
          <w:szCs w:val="24"/>
          <w:u w:val="single"/>
          <w:rtl/>
        </w:rPr>
        <w:t>ו</w:t>
      </w:r>
      <w:r w:rsidR="00636839" w:rsidRPr="002C74DF">
        <w:rPr>
          <w:rFonts w:cs="David" w:hint="cs"/>
          <w:sz w:val="24"/>
          <w:szCs w:val="24"/>
          <w:u w:val="single"/>
          <w:rtl/>
        </w:rPr>
        <w:t xml:space="preserve"> הנתמכות בפעילויות</w:t>
      </w:r>
      <w:r w:rsidR="00AD0685" w:rsidRPr="002C74DF">
        <w:rPr>
          <w:rFonts w:cs="David" w:hint="cs"/>
          <w:sz w:val="24"/>
          <w:szCs w:val="24"/>
          <w:u w:val="single"/>
          <w:rtl/>
        </w:rPr>
        <w:t xml:space="preserve"> (לרבות פוליטית)</w:t>
      </w:r>
      <w:r w:rsidR="00636839" w:rsidRPr="002C74DF">
        <w:rPr>
          <w:rFonts w:cs="David" w:hint="cs"/>
          <w:sz w:val="24"/>
          <w:szCs w:val="24"/>
          <w:u w:val="single"/>
          <w:rtl/>
        </w:rPr>
        <w:t xml:space="preserve"> חוזרות ונשנות לשם מימושן</w:t>
      </w:r>
      <w:r w:rsidR="00636839" w:rsidRPr="007C56CF">
        <w:rPr>
          <w:rFonts w:cs="David" w:hint="cs"/>
          <w:sz w:val="24"/>
          <w:szCs w:val="24"/>
          <w:rtl/>
        </w:rPr>
        <w:t>, ושעל הראיות ל</w:t>
      </w:r>
      <w:r w:rsidR="003C6A2D" w:rsidRPr="007C56CF">
        <w:rPr>
          <w:rFonts w:cs="David" w:hint="cs"/>
          <w:sz w:val="24"/>
          <w:szCs w:val="24"/>
          <w:rtl/>
        </w:rPr>
        <w:t xml:space="preserve">היות </w:t>
      </w:r>
      <w:r w:rsidR="003C6A2D" w:rsidRPr="002C74DF">
        <w:rPr>
          <w:rFonts w:cs="David" w:hint="cs"/>
          <w:sz w:val="24"/>
          <w:szCs w:val="24"/>
          <w:u w:val="single"/>
          <w:rtl/>
        </w:rPr>
        <w:t>משכנעות, ברורות</w:t>
      </w:r>
      <w:r w:rsidR="003C6A2D" w:rsidRPr="002C74DF">
        <w:rPr>
          <w:rFonts w:cs="David" w:hint="cs"/>
          <w:b/>
          <w:bCs/>
          <w:sz w:val="24"/>
          <w:szCs w:val="24"/>
          <w:u w:val="single"/>
          <w:rtl/>
        </w:rPr>
        <w:t xml:space="preserve"> </w:t>
      </w:r>
      <w:r w:rsidR="003C6A2D" w:rsidRPr="002C74DF">
        <w:rPr>
          <w:rFonts w:cs="David" w:hint="cs"/>
          <w:sz w:val="24"/>
          <w:szCs w:val="24"/>
          <w:u w:val="single"/>
          <w:rtl/>
        </w:rPr>
        <w:t>וחד משמעיות</w:t>
      </w:r>
      <w:r w:rsidR="003C6A2D" w:rsidRPr="007C56CF">
        <w:rPr>
          <w:rFonts w:cs="David" w:hint="cs"/>
          <w:sz w:val="24"/>
          <w:szCs w:val="24"/>
          <w:rtl/>
        </w:rPr>
        <w:t>.</w:t>
      </w:r>
      <w:r w:rsidR="007C56CF" w:rsidRPr="007C56CF">
        <w:rPr>
          <w:rFonts w:cs="David" w:hint="cs"/>
          <w:sz w:val="24"/>
          <w:szCs w:val="24"/>
          <w:rtl/>
        </w:rPr>
        <w:t xml:space="preserve"> </w:t>
      </w:r>
      <w:r w:rsidR="007C56CF">
        <w:rPr>
          <w:rFonts w:cs="David" w:hint="cs"/>
          <w:sz w:val="24"/>
          <w:szCs w:val="24"/>
          <w:rtl/>
        </w:rPr>
        <w:t>בנוסף, פירש בית המשפט בצמצום ובצורה גרעינית כל אחת משלוש עילות הפסילה (שלילת קיומה של מדינת ישראל כמדינה יהודית ודמוקרטית, הסתה לגזענות, תמיכה במאבק מזוין של מדינת אויב או של ארגון טרור נגד מדינת ישראל)</w:t>
      </w:r>
      <w:r w:rsidR="0041114E">
        <w:rPr>
          <w:rFonts w:cs="David" w:hint="cs"/>
          <w:sz w:val="24"/>
          <w:szCs w:val="24"/>
          <w:rtl/>
        </w:rPr>
        <w:t>, כך שמנ</w:t>
      </w:r>
      <w:r w:rsidR="00AD0685">
        <w:rPr>
          <w:rFonts w:cs="David" w:hint="cs"/>
          <w:sz w:val="24"/>
          <w:szCs w:val="24"/>
          <w:rtl/>
        </w:rPr>
        <w:t>יעת ההשתתפות בבחירות בכנסת אכן ת</w:t>
      </w:r>
      <w:r w:rsidR="0041114E">
        <w:rPr>
          <w:rFonts w:cs="David" w:hint="cs"/>
          <w:sz w:val="24"/>
          <w:szCs w:val="24"/>
          <w:rtl/>
        </w:rPr>
        <w:t>היה "כמעט החץ האחרון באשפתה של הדמוקרטיה המתגוננת"</w:t>
      </w:r>
      <w:r w:rsidR="0041114E">
        <w:rPr>
          <w:rStyle w:val="FootnoteReference"/>
          <w:rFonts w:cs="David"/>
          <w:sz w:val="24"/>
          <w:szCs w:val="24"/>
          <w:rtl/>
        </w:rPr>
        <w:footnoteReference w:id="5"/>
      </w:r>
      <w:r w:rsidR="0041114E">
        <w:rPr>
          <w:rFonts w:cs="David" w:hint="cs"/>
          <w:sz w:val="24"/>
          <w:szCs w:val="24"/>
          <w:rtl/>
        </w:rPr>
        <w:t>.</w:t>
      </w:r>
    </w:p>
    <w:p w:rsidR="003C6A2D" w:rsidRPr="00F64D74" w:rsidRDefault="003C6A2D" w:rsidP="00F36AC6">
      <w:pPr>
        <w:spacing w:after="0" w:line="320" w:lineRule="exact"/>
        <w:jc w:val="both"/>
        <w:rPr>
          <w:rFonts w:cs="David"/>
          <w:sz w:val="24"/>
          <w:szCs w:val="24"/>
          <w:u w:val="single"/>
          <w:rtl/>
        </w:rPr>
      </w:pPr>
    </w:p>
    <w:p w:rsidR="003C6A2D" w:rsidRDefault="002C74DF" w:rsidP="002C74DF">
      <w:pPr>
        <w:spacing w:after="0" w:line="320" w:lineRule="exact"/>
        <w:jc w:val="both"/>
        <w:rPr>
          <w:rFonts w:cs="David"/>
          <w:sz w:val="24"/>
          <w:szCs w:val="24"/>
          <w:rtl/>
        </w:rPr>
      </w:pPr>
      <w:r>
        <w:rPr>
          <w:rFonts w:cs="David" w:hint="cs"/>
          <w:sz w:val="24"/>
          <w:szCs w:val="24"/>
          <w:u w:val="single"/>
          <w:rtl/>
        </w:rPr>
        <w:t>ה</w:t>
      </w:r>
      <w:r w:rsidR="003C6A2D" w:rsidRPr="000A2404">
        <w:rPr>
          <w:rFonts w:cs="David" w:hint="cs"/>
          <w:sz w:val="24"/>
          <w:szCs w:val="24"/>
          <w:u w:val="single"/>
          <w:rtl/>
        </w:rPr>
        <w:t>בחנים לפסילת רשימה ולפסילת מועמד</w:t>
      </w:r>
      <w:r>
        <w:rPr>
          <w:rFonts w:cs="David" w:hint="cs"/>
          <w:sz w:val="24"/>
          <w:szCs w:val="24"/>
          <w:u w:val="single"/>
          <w:rtl/>
        </w:rPr>
        <w:t xml:space="preserve"> הם זהים</w:t>
      </w:r>
      <w:r w:rsidR="003C6A2D">
        <w:rPr>
          <w:rFonts w:cs="David" w:hint="cs"/>
          <w:sz w:val="24"/>
          <w:szCs w:val="24"/>
          <w:rtl/>
        </w:rPr>
        <w:t xml:space="preserve">. אמנם שיטתנו היא שיטה </w:t>
      </w:r>
      <w:proofErr w:type="spellStart"/>
      <w:r w:rsidR="003C6A2D">
        <w:rPr>
          <w:rFonts w:cs="David" w:hint="cs"/>
          <w:sz w:val="24"/>
          <w:szCs w:val="24"/>
          <w:rtl/>
        </w:rPr>
        <w:t>רשימתית</w:t>
      </w:r>
      <w:proofErr w:type="spellEnd"/>
      <w:r w:rsidR="003C6A2D">
        <w:rPr>
          <w:rFonts w:cs="David" w:hint="cs"/>
          <w:sz w:val="24"/>
          <w:szCs w:val="24"/>
          <w:rtl/>
        </w:rPr>
        <w:t xml:space="preserve">, וברי שפסילת רשימה היא פגיעה קשה יותר בזכות הציבור להיות מיוצג, אך גם במקרה של </w:t>
      </w:r>
      <w:r w:rsidR="007C56CF">
        <w:rPr>
          <w:rFonts w:cs="David" w:hint="cs"/>
          <w:sz w:val="24"/>
          <w:szCs w:val="24"/>
          <w:rtl/>
        </w:rPr>
        <w:t xml:space="preserve">פסילת </w:t>
      </w:r>
      <w:r w:rsidR="003C6A2D">
        <w:rPr>
          <w:rFonts w:cs="David" w:hint="cs"/>
          <w:sz w:val="24"/>
          <w:szCs w:val="24"/>
          <w:rtl/>
        </w:rPr>
        <w:t>מועמד בודד הפגיעה קיימת</w:t>
      </w:r>
      <w:r w:rsidR="00F64D74">
        <w:rPr>
          <w:rFonts w:cs="David" w:hint="cs"/>
          <w:sz w:val="24"/>
          <w:szCs w:val="24"/>
          <w:rtl/>
        </w:rPr>
        <w:t xml:space="preserve"> ויכולה להיות משמעותית (כך למשל לגבי </w:t>
      </w:r>
      <w:r w:rsidR="003C6A2D">
        <w:rPr>
          <w:rFonts w:cs="David" w:hint="cs"/>
          <w:sz w:val="24"/>
          <w:szCs w:val="24"/>
          <w:rtl/>
        </w:rPr>
        <w:t>מפלגות קטנות שמנהיגי</w:t>
      </w:r>
      <w:r w:rsidR="007C56CF">
        <w:rPr>
          <w:rFonts w:cs="David" w:hint="cs"/>
          <w:sz w:val="24"/>
          <w:szCs w:val="24"/>
          <w:rtl/>
        </w:rPr>
        <w:t>הן</w:t>
      </w:r>
      <w:r w:rsidR="003C6A2D">
        <w:rPr>
          <w:rFonts w:cs="David" w:hint="cs"/>
          <w:sz w:val="24"/>
          <w:szCs w:val="24"/>
          <w:rtl/>
        </w:rPr>
        <w:t xml:space="preserve"> הם אלה המוכרים לציבור, </w:t>
      </w:r>
      <w:r w:rsidR="00F64D74">
        <w:rPr>
          <w:rFonts w:cs="David" w:hint="cs"/>
          <w:sz w:val="24"/>
          <w:szCs w:val="24"/>
          <w:rtl/>
        </w:rPr>
        <w:t xml:space="preserve">או </w:t>
      </w:r>
      <w:r w:rsidR="003C6A2D">
        <w:rPr>
          <w:rFonts w:cs="David" w:hint="cs"/>
          <w:sz w:val="24"/>
          <w:szCs w:val="24"/>
          <w:rtl/>
        </w:rPr>
        <w:t>מפלגות שמנהלות בחירות פנימיות שבהן הציבור שותף גם ל</w:t>
      </w:r>
      <w:r w:rsidR="00F64D74">
        <w:rPr>
          <w:rFonts w:cs="David" w:hint="cs"/>
          <w:sz w:val="24"/>
          <w:szCs w:val="24"/>
          <w:rtl/>
        </w:rPr>
        <w:t>דירוג הפנימי של המועמדים ברשימה, או במקרה שהמועמד שנפסל בולט מאוד בציבור ובמפלגה)</w:t>
      </w:r>
      <w:r w:rsidR="00A84627">
        <w:rPr>
          <w:rFonts w:cs="David" w:hint="cs"/>
          <w:sz w:val="24"/>
          <w:szCs w:val="24"/>
          <w:rtl/>
        </w:rPr>
        <w:t xml:space="preserve"> וכן נפגעת הזכות להיבחר גם בפסילה של מועמד בודד</w:t>
      </w:r>
      <w:r w:rsidR="00F64D74">
        <w:rPr>
          <w:rFonts w:cs="David" w:hint="cs"/>
          <w:sz w:val="24"/>
          <w:szCs w:val="24"/>
          <w:rtl/>
        </w:rPr>
        <w:t>.</w:t>
      </w:r>
    </w:p>
    <w:p w:rsidR="0041114E" w:rsidRDefault="0041114E" w:rsidP="00F36AC6">
      <w:pPr>
        <w:spacing w:after="0" w:line="320" w:lineRule="exact"/>
        <w:jc w:val="both"/>
        <w:rPr>
          <w:rFonts w:cs="David"/>
          <w:sz w:val="24"/>
          <w:szCs w:val="24"/>
          <w:rtl/>
        </w:rPr>
      </w:pPr>
    </w:p>
    <w:p w:rsidR="00F64D74" w:rsidRDefault="00F64D74" w:rsidP="00F36AC6">
      <w:pPr>
        <w:spacing w:after="0" w:line="320" w:lineRule="exact"/>
        <w:jc w:val="both"/>
        <w:rPr>
          <w:rFonts w:cs="David"/>
          <w:sz w:val="24"/>
          <w:szCs w:val="24"/>
          <w:rtl/>
        </w:rPr>
      </w:pPr>
      <w:r>
        <w:rPr>
          <w:rFonts w:cs="David" w:hint="cs"/>
          <w:sz w:val="24"/>
          <w:szCs w:val="24"/>
          <w:rtl/>
        </w:rPr>
        <w:t xml:space="preserve">כעת מתבקשת הוועדה לאשר </w:t>
      </w:r>
      <w:r w:rsidR="007C56CF">
        <w:rPr>
          <w:rFonts w:cs="David" w:hint="cs"/>
          <w:sz w:val="24"/>
          <w:szCs w:val="24"/>
          <w:rtl/>
        </w:rPr>
        <w:t xml:space="preserve">השעיה של חבר </w:t>
      </w:r>
      <w:r>
        <w:rPr>
          <w:rFonts w:cs="David" w:hint="cs"/>
          <w:sz w:val="24"/>
          <w:szCs w:val="24"/>
          <w:rtl/>
        </w:rPr>
        <w:t xml:space="preserve">כנסת </w:t>
      </w:r>
      <w:r w:rsidR="007C56CF">
        <w:rPr>
          <w:rFonts w:cs="David" w:hint="cs"/>
          <w:sz w:val="24"/>
          <w:szCs w:val="24"/>
          <w:rtl/>
        </w:rPr>
        <w:t xml:space="preserve">מכהן, </w:t>
      </w:r>
      <w:r>
        <w:rPr>
          <w:rFonts w:cs="David" w:hint="cs"/>
          <w:sz w:val="24"/>
          <w:szCs w:val="24"/>
          <w:rtl/>
        </w:rPr>
        <w:t>באותן עילות</w:t>
      </w:r>
      <w:r w:rsidR="007C56CF">
        <w:rPr>
          <w:rFonts w:cs="David" w:hint="cs"/>
          <w:sz w:val="24"/>
          <w:szCs w:val="24"/>
          <w:rtl/>
        </w:rPr>
        <w:t>, על ידי הכנסת</w:t>
      </w:r>
      <w:r w:rsidR="002D2C13">
        <w:rPr>
          <w:rFonts w:cs="David" w:hint="cs"/>
          <w:sz w:val="24"/>
          <w:szCs w:val="24"/>
          <w:rtl/>
        </w:rPr>
        <w:t>, השעיה שיכולה להיות למשך יתרת הכהונה כך שעלולה להגיע לכדי הדחה</w:t>
      </w:r>
      <w:r>
        <w:rPr>
          <w:rFonts w:cs="David" w:hint="cs"/>
          <w:sz w:val="24"/>
          <w:szCs w:val="24"/>
          <w:rtl/>
        </w:rPr>
        <w:t>.</w:t>
      </w:r>
    </w:p>
    <w:p w:rsidR="00F36AC6" w:rsidRDefault="00F36AC6" w:rsidP="00F36AC6">
      <w:pPr>
        <w:spacing w:after="0" w:line="320" w:lineRule="exact"/>
        <w:jc w:val="both"/>
        <w:rPr>
          <w:rFonts w:cs="David"/>
          <w:sz w:val="24"/>
          <w:szCs w:val="24"/>
          <w:rtl/>
        </w:rPr>
      </w:pPr>
    </w:p>
    <w:p w:rsidR="0041114E" w:rsidRDefault="0041114E" w:rsidP="00F36AC6">
      <w:pPr>
        <w:spacing w:after="0" w:line="320" w:lineRule="exact"/>
        <w:jc w:val="both"/>
        <w:rPr>
          <w:rFonts w:cs="David"/>
          <w:sz w:val="24"/>
          <w:szCs w:val="24"/>
          <w:rtl/>
        </w:rPr>
      </w:pPr>
      <w:r w:rsidRPr="000A2404">
        <w:rPr>
          <w:rFonts w:cs="David" w:hint="cs"/>
          <w:sz w:val="24"/>
          <w:szCs w:val="24"/>
          <w:u w:val="single"/>
          <w:rtl/>
        </w:rPr>
        <w:t>מבחינה אנליטית וגם חוקית, מעת שנבחר אדם לכנסת</w:t>
      </w:r>
      <w:r w:rsidR="00412C28" w:rsidRPr="000A2404">
        <w:rPr>
          <w:rFonts w:cs="David" w:hint="cs"/>
          <w:sz w:val="24"/>
          <w:szCs w:val="24"/>
          <w:u w:val="single"/>
          <w:rtl/>
        </w:rPr>
        <w:t>,</w:t>
      </w:r>
      <w:r w:rsidRPr="000A2404">
        <w:rPr>
          <w:rFonts w:cs="David" w:hint="cs"/>
          <w:sz w:val="24"/>
          <w:szCs w:val="24"/>
          <w:u w:val="single"/>
          <w:rtl/>
        </w:rPr>
        <w:t xml:space="preserve"> מצופה ממנו</w:t>
      </w:r>
      <w:r w:rsidR="00A84627" w:rsidRPr="000A2404">
        <w:rPr>
          <w:rFonts w:cs="David" w:hint="cs"/>
          <w:sz w:val="24"/>
          <w:szCs w:val="24"/>
          <w:u w:val="single"/>
          <w:rtl/>
        </w:rPr>
        <w:t>,</w:t>
      </w:r>
      <w:r w:rsidRPr="000A2404">
        <w:rPr>
          <w:rFonts w:cs="David" w:hint="cs"/>
          <w:sz w:val="24"/>
          <w:szCs w:val="24"/>
          <w:u w:val="single"/>
          <w:rtl/>
        </w:rPr>
        <w:t xml:space="preserve"> והוא גם מחויב</w:t>
      </w:r>
      <w:r w:rsidR="00A84627" w:rsidRPr="000A2404">
        <w:rPr>
          <w:rFonts w:cs="David" w:hint="cs"/>
          <w:sz w:val="24"/>
          <w:szCs w:val="24"/>
          <w:u w:val="single"/>
          <w:rtl/>
        </w:rPr>
        <w:t>,</w:t>
      </w:r>
      <w:r w:rsidRPr="000A2404">
        <w:rPr>
          <w:rFonts w:cs="David" w:hint="cs"/>
          <w:sz w:val="24"/>
          <w:szCs w:val="24"/>
          <w:u w:val="single"/>
          <w:rtl/>
        </w:rPr>
        <w:t xml:space="preserve"> שלא לפעול בניגוד לסעיף 7א ולאדנים הבסיסיים, התשתיתיים של המדינה</w:t>
      </w:r>
      <w:r>
        <w:rPr>
          <w:rFonts w:cs="David" w:hint="cs"/>
          <w:sz w:val="24"/>
          <w:szCs w:val="24"/>
          <w:rtl/>
        </w:rPr>
        <w:t xml:space="preserve">. סעיף 7א עצמו מחייב כל מועמד להצהיר הצהרה ואכן סעיף </w:t>
      </w:r>
      <w:r w:rsidR="00A84627">
        <w:rPr>
          <w:rFonts w:cs="David" w:hint="cs"/>
          <w:sz w:val="24"/>
          <w:szCs w:val="24"/>
          <w:rtl/>
        </w:rPr>
        <w:t>57(ט1) לחוק הבחירות לכנסת קובע כי בכתב ההסכמה של כל מועמד</w:t>
      </w:r>
      <w:r>
        <w:rPr>
          <w:rFonts w:cs="David" w:hint="cs"/>
          <w:sz w:val="24"/>
          <w:szCs w:val="24"/>
          <w:rtl/>
        </w:rPr>
        <w:t xml:space="preserve"> </w:t>
      </w:r>
      <w:r w:rsidR="00A84627">
        <w:rPr>
          <w:rFonts w:cs="David" w:hint="cs"/>
          <w:sz w:val="24"/>
          <w:szCs w:val="24"/>
          <w:rtl/>
        </w:rPr>
        <w:t xml:space="preserve">שמוגש לוועדת הבחירות המרכזית עם הגשת הרשימה "יצהיר המועמד הצהרה זו: אני מתחייב לשמור אמונים למדינת ישראל ולהימנע מלפעול בניגוד לעקרונות סעיף 7א לחוק-יסוד: הכנסת". </w:t>
      </w:r>
      <w:r w:rsidR="002D2C13">
        <w:rPr>
          <w:rFonts w:cs="David" w:hint="cs"/>
          <w:sz w:val="24"/>
          <w:szCs w:val="24"/>
          <w:rtl/>
        </w:rPr>
        <w:t xml:space="preserve"> הפרה של הצהרה זו היא הפרה של התחייבותו של המועמד שנבחר לכנסת. </w:t>
      </w:r>
      <w:r w:rsidR="00A84627">
        <w:rPr>
          <w:rFonts w:cs="David" w:hint="cs"/>
          <w:sz w:val="24"/>
          <w:szCs w:val="24"/>
          <w:rtl/>
        </w:rPr>
        <w:t>בנוסף</w:t>
      </w:r>
      <w:r w:rsidR="002D2C13">
        <w:rPr>
          <w:rFonts w:cs="David" w:hint="cs"/>
          <w:sz w:val="24"/>
          <w:szCs w:val="24"/>
          <w:rtl/>
        </w:rPr>
        <w:t>,</w:t>
      </w:r>
      <w:r w:rsidR="00A84627">
        <w:rPr>
          <w:rFonts w:cs="David" w:hint="cs"/>
          <w:sz w:val="24"/>
          <w:szCs w:val="24"/>
          <w:rtl/>
        </w:rPr>
        <w:t xml:space="preserve"> מבהיר חוק חסינות חברי הכנסת, זכויותיהם וחובותיהם</w:t>
      </w:r>
      <w:r w:rsidR="002D2C13">
        <w:rPr>
          <w:rFonts w:cs="David" w:hint="cs"/>
          <w:sz w:val="24"/>
          <w:szCs w:val="24"/>
          <w:rtl/>
        </w:rPr>
        <w:t>,</w:t>
      </w:r>
      <w:r w:rsidR="00A84627">
        <w:rPr>
          <w:rFonts w:cs="David" w:hint="cs"/>
          <w:sz w:val="24"/>
          <w:szCs w:val="24"/>
          <w:rtl/>
        </w:rPr>
        <w:t xml:space="preserve"> בסעיף 1(א1) שמעשים והתבטאויות</w:t>
      </w:r>
      <w:r w:rsidR="00412C28">
        <w:rPr>
          <w:rFonts w:cs="David" w:hint="cs"/>
          <w:sz w:val="24"/>
          <w:szCs w:val="24"/>
          <w:rtl/>
        </w:rPr>
        <w:t>, שאינם אקראיים,</w:t>
      </w:r>
      <w:r w:rsidR="00A84627">
        <w:rPr>
          <w:rFonts w:cs="David" w:hint="cs"/>
          <w:sz w:val="24"/>
          <w:szCs w:val="24"/>
          <w:rtl/>
        </w:rPr>
        <w:t xml:space="preserve"> </w:t>
      </w:r>
      <w:r w:rsidR="00412C28">
        <w:rPr>
          <w:rFonts w:cs="David" w:hint="cs"/>
          <w:sz w:val="24"/>
          <w:szCs w:val="24"/>
          <w:rtl/>
        </w:rPr>
        <w:t>הדומים</w:t>
      </w:r>
      <w:r w:rsidR="00A84627">
        <w:rPr>
          <w:rFonts w:cs="David" w:hint="cs"/>
          <w:sz w:val="24"/>
          <w:szCs w:val="24"/>
          <w:rtl/>
        </w:rPr>
        <w:t xml:space="preserve"> ל</w:t>
      </w:r>
      <w:r w:rsidR="002D2C13">
        <w:rPr>
          <w:rFonts w:cs="David" w:hint="cs"/>
          <w:sz w:val="24"/>
          <w:szCs w:val="24"/>
          <w:rtl/>
        </w:rPr>
        <w:t>אלה האסורים</w:t>
      </w:r>
      <w:r w:rsidR="00A84627">
        <w:rPr>
          <w:rFonts w:cs="David" w:hint="cs"/>
          <w:sz w:val="24"/>
          <w:szCs w:val="24"/>
          <w:rtl/>
        </w:rPr>
        <w:t xml:space="preserve"> בסעיף 7א לא ייחשבו כ</w:t>
      </w:r>
      <w:r w:rsidR="000768FF">
        <w:rPr>
          <w:rFonts w:cs="David" w:hint="cs"/>
          <w:sz w:val="24"/>
          <w:szCs w:val="24"/>
          <w:rtl/>
        </w:rPr>
        <w:t xml:space="preserve">הבעת דעה או מעשה במסגרת תפקידו של חבר הכנסת </w:t>
      </w:r>
      <w:r w:rsidR="002D2C13">
        <w:rPr>
          <w:rFonts w:cs="David" w:hint="cs"/>
          <w:sz w:val="24"/>
          <w:szCs w:val="24"/>
          <w:rtl/>
        </w:rPr>
        <w:t>ולא תחול עליהם</w:t>
      </w:r>
      <w:r w:rsidR="000768FF">
        <w:rPr>
          <w:rFonts w:cs="David" w:hint="cs"/>
          <w:sz w:val="24"/>
          <w:szCs w:val="24"/>
          <w:rtl/>
        </w:rPr>
        <w:t xml:space="preserve"> החסינות המהותית</w:t>
      </w:r>
      <w:r w:rsidR="000768FF">
        <w:rPr>
          <w:rStyle w:val="FootnoteReference"/>
          <w:rFonts w:cs="David"/>
          <w:sz w:val="24"/>
          <w:szCs w:val="24"/>
          <w:rtl/>
        </w:rPr>
        <w:footnoteReference w:id="6"/>
      </w:r>
      <w:r w:rsidR="000768FF">
        <w:rPr>
          <w:rFonts w:cs="David" w:hint="cs"/>
          <w:sz w:val="24"/>
          <w:szCs w:val="24"/>
          <w:rtl/>
        </w:rPr>
        <w:t>.</w:t>
      </w:r>
      <w:r w:rsidR="00753E99">
        <w:rPr>
          <w:rFonts w:cs="David" w:hint="cs"/>
          <w:sz w:val="24"/>
          <w:szCs w:val="24"/>
          <w:rtl/>
        </w:rPr>
        <w:t xml:space="preserve"> ברור שמה שלא לגיטימי בעת בחינה נקודתית לפני הבחירות, לא לגיטימי גם אחריה.</w:t>
      </w:r>
    </w:p>
    <w:p w:rsidR="00412C28" w:rsidRDefault="00412C28" w:rsidP="00F36AC6">
      <w:pPr>
        <w:spacing w:after="0" w:line="320" w:lineRule="exact"/>
        <w:jc w:val="both"/>
        <w:rPr>
          <w:rFonts w:cs="David"/>
          <w:sz w:val="24"/>
          <w:szCs w:val="24"/>
          <w:rtl/>
        </w:rPr>
      </w:pPr>
    </w:p>
    <w:p w:rsidR="00412C28" w:rsidRDefault="002D2C13" w:rsidP="009409FA">
      <w:pPr>
        <w:spacing w:after="0" w:line="320" w:lineRule="exact"/>
        <w:jc w:val="both"/>
        <w:rPr>
          <w:rFonts w:cs="David"/>
          <w:sz w:val="24"/>
          <w:szCs w:val="24"/>
          <w:rtl/>
        </w:rPr>
      </w:pPr>
      <w:r w:rsidRPr="000A2404">
        <w:rPr>
          <w:rFonts w:cs="David" w:hint="cs"/>
          <w:sz w:val="24"/>
          <w:szCs w:val="24"/>
          <w:u w:val="single"/>
          <w:rtl/>
        </w:rPr>
        <w:t xml:space="preserve">ואולם, </w:t>
      </w:r>
      <w:r w:rsidR="00412C28" w:rsidRPr="000A2404">
        <w:rPr>
          <w:rFonts w:cs="David" w:hint="cs"/>
          <w:sz w:val="24"/>
          <w:szCs w:val="24"/>
          <w:u w:val="single"/>
          <w:rtl/>
        </w:rPr>
        <w:t>לפי הדין היום</w:t>
      </w:r>
      <w:r w:rsidRPr="000A2404">
        <w:rPr>
          <w:rFonts w:cs="David" w:hint="cs"/>
          <w:sz w:val="24"/>
          <w:szCs w:val="24"/>
          <w:u w:val="single"/>
          <w:rtl/>
        </w:rPr>
        <w:t xml:space="preserve">, את השאלה האם </w:t>
      </w:r>
      <w:r w:rsidR="006A4837">
        <w:rPr>
          <w:rFonts w:cs="David" w:hint="cs"/>
          <w:sz w:val="24"/>
          <w:szCs w:val="24"/>
          <w:u w:val="single"/>
          <w:rtl/>
        </w:rPr>
        <w:t xml:space="preserve">חבר הכנסת </w:t>
      </w:r>
      <w:r w:rsidR="00AD0685">
        <w:rPr>
          <w:rFonts w:cs="David" w:hint="cs"/>
          <w:sz w:val="24"/>
          <w:szCs w:val="24"/>
          <w:u w:val="single"/>
          <w:rtl/>
        </w:rPr>
        <w:t>"</w:t>
      </w:r>
      <w:r w:rsidRPr="000A2404">
        <w:rPr>
          <w:rFonts w:cs="David" w:hint="cs"/>
          <w:sz w:val="24"/>
          <w:szCs w:val="24"/>
          <w:u w:val="single"/>
          <w:rtl/>
        </w:rPr>
        <w:t>הוציא את עצמו מהכלל</w:t>
      </w:r>
      <w:r w:rsidR="00AD0685">
        <w:rPr>
          <w:rFonts w:cs="David" w:hint="cs"/>
          <w:sz w:val="24"/>
          <w:szCs w:val="24"/>
          <w:u w:val="single"/>
          <w:rtl/>
        </w:rPr>
        <w:t>"</w:t>
      </w:r>
      <w:r w:rsidR="00753E99">
        <w:rPr>
          <w:rFonts w:cs="David" w:hint="cs"/>
          <w:sz w:val="24"/>
          <w:szCs w:val="24"/>
          <w:u w:val="single"/>
          <w:rtl/>
        </w:rPr>
        <w:t xml:space="preserve"> וכפר בעיקריו של סעיף 7א</w:t>
      </w:r>
      <w:r w:rsidR="00AD0685">
        <w:rPr>
          <w:rFonts w:cs="David" w:hint="cs"/>
          <w:sz w:val="24"/>
          <w:szCs w:val="24"/>
          <w:u w:val="single"/>
          <w:rtl/>
        </w:rPr>
        <w:t>, בוחנים עובר לבחירות</w:t>
      </w:r>
      <w:r w:rsidRPr="000A2404">
        <w:rPr>
          <w:rFonts w:cs="David" w:hint="cs"/>
          <w:sz w:val="24"/>
          <w:szCs w:val="24"/>
          <w:u w:val="single"/>
          <w:rtl/>
        </w:rPr>
        <w:t>, וכך ניתנת ההזדמנות לוועדת הבחירות ולבית המשפט העליון</w:t>
      </w:r>
      <w:r w:rsidR="00412C28" w:rsidRPr="000A2404">
        <w:rPr>
          <w:rFonts w:cs="David" w:hint="cs"/>
          <w:sz w:val="24"/>
          <w:szCs w:val="24"/>
          <w:u w:val="single"/>
          <w:rtl/>
        </w:rPr>
        <w:t xml:space="preserve"> </w:t>
      </w:r>
      <w:r w:rsidRPr="000A2404">
        <w:rPr>
          <w:rFonts w:cs="David" w:hint="cs"/>
          <w:sz w:val="24"/>
          <w:szCs w:val="24"/>
          <w:u w:val="single"/>
          <w:rtl/>
        </w:rPr>
        <w:t>לראות שאכן מדובר בפעילות רצינית, משמעותית</w:t>
      </w:r>
      <w:r w:rsidR="009409FA">
        <w:rPr>
          <w:rFonts w:cs="David" w:hint="cs"/>
          <w:sz w:val="24"/>
          <w:szCs w:val="24"/>
          <w:u w:val="single"/>
          <w:rtl/>
        </w:rPr>
        <w:t>, שמתמשכת על פני פרק זמן,</w:t>
      </w:r>
      <w:r w:rsidRPr="000A2404">
        <w:rPr>
          <w:rFonts w:cs="David" w:hint="cs"/>
          <w:sz w:val="24"/>
          <w:szCs w:val="24"/>
          <w:u w:val="single"/>
          <w:rtl/>
        </w:rPr>
        <w:t xml:space="preserve"> </w:t>
      </w:r>
      <w:r w:rsidR="000A2404" w:rsidRPr="000A2404">
        <w:rPr>
          <w:rFonts w:cs="David" w:hint="cs"/>
          <w:sz w:val="24"/>
          <w:szCs w:val="24"/>
          <w:u w:val="single"/>
          <w:rtl/>
        </w:rPr>
        <w:t xml:space="preserve">ושאינה </w:t>
      </w:r>
      <w:r w:rsidR="000A2404" w:rsidRPr="00753E99">
        <w:rPr>
          <w:rFonts w:cs="David" w:hint="cs"/>
          <w:sz w:val="24"/>
          <w:szCs w:val="24"/>
          <w:u w:val="single"/>
          <w:rtl/>
        </w:rPr>
        <w:t>אקראית</w:t>
      </w:r>
      <w:r w:rsidRPr="00753E99">
        <w:rPr>
          <w:rFonts w:cs="David" w:hint="cs"/>
          <w:sz w:val="24"/>
          <w:szCs w:val="24"/>
          <w:u w:val="single"/>
          <w:rtl/>
        </w:rPr>
        <w:t xml:space="preserve">. </w:t>
      </w:r>
      <w:r w:rsidR="009409FA">
        <w:rPr>
          <w:rFonts w:cs="David" w:hint="cs"/>
          <w:sz w:val="24"/>
          <w:szCs w:val="24"/>
          <w:rtl/>
        </w:rPr>
        <w:t>יצוין גם כי</w:t>
      </w:r>
      <w:r w:rsidR="00753E99" w:rsidRPr="009409FA">
        <w:rPr>
          <w:rFonts w:cs="David" w:hint="cs"/>
          <w:sz w:val="24"/>
          <w:szCs w:val="24"/>
          <w:rtl/>
        </w:rPr>
        <w:t xml:space="preserve"> בעת שנבחן עניין זה מצויה הכנסת בפגרת בחירות ואין פגיעה של ממש </w:t>
      </w:r>
      <w:r w:rsidR="009409FA">
        <w:rPr>
          <w:rFonts w:cs="David" w:hint="cs"/>
          <w:sz w:val="24"/>
          <w:szCs w:val="24"/>
          <w:rtl/>
        </w:rPr>
        <w:t xml:space="preserve">בתפקודו </w:t>
      </w:r>
      <w:r w:rsidR="00753E99" w:rsidRPr="009409FA">
        <w:rPr>
          <w:rFonts w:cs="David" w:hint="cs"/>
          <w:sz w:val="24"/>
          <w:szCs w:val="24"/>
          <w:rtl/>
        </w:rPr>
        <w:t xml:space="preserve">של חבר הכנסת </w:t>
      </w:r>
      <w:r w:rsidR="009409FA">
        <w:rPr>
          <w:rFonts w:cs="David" w:hint="cs"/>
          <w:sz w:val="24"/>
          <w:szCs w:val="24"/>
          <w:rtl/>
        </w:rPr>
        <w:t>שעניינו מתברר</w:t>
      </w:r>
      <w:r w:rsidR="00753E99" w:rsidRPr="009409FA">
        <w:rPr>
          <w:rFonts w:cs="David" w:hint="cs"/>
          <w:sz w:val="24"/>
          <w:szCs w:val="24"/>
          <w:rtl/>
        </w:rPr>
        <w:t>.</w:t>
      </w:r>
      <w:r w:rsidR="00753E99">
        <w:rPr>
          <w:rFonts w:cs="David" w:hint="cs"/>
          <w:sz w:val="24"/>
          <w:szCs w:val="24"/>
          <w:rtl/>
        </w:rPr>
        <w:t xml:space="preserve"> </w:t>
      </w:r>
      <w:r>
        <w:rPr>
          <w:rFonts w:cs="David" w:hint="cs"/>
          <w:sz w:val="24"/>
          <w:szCs w:val="24"/>
          <w:rtl/>
        </w:rPr>
        <w:t>בין בחירות לבחירות, הכלים להתמודד עם התנהגות לא נאותה של חבר הכנסת נעשים ב</w:t>
      </w:r>
      <w:r w:rsidR="000A2404">
        <w:rPr>
          <w:rFonts w:cs="David" w:hint="cs"/>
          <w:sz w:val="24"/>
          <w:szCs w:val="24"/>
          <w:rtl/>
        </w:rPr>
        <w:t xml:space="preserve">אמצעות </w:t>
      </w:r>
      <w:r>
        <w:rPr>
          <w:rFonts w:cs="David" w:hint="cs"/>
          <w:sz w:val="24"/>
          <w:szCs w:val="24"/>
          <w:rtl/>
        </w:rPr>
        <w:t xml:space="preserve">דיני האתיקה ודיני החסינות. </w:t>
      </w:r>
      <w:r w:rsidR="000A2404">
        <w:rPr>
          <w:rFonts w:cs="David" w:hint="cs"/>
          <w:sz w:val="24"/>
          <w:szCs w:val="24"/>
          <w:rtl/>
        </w:rPr>
        <w:t xml:space="preserve">דיני האתיקה מאפשרים ענישה אך לא פגיעה אולטימטיבית של השעיה או הדחה. הללו אפשריות במהלך הכהונה באמצעות העמדה לדין (וחלק מהעילות של סעיף 7א יכולות לחפוף עבירות פליליות) ובעניין זה קובע חוק היסוד עצמו </w:t>
      </w:r>
      <w:r w:rsidR="000A2404" w:rsidRPr="00753E99">
        <w:rPr>
          <w:rFonts w:cs="David" w:hint="cs"/>
          <w:sz w:val="24"/>
          <w:szCs w:val="24"/>
          <w:u w:val="single"/>
          <w:rtl/>
        </w:rPr>
        <w:t xml:space="preserve">כללים ברורים של השעיה או הדחה בעקבות הרשעה שאינם דורשים הפעלת שיקול דעת של </w:t>
      </w:r>
      <w:r w:rsidRPr="00753E99">
        <w:rPr>
          <w:rFonts w:cs="David" w:hint="cs"/>
          <w:sz w:val="24"/>
          <w:szCs w:val="24"/>
          <w:u w:val="single"/>
          <w:rtl/>
        </w:rPr>
        <w:t xml:space="preserve">הכנסת או "משפט חברים" </w:t>
      </w:r>
      <w:r w:rsidR="000A2404" w:rsidRPr="00753E99">
        <w:rPr>
          <w:rFonts w:cs="David" w:hint="cs"/>
          <w:sz w:val="24"/>
          <w:szCs w:val="24"/>
          <w:u w:val="single"/>
          <w:rtl/>
        </w:rPr>
        <w:t>פנימי</w:t>
      </w:r>
      <w:r w:rsidR="00670B76">
        <w:rPr>
          <w:rStyle w:val="FootnoteReference"/>
          <w:rFonts w:cs="David"/>
          <w:rtl/>
        </w:rPr>
        <w:footnoteReference w:id="7"/>
      </w:r>
      <w:r w:rsidR="000A2404">
        <w:rPr>
          <w:rFonts w:cs="David" w:hint="cs"/>
          <w:sz w:val="24"/>
          <w:szCs w:val="24"/>
          <w:rtl/>
        </w:rPr>
        <w:t>.</w:t>
      </w:r>
      <w:r w:rsidR="006A4837">
        <w:rPr>
          <w:rFonts w:cs="David" w:hint="cs"/>
          <w:sz w:val="24"/>
          <w:szCs w:val="24"/>
          <w:rtl/>
        </w:rPr>
        <w:t xml:space="preserve"> מלבד </w:t>
      </w:r>
      <w:r w:rsidR="008D3601">
        <w:rPr>
          <w:rFonts w:cs="David" w:hint="cs"/>
          <w:sz w:val="24"/>
          <w:szCs w:val="24"/>
          <w:rtl/>
        </w:rPr>
        <w:t xml:space="preserve">הללו, מתאפשר </w:t>
      </w:r>
      <w:r w:rsidR="006A4837">
        <w:rPr>
          <w:rFonts w:cs="David" w:hint="cs"/>
          <w:sz w:val="24"/>
          <w:szCs w:val="24"/>
          <w:rtl/>
        </w:rPr>
        <w:t xml:space="preserve">לחבר הכנסת לתפקד ולמלא את שליחותו הציבורית לפי מיטב הבנתו. </w:t>
      </w:r>
    </w:p>
    <w:p w:rsidR="008D3601" w:rsidRDefault="008D3601" w:rsidP="00F36AC6">
      <w:pPr>
        <w:spacing w:after="0" w:line="320" w:lineRule="exact"/>
        <w:jc w:val="both"/>
        <w:rPr>
          <w:rFonts w:cs="David"/>
          <w:sz w:val="24"/>
          <w:szCs w:val="24"/>
          <w:rtl/>
        </w:rPr>
      </w:pPr>
    </w:p>
    <w:p w:rsidR="00034190" w:rsidRDefault="0095013B" w:rsidP="009409FA">
      <w:pPr>
        <w:spacing w:after="0" w:line="320" w:lineRule="exact"/>
        <w:jc w:val="both"/>
        <w:rPr>
          <w:rFonts w:cs="David"/>
          <w:sz w:val="24"/>
          <w:szCs w:val="24"/>
          <w:rtl/>
        </w:rPr>
      </w:pPr>
      <w:r>
        <w:rPr>
          <w:rFonts w:cs="David" w:hint="cs"/>
          <w:sz w:val="24"/>
          <w:szCs w:val="24"/>
          <w:rtl/>
        </w:rPr>
        <w:t>בנוסף, נוסיף שנקודה קריטית היא מי הגוף שמפעיל את הסעיף</w:t>
      </w:r>
      <w:r w:rsidR="009409FA">
        <w:rPr>
          <w:rFonts w:cs="David" w:hint="cs"/>
          <w:sz w:val="24"/>
          <w:szCs w:val="24"/>
          <w:rtl/>
        </w:rPr>
        <w:t>,</w:t>
      </w:r>
      <w:r>
        <w:rPr>
          <w:rFonts w:cs="David" w:hint="cs"/>
          <w:sz w:val="24"/>
          <w:szCs w:val="24"/>
          <w:rtl/>
        </w:rPr>
        <w:t xml:space="preserve"> </w:t>
      </w:r>
      <w:r w:rsidR="004D62E9">
        <w:rPr>
          <w:rFonts w:cs="David" w:hint="cs"/>
          <w:sz w:val="24"/>
          <w:szCs w:val="24"/>
          <w:rtl/>
        </w:rPr>
        <w:t>קובע</w:t>
      </w:r>
      <w:r>
        <w:rPr>
          <w:rFonts w:cs="David" w:hint="cs"/>
          <w:sz w:val="24"/>
          <w:szCs w:val="24"/>
          <w:rtl/>
        </w:rPr>
        <w:t xml:space="preserve"> שהתקיימו המבחנים הכלולים בו ומפרש אותו. </w:t>
      </w:r>
      <w:r w:rsidR="00CA31AC">
        <w:rPr>
          <w:rFonts w:cs="David" w:hint="cs"/>
          <w:sz w:val="24"/>
          <w:szCs w:val="24"/>
          <w:rtl/>
        </w:rPr>
        <w:t>הפעלת סעיף של השעיה או הדחה בידי גוף מפלגתי, ולא בידי גוף מקצועי, יכולה להביא לפסילה של אנשים שלא "חצו את הגבול" ושאין מקום לסלקם משותפות ב"משחק" הפוליטי הלגיטימי.</w:t>
      </w:r>
      <w:r w:rsidR="00CA31AC">
        <w:rPr>
          <w:rFonts w:cs="David" w:hint="cs"/>
          <w:sz w:val="24"/>
          <w:szCs w:val="24"/>
          <w:rtl/>
        </w:rPr>
        <w:t xml:space="preserve"> </w:t>
      </w:r>
      <w:r w:rsidR="00D61CFA">
        <w:rPr>
          <w:rFonts w:cs="David" w:hint="cs"/>
          <w:sz w:val="24"/>
          <w:szCs w:val="24"/>
          <w:rtl/>
        </w:rPr>
        <w:t>מקבילות בעולם לסעיף 7א</w:t>
      </w:r>
      <w:r w:rsidR="00034190">
        <w:rPr>
          <w:rFonts w:cs="David" w:hint="cs"/>
          <w:sz w:val="24"/>
          <w:szCs w:val="24"/>
          <w:rtl/>
        </w:rPr>
        <w:t xml:space="preserve"> </w:t>
      </w:r>
      <w:r w:rsidR="005A4182">
        <w:rPr>
          <w:rFonts w:cs="David" w:hint="cs"/>
          <w:sz w:val="24"/>
          <w:szCs w:val="24"/>
          <w:rtl/>
        </w:rPr>
        <w:t>על מכלול עילותיו, ודאי כשמדובר במועמדים בודדים, א</w:t>
      </w:r>
      <w:r w:rsidR="00034190">
        <w:rPr>
          <w:rFonts w:cs="David" w:hint="cs"/>
          <w:sz w:val="24"/>
          <w:szCs w:val="24"/>
          <w:rtl/>
        </w:rPr>
        <w:t xml:space="preserve">ינן </w:t>
      </w:r>
      <w:r w:rsidR="005A4182">
        <w:rPr>
          <w:rFonts w:cs="David" w:hint="cs"/>
          <w:sz w:val="24"/>
          <w:szCs w:val="24"/>
          <w:rtl/>
        </w:rPr>
        <w:t>נפוצות</w:t>
      </w:r>
      <w:r w:rsidR="00034190">
        <w:rPr>
          <w:rFonts w:cs="David" w:hint="cs"/>
          <w:sz w:val="24"/>
          <w:szCs w:val="24"/>
          <w:rtl/>
        </w:rPr>
        <w:t>, כפי שעולה גם מהסקירה של מרכז המחקר והמידע של הכנסת משנת 2006.</w:t>
      </w:r>
      <w:r w:rsidR="00034190">
        <w:rPr>
          <w:rStyle w:val="FootnoteReference"/>
          <w:rFonts w:cs="David"/>
          <w:sz w:val="24"/>
          <w:szCs w:val="24"/>
          <w:rtl/>
        </w:rPr>
        <w:footnoteReference w:id="8"/>
      </w:r>
      <w:r w:rsidR="00034190">
        <w:rPr>
          <w:rFonts w:cs="David" w:hint="cs"/>
          <w:sz w:val="24"/>
          <w:szCs w:val="24"/>
          <w:rtl/>
        </w:rPr>
        <w:t xml:space="preserve"> </w:t>
      </w:r>
      <w:r w:rsidR="00F8765D">
        <w:rPr>
          <w:rFonts w:cs="David" w:hint="cs"/>
          <w:sz w:val="24"/>
          <w:szCs w:val="24"/>
          <w:rtl/>
        </w:rPr>
        <w:t>הסקירה מציינת את גרמניה כדוגמא למדינה שחוקתה מאפשרת לפסול מפלגה</w:t>
      </w:r>
      <w:r w:rsidR="009409FA">
        <w:rPr>
          <w:rFonts w:cs="David" w:hint="cs"/>
          <w:sz w:val="24"/>
          <w:szCs w:val="24"/>
          <w:rtl/>
        </w:rPr>
        <w:t>, הן לפני בחירות והן לאחריהן (לא מועמד בודד),</w:t>
      </w:r>
      <w:r w:rsidR="00F8765D">
        <w:rPr>
          <w:rFonts w:cs="David" w:hint="cs"/>
          <w:sz w:val="24"/>
          <w:szCs w:val="24"/>
          <w:rtl/>
        </w:rPr>
        <w:t xml:space="preserve"> אם היא שואפת, כפי שעולה ממטרותיה או מהתנהגות </w:t>
      </w:r>
      <w:r w:rsidR="00F8765D" w:rsidRPr="00F8765D">
        <w:rPr>
          <w:rFonts w:cs="David" w:hint="cs"/>
          <w:sz w:val="24"/>
          <w:szCs w:val="24"/>
          <w:rtl/>
        </w:rPr>
        <w:t>חבריה</w:t>
      </w:r>
      <w:r w:rsidR="00F8765D" w:rsidRPr="00F8765D">
        <w:rPr>
          <w:rFonts w:cs="David"/>
          <w:sz w:val="24"/>
          <w:szCs w:val="24"/>
          <w:rtl/>
        </w:rPr>
        <w:t xml:space="preserve">, </w:t>
      </w:r>
      <w:r w:rsidR="00F8765D" w:rsidRPr="00F8765D">
        <w:rPr>
          <w:rFonts w:cs="David" w:hint="cs"/>
          <w:sz w:val="24"/>
          <w:szCs w:val="24"/>
          <w:rtl/>
        </w:rPr>
        <w:t>לערער</w:t>
      </w:r>
      <w:r w:rsidR="00F8765D" w:rsidRPr="00F8765D">
        <w:rPr>
          <w:rFonts w:cs="David"/>
          <w:sz w:val="24"/>
          <w:szCs w:val="24"/>
          <w:rtl/>
        </w:rPr>
        <w:t xml:space="preserve"> </w:t>
      </w:r>
      <w:r w:rsidR="00F8765D" w:rsidRPr="00F8765D">
        <w:rPr>
          <w:rFonts w:cs="David" w:hint="cs"/>
          <w:sz w:val="24"/>
          <w:szCs w:val="24"/>
          <w:rtl/>
        </w:rPr>
        <w:t>או</w:t>
      </w:r>
      <w:r w:rsidR="00F8765D" w:rsidRPr="00F8765D">
        <w:rPr>
          <w:rFonts w:cs="David"/>
          <w:sz w:val="24"/>
          <w:szCs w:val="24"/>
          <w:rtl/>
        </w:rPr>
        <w:t xml:space="preserve"> </w:t>
      </w:r>
      <w:r w:rsidR="00F8765D" w:rsidRPr="00F8765D">
        <w:rPr>
          <w:rFonts w:cs="David" w:hint="cs"/>
          <w:sz w:val="24"/>
          <w:szCs w:val="24"/>
          <w:rtl/>
        </w:rPr>
        <w:t>לבטל</w:t>
      </w:r>
      <w:r w:rsidR="00F8765D" w:rsidRPr="00F8765D">
        <w:rPr>
          <w:rFonts w:cs="David"/>
          <w:sz w:val="24"/>
          <w:szCs w:val="24"/>
          <w:rtl/>
        </w:rPr>
        <w:t xml:space="preserve"> </w:t>
      </w:r>
      <w:r w:rsidR="00F8765D" w:rsidRPr="00F8765D">
        <w:rPr>
          <w:rFonts w:cs="David" w:hint="cs"/>
          <w:sz w:val="24"/>
          <w:szCs w:val="24"/>
          <w:rtl/>
        </w:rPr>
        <w:t>את</w:t>
      </w:r>
      <w:r w:rsidR="00F8765D" w:rsidRPr="00F8765D">
        <w:rPr>
          <w:rFonts w:cs="David"/>
          <w:sz w:val="24"/>
          <w:szCs w:val="24"/>
          <w:rtl/>
        </w:rPr>
        <w:t xml:space="preserve"> </w:t>
      </w:r>
      <w:r w:rsidR="00F8765D" w:rsidRPr="00F8765D">
        <w:rPr>
          <w:rFonts w:cs="David" w:hint="cs"/>
          <w:sz w:val="24"/>
          <w:szCs w:val="24"/>
          <w:rtl/>
        </w:rPr>
        <w:t>סדרי</w:t>
      </w:r>
      <w:r w:rsidR="00F8765D" w:rsidRPr="00F8765D">
        <w:rPr>
          <w:rFonts w:cs="David"/>
          <w:sz w:val="24"/>
          <w:szCs w:val="24"/>
          <w:rtl/>
        </w:rPr>
        <w:t xml:space="preserve"> </w:t>
      </w:r>
      <w:r w:rsidR="00F8765D" w:rsidRPr="00F8765D">
        <w:rPr>
          <w:rFonts w:cs="David" w:hint="cs"/>
          <w:sz w:val="24"/>
          <w:szCs w:val="24"/>
          <w:rtl/>
        </w:rPr>
        <w:t>היסוד</w:t>
      </w:r>
      <w:r w:rsidR="00F8765D" w:rsidRPr="00F8765D">
        <w:rPr>
          <w:rFonts w:cs="David"/>
          <w:sz w:val="24"/>
          <w:szCs w:val="24"/>
          <w:rtl/>
        </w:rPr>
        <w:t xml:space="preserve"> </w:t>
      </w:r>
      <w:r w:rsidR="00F8765D" w:rsidRPr="00F8765D">
        <w:rPr>
          <w:rFonts w:cs="David" w:hint="cs"/>
          <w:sz w:val="24"/>
          <w:szCs w:val="24"/>
          <w:rtl/>
        </w:rPr>
        <w:t>הדמוקרטיים</w:t>
      </w:r>
      <w:r w:rsidR="00F8765D" w:rsidRPr="00F8765D">
        <w:rPr>
          <w:rFonts w:cs="David"/>
          <w:sz w:val="24"/>
          <w:szCs w:val="24"/>
          <w:rtl/>
        </w:rPr>
        <w:t xml:space="preserve"> </w:t>
      </w:r>
      <w:r w:rsidR="00F8765D" w:rsidRPr="00F8765D">
        <w:rPr>
          <w:rFonts w:cs="David" w:hint="cs"/>
          <w:sz w:val="24"/>
          <w:szCs w:val="24"/>
          <w:rtl/>
        </w:rPr>
        <w:t>והחופשיים</w:t>
      </w:r>
      <w:r w:rsidR="00F8765D" w:rsidRPr="00F8765D">
        <w:rPr>
          <w:rFonts w:cs="David"/>
          <w:sz w:val="24"/>
          <w:szCs w:val="24"/>
          <w:rtl/>
        </w:rPr>
        <w:t xml:space="preserve">, </w:t>
      </w:r>
      <w:r w:rsidR="00F8765D" w:rsidRPr="00F8765D">
        <w:rPr>
          <w:rFonts w:cs="David" w:hint="cs"/>
          <w:sz w:val="24"/>
          <w:szCs w:val="24"/>
          <w:rtl/>
        </w:rPr>
        <w:t>או</w:t>
      </w:r>
      <w:r w:rsidR="00F8765D" w:rsidRPr="00F8765D">
        <w:rPr>
          <w:rFonts w:cs="David"/>
          <w:sz w:val="24"/>
          <w:szCs w:val="24"/>
          <w:rtl/>
        </w:rPr>
        <w:t xml:space="preserve"> </w:t>
      </w:r>
      <w:r w:rsidR="00F8765D" w:rsidRPr="00F8765D">
        <w:rPr>
          <w:rFonts w:cs="David" w:hint="cs"/>
          <w:sz w:val="24"/>
          <w:szCs w:val="24"/>
          <w:rtl/>
        </w:rPr>
        <w:t>לסכן</w:t>
      </w:r>
      <w:r w:rsidR="00F8765D">
        <w:rPr>
          <w:rFonts w:cs="David" w:hint="cs"/>
          <w:sz w:val="24"/>
          <w:szCs w:val="24"/>
          <w:rtl/>
        </w:rPr>
        <w:t xml:space="preserve"> </w:t>
      </w:r>
      <w:r w:rsidR="00F8765D" w:rsidRPr="00F8765D">
        <w:rPr>
          <w:rFonts w:cs="David" w:hint="cs"/>
          <w:sz w:val="24"/>
          <w:szCs w:val="24"/>
          <w:rtl/>
        </w:rPr>
        <w:t>את</w:t>
      </w:r>
      <w:r w:rsidR="00F8765D" w:rsidRPr="00F8765D">
        <w:rPr>
          <w:rFonts w:cs="David"/>
          <w:sz w:val="24"/>
          <w:szCs w:val="24"/>
          <w:rtl/>
        </w:rPr>
        <w:t xml:space="preserve"> </w:t>
      </w:r>
      <w:r w:rsidR="00F8765D" w:rsidRPr="00F8765D">
        <w:rPr>
          <w:rFonts w:cs="David" w:hint="cs"/>
          <w:sz w:val="24"/>
          <w:szCs w:val="24"/>
          <w:rtl/>
        </w:rPr>
        <w:t>קיומה</w:t>
      </w:r>
      <w:r w:rsidR="00F8765D" w:rsidRPr="00F8765D">
        <w:rPr>
          <w:rFonts w:cs="David"/>
          <w:sz w:val="24"/>
          <w:szCs w:val="24"/>
          <w:rtl/>
        </w:rPr>
        <w:t xml:space="preserve"> </w:t>
      </w:r>
      <w:r w:rsidR="00F8765D" w:rsidRPr="00F8765D">
        <w:rPr>
          <w:rFonts w:cs="David" w:hint="cs"/>
          <w:sz w:val="24"/>
          <w:szCs w:val="24"/>
          <w:rtl/>
        </w:rPr>
        <w:t>של</w:t>
      </w:r>
      <w:r w:rsidR="00F8765D" w:rsidRPr="00F8765D">
        <w:rPr>
          <w:rFonts w:cs="David"/>
          <w:sz w:val="24"/>
          <w:szCs w:val="24"/>
          <w:rtl/>
        </w:rPr>
        <w:t xml:space="preserve"> </w:t>
      </w:r>
      <w:r w:rsidR="00F8765D" w:rsidRPr="00F8765D">
        <w:rPr>
          <w:rFonts w:cs="David" w:hint="cs"/>
          <w:sz w:val="24"/>
          <w:szCs w:val="24"/>
          <w:rtl/>
        </w:rPr>
        <w:t>הרפובליקה</w:t>
      </w:r>
      <w:r w:rsidR="00F8765D" w:rsidRPr="00F8765D">
        <w:rPr>
          <w:rFonts w:cs="David"/>
          <w:sz w:val="24"/>
          <w:szCs w:val="24"/>
          <w:rtl/>
        </w:rPr>
        <w:t xml:space="preserve"> </w:t>
      </w:r>
      <w:r w:rsidR="00F8765D" w:rsidRPr="00F8765D">
        <w:rPr>
          <w:rFonts w:cs="David" w:hint="cs"/>
          <w:sz w:val="24"/>
          <w:szCs w:val="24"/>
          <w:rtl/>
        </w:rPr>
        <w:t>הפדראלית</w:t>
      </w:r>
      <w:r w:rsidR="00F8765D" w:rsidRPr="00F8765D">
        <w:rPr>
          <w:rFonts w:cs="David"/>
          <w:sz w:val="24"/>
          <w:szCs w:val="24"/>
          <w:rtl/>
        </w:rPr>
        <w:t xml:space="preserve"> </w:t>
      </w:r>
      <w:r w:rsidR="00F8765D" w:rsidRPr="00F8765D">
        <w:rPr>
          <w:rFonts w:cs="David" w:hint="cs"/>
          <w:sz w:val="24"/>
          <w:szCs w:val="24"/>
          <w:rtl/>
        </w:rPr>
        <w:t>של</w:t>
      </w:r>
      <w:r w:rsidR="00F8765D" w:rsidRPr="00F8765D">
        <w:rPr>
          <w:rFonts w:cs="David"/>
          <w:sz w:val="24"/>
          <w:szCs w:val="24"/>
          <w:rtl/>
        </w:rPr>
        <w:t xml:space="preserve"> </w:t>
      </w:r>
      <w:r w:rsidR="00F8765D" w:rsidRPr="00F8765D">
        <w:rPr>
          <w:rFonts w:cs="David" w:hint="cs"/>
          <w:sz w:val="24"/>
          <w:szCs w:val="24"/>
          <w:rtl/>
        </w:rPr>
        <w:t>גרמניה</w:t>
      </w:r>
      <w:r w:rsidR="00F8765D" w:rsidRPr="00F8765D">
        <w:rPr>
          <w:rFonts w:cs="David"/>
          <w:sz w:val="24"/>
          <w:szCs w:val="24"/>
          <w:rtl/>
        </w:rPr>
        <w:t>.</w:t>
      </w:r>
      <w:r w:rsidR="00F8765D">
        <w:rPr>
          <w:rFonts w:cs="David" w:hint="cs"/>
          <w:sz w:val="24"/>
          <w:szCs w:val="24"/>
          <w:rtl/>
        </w:rPr>
        <w:t xml:space="preserve"> יודגש שהסמכות להפעיל את הסעיף נתונה לבית המשפט החוקתי הפדרלי, ולא לגורם פוליטי. מלבד סקירה זו, קראנו סקירה של </w:t>
      </w:r>
      <w:r w:rsidR="00F8765D" w:rsidRPr="00F8765D">
        <w:rPr>
          <w:rFonts w:cs="David" w:hint="cs"/>
          <w:sz w:val="24"/>
          <w:szCs w:val="24"/>
          <w:rtl/>
        </w:rPr>
        <w:t>הנציבות</w:t>
      </w:r>
      <w:r w:rsidR="00F8765D" w:rsidRPr="00F8765D">
        <w:rPr>
          <w:rFonts w:cs="David"/>
          <w:sz w:val="24"/>
          <w:szCs w:val="24"/>
          <w:rtl/>
        </w:rPr>
        <w:t xml:space="preserve"> </w:t>
      </w:r>
      <w:r w:rsidR="00F8765D" w:rsidRPr="00F8765D">
        <w:rPr>
          <w:rFonts w:cs="David" w:hint="cs"/>
          <w:sz w:val="24"/>
          <w:szCs w:val="24"/>
          <w:rtl/>
        </w:rPr>
        <w:t>האירופית</w:t>
      </w:r>
      <w:r w:rsidR="00F8765D" w:rsidRPr="00F8765D">
        <w:rPr>
          <w:rFonts w:cs="David"/>
          <w:sz w:val="24"/>
          <w:szCs w:val="24"/>
          <w:rtl/>
        </w:rPr>
        <w:t xml:space="preserve"> </w:t>
      </w:r>
      <w:r w:rsidR="00F8765D" w:rsidRPr="00F8765D">
        <w:rPr>
          <w:rFonts w:cs="David" w:hint="cs"/>
          <w:sz w:val="24"/>
          <w:szCs w:val="24"/>
          <w:rtl/>
        </w:rPr>
        <w:t>לדמוקרטיה</w:t>
      </w:r>
      <w:r w:rsidR="00F8765D" w:rsidRPr="00F8765D">
        <w:rPr>
          <w:rFonts w:cs="David"/>
          <w:sz w:val="24"/>
          <w:szCs w:val="24"/>
          <w:rtl/>
        </w:rPr>
        <w:t xml:space="preserve"> </w:t>
      </w:r>
      <w:r w:rsidR="00F8765D">
        <w:rPr>
          <w:rFonts w:cs="David" w:hint="cs"/>
          <w:sz w:val="24"/>
          <w:szCs w:val="24"/>
          <w:rtl/>
        </w:rPr>
        <w:t>באמצעות</w:t>
      </w:r>
      <w:r w:rsidR="00F8765D" w:rsidRPr="00F8765D">
        <w:rPr>
          <w:rFonts w:cs="David"/>
          <w:sz w:val="24"/>
          <w:szCs w:val="24"/>
          <w:rtl/>
        </w:rPr>
        <w:t xml:space="preserve"> </w:t>
      </w:r>
      <w:r w:rsidR="00F8765D" w:rsidRPr="00F8765D">
        <w:rPr>
          <w:rFonts w:cs="David" w:hint="cs"/>
          <w:sz w:val="24"/>
          <w:szCs w:val="24"/>
          <w:rtl/>
        </w:rPr>
        <w:t>המשפט</w:t>
      </w:r>
      <w:r w:rsidR="00F8765D">
        <w:rPr>
          <w:rFonts w:cs="David" w:hint="cs"/>
          <w:sz w:val="24"/>
          <w:szCs w:val="24"/>
          <w:rtl/>
        </w:rPr>
        <w:t xml:space="preserve"> מ-1</w:t>
      </w:r>
      <w:r w:rsidR="00D61CFA">
        <w:rPr>
          <w:rFonts w:cs="David" w:hint="cs"/>
          <w:sz w:val="24"/>
          <w:szCs w:val="24"/>
          <w:rtl/>
        </w:rPr>
        <w:t xml:space="preserve">999, שעולה ממנה כי </w:t>
      </w:r>
      <w:r w:rsidR="00D61CFA" w:rsidRPr="0095013B">
        <w:rPr>
          <w:rFonts w:cs="David" w:hint="cs"/>
          <w:sz w:val="24"/>
          <w:szCs w:val="24"/>
          <w:u w:val="single"/>
          <w:rtl/>
        </w:rPr>
        <w:t>בכל המדינות ש</w:t>
      </w:r>
      <w:r w:rsidR="00F8765D" w:rsidRPr="0095013B">
        <w:rPr>
          <w:rFonts w:cs="David" w:hint="cs"/>
          <w:sz w:val="24"/>
          <w:szCs w:val="24"/>
          <w:u w:val="single"/>
          <w:rtl/>
        </w:rPr>
        <w:t>מאפשרות פסילת מפלגות, הסמכות</w:t>
      </w:r>
      <w:r>
        <w:rPr>
          <w:rFonts w:cs="David" w:hint="cs"/>
          <w:sz w:val="24"/>
          <w:szCs w:val="24"/>
          <w:u w:val="single"/>
          <w:rtl/>
        </w:rPr>
        <w:t xml:space="preserve"> לעשות כן</w:t>
      </w:r>
      <w:r w:rsidR="00F8765D" w:rsidRPr="0095013B">
        <w:rPr>
          <w:rFonts w:cs="David" w:hint="cs"/>
          <w:sz w:val="24"/>
          <w:szCs w:val="24"/>
          <w:u w:val="single"/>
          <w:rtl/>
        </w:rPr>
        <w:t xml:space="preserve"> ניתנת לגוף שיפוטי</w:t>
      </w:r>
      <w:r w:rsidRPr="0095013B">
        <w:rPr>
          <w:rStyle w:val="FootnoteReference"/>
          <w:rFonts w:cs="David"/>
          <w:sz w:val="24"/>
          <w:szCs w:val="24"/>
          <w:u w:val="single"/>
          <w:rtl/>
        </w:rPr>
        <w:footnoteReference w:id="9"/>
      </w:r>
      <w:r w:rsidR="00F8765D" w:rsidRPr="0095013B">
        <w:rPr>
          <w:rFonts w:cs="David" w:hint="cs"/>
          <w:sz w:val="24"/>
          <w:szCs w:val="24"/>
          <w:u w:val="single"/>
          <w:rtl/>
        </w:rPr>
        <w:t>.</w:t>
      </w:r>
      <w:r w:rsidR="00F8765D">
        <w:rPr>
          <w:rFonts w:cs="David" w:hint="cs"/>
          <w:sz w:val="24"/>
          <w:szCs w:val="24"/>
          <w:rtl/>
        </w:rPr>
        <w:t xml:space="preserve"> </w:t>
      </w:r>
    </w:p>
    <w:p w:rsidR="0095013B" w:rsidRDefault="0095013B" w:rsidP="0095013B">
      <w:pPr>
        <w:spacing w:after="0" w:line="320" w:lineRule="exact"/>
        <w:jc w:val="both"/>
        <w:rPr>
          <w:rFonts w:cs="David"/>
          <w:sz w:val="24"/>
          <w:szCs w:val="24"/>
          <w:rtl/>
        </w:rPr>
      </w:pPr>
    </w:p>
    <w:p w:rsidR="006A4837" w:rsidRDefault="0095013B" w:rsidP="00CA31AC">
      <w:pPr>
        <w:spacing w:after="0" w:line="320" w:lineRule="exact"/>
        <w:jc w:val="both"/>
        <w:rPr>
          <w:rFonts w:cs="David"/>
          <w:sz w:val="24"/>
          <w:szCs w:val="24"/>
          <w:rtl/>
        </w:rPr>
      </w:pPr>
      <w:r>
        <w:rPr>
          <w:rFonts w:cs="David" w:hint="cs"/>
          <w:sz w:val="24"/>
          <w:szCs w:val="24"/>
          <w:rtl/>
        </w:rPr>
        <w:t xml:space="preserve">לגבי השיטה הישראלית, </w:t>
      </w:r>
      <w:r>
        <w:rPr>
          <w:rFonts w:cs="David" w:hint="cs"/>
          <w:sz w:val="24"/>
          <w:szCs w:val="24"/>
          <w:rtl/>
        </w:rPr>
        <w:t>בית המשפט לדורותיו העיר לגבי הליך הפסילה לפי סעיף 7א שיש פגם של ממש בכך שהליך מעין שיפוטי שכזה, שמצריך בחינה דקדקנית וזהירה מאוד</w:t>
      </w:r>
      <w:r w:rsidR="004D62E9">
        <w:rPr>
          <w:rFonts w:cs="David" w:hint="cs"/>
          <w:sz w:val="24"/>
          <w:szCs w:val="24"/>
          <w:rtl/>
        </w:rPr>
        <w:t>,</w:t>
      </w:r>
      <w:r>
        <w:rPr>
          <w:rFonts w:cs="David" w:hint="cs"/>
          <w:sz w:val="24"/>
          <w:szCs w:val="24"/>
          <w:rtl/>
        </w:rPr>
        <w:t xml:space="preserve"> נעשה</w:t>
      </w:r>
      <w:r w:rsidR="005A4182">
        <w:rPr>
          <w:rFonts w:cs="David" w:hint="cs"/>
          <w:sz w:val="24"/>
          <w:szCs w:val="24"/>
          <w:rtl/>
        </w:rPr>
        <w:t xml:space="preserve"> בוועדת הבחירות המרכזית שהיא</w:t>
      </w:r>
      <w:r>
        <w:rPr>
          <w:rFonts w:cs="David" w:hint="cs"/>
          <w:sz w:val="24"/>
          <w:szCs w:val="24"/>
          <w:rtl/>
        </w:rPr>
        <w:t xml:space="preserve"> גוף שאינו ניטרלי במהותו,</w:t>
      </w:r>
      <w:r>
        <w:rPr>
          <w:rStyle w:val="FootnoteReference"/>
          <w:rFonts w:cs="David"/>
          <w:sz w:val="24"/>
          <w:szCs w:val="24"/>
          <w:rtl/>
        </w:rPr>
        <w:footnoteReference w:id="10"/>
      </w:r>
      <w:r>
        <w:rPr>
          <w:rFonts w:cs="David" w:hint="cs"/>
          <w:sz w:val="24"/>
          <w:szCs w:val="24"/>
          <w:rtl/>
        </w:rPr>
        <w:t xml:space="preserve"> </w:t>
      </w:r>
      <w:r>
        <w:rPr>
          <w:rFonts w:cs="David" w:hint="cs"/>
          <w:sz w:val="24"/>
          <w:szCs w:val="24"/>
          <w:rtl/>
        </w:rPr>
        <w:t>וש</w:t>
      </w:r>
      <w:r>
        <w:rPr>
          <w:rFonts w:cs="David" w:hint="cs"/>
          <w:sz w:val="24"/>
          <w:szCs w:val="24"/>
          <w:rtl/>
        </w:rPr>
        <w:t>שיקוליו עלולים להיות מפלגתיים</w:t>
      </w:r>
      <w:r>
        <w:rPr>
          <w:rFonts w:cs="David" w:hint="cs"/>
          <w:sz w:val="24"/>
          <w:szCs w:val="24"/>
          <w:rtl/>
        </w:rPr>
        <w:t>.</w:t>
      </w:r>
      <w:r>
        <w:rPr>
          <w:rFonts w:cs="David" w:hint="cs"/>
          <w:sz w:val="24"/>
          <w:szCs w:val="24"/>
          <w:rtl/>
        </w:rPr>
        <w:t xml:space="preserve"> </w:t>
      </w:r>
      <w:r>
        <w:rPr>
          <w:rFonts w:cs="David" w:hint="cs"/>
          <w:sz w:val="24"/>
          <w:szCs w:val="24"/>
          <w:rtl/>
        </w:rPr>
        <w:t xml:space="preserve">חברים בגוף כזה </w:t>
      </w:r>
      <w:r>
        <w:rPr>
          <w:rFonts w:cs="David" w:hint="cs"/>
          <w:sz w:val="24"/>
          <w:szCs w:val="24"/>
          <w:rtl/>
        </w:rPr>
        <w:t xml:space="preserve">עלולים </w:t>
      </w:r>
      <w:r>
        <w:rPr>
          <w:rFonts w:cs="David" w:hint="cs"/>
          <w:sz w:val="24"/>
          <w:szCs w:val="24"/>
          <w:rtl/>
        </w:rPr>
        <w:t xml:space="preserve">גם </w:t>
      </w:r>
      <w:r>
        <w:rPr>
          <w:rFonts w:cs="David" w:hint="cs"/>
          <w:sz w:val="24"/>
          <w:szCs w:val="24"/>
          <w:rtl/>
        </w:rPr>
        <w:t>להיות מושפעים משיקולים קצרי טווח ואף תקשורתיים</w:t>
      </w:r>
      <w:r>
        <w:rPr>
          <w:rFonts w:cs="David" w:hint="cs"/>
          <w:sz w:val="24"/>
          <w:szCs w:val="24"/>
          <w:rtl/>
        </w:rPr>
        <w:t xml:space="preserve">. </w:t>
      </w:r>
      <w:r w:rsidR="00CA31AC">
        <w:rPr>
          <w:rFonts w:cs="David" w:hint="cs"/>
          <w:sz w:val="24"/>
          <w:szCs w:val="24"/>
          <w:rtl/>
        </w:rPr>
        <w:t>האיזון שמצא</w:t>
      </w:r>
      <w:r w:rsidR="002C74DF">
        <w:rPr>
          <w:rFonts w:cs="David" w:hint="cs"/>
          <w:sz w:val="24"/>
          <w:szCs w:val="24"/>
          <w:rtl/>
        </w:rPr>
        <w:t>ה</w:t>
      </w:r>
      <w:r w:rsidR="00CA31AC">
        <w:rPr>
          <w:rFonts w:cs="David" w:hint="cs"/>
          <w:sz w:val="24"/>
          <w:szCs w:val="24"/>
          <w:rtl/>
        </w:rPr>
        <w:t xml:space="preserve"> השיטה הישראלית מתבטא בעירוב בית המשפט בהליך, אם באישור החלטת ועדת הבחירות (כשמדובר במועמד בודד), ואם בביקורת כשמוגש ערעור על החלטתה (כשמדובר ברשימת מועמדים). </w:t>
      </w:r>
    </w:p>
    <w:p w:rsidR="00167376" w:rsidRDefault="00167376" w:rsidP="00F36AC6">
      <w:pPr>
        <w:spacing w:after="0" w:line="320" w:lineRule="exact"/>
        <w:jc w:val="both"/>
        <w:rPr>
          <w:rFonts w:cs="David"/>
          <w:sz w:val="24"/>
          <w:szCs w:val="24"/>
          <w:rtl/>
        </w:rPr>
      </w:pPr>
    </w:p>
    <w:p w:rsidR="00C92B92" w:rsidRDefault="00C92B92" w:rsidP="00F36AC6">
      <w:pPr>
        <w:spacing w:after="0" w:line="320" w:lineRule="exact"/>
        <w:jc w:val="both"/>
        <w:rPr>
          <w:rFonts w:cs="David"/>
          <w:sz w:val="24"/>
          <w:szCs w:val="24"/>
          <w:rtl/>
        </w:rPr>
      </w:pPr>
    </w:p>
    <w:p w:rsidR="00994C45" w:rsidRDefault="009409FA" w:rsidP="00F36AC6">
      <w:pPr>
        <w:spacing w:after="0" w:line="320" w:lineRule="exact"/>
        <w:jc w:val="both"/>
        <w:rPr>
          <w:rFonts w:cs="David"/>
          <w:sz w:val="24"/>
          <w:szCs w:val="24"/>
          <w:rtl/>
        </w:rPr>
      </w:pPr>
      <w:r>
        <w:rPr>
          <w:rFonts w:cs="David" w:hint="cs"/>
          <w:sz w:val="24"/>
          <w:szCs w:val="24"/>
          <w:rtl/>
        </w:rPr>
        <w:t>לאור כל האמור לעיל, אנו סבורות כי</w:t>
      </w:r>
      <w:r w:rsidR="00994C45">
        <w:rPr>
          <w:rFonts w:cs="David" w:hint="cs"/>
          <w:sz w:val="24"/>
          <w:szCs w:val="24"/>
          <w:rtl/>
        </w:rPr>
        <w:t xml:space="preserve"> יש לתת את הדעת לכמה סוגיות שעולות מהנוסח המוצע:</w:t>
      </w:r>
    </w:p>
    <w:p w:rsidR="00994C45" w:rsidRDefault="00994C45" w:rsidP="00F36AC6">
      <w:pPr>
        <w:spacing w:after="0" w:line="320" w:lineRule="exact"/>
        <w:jc w:val="both"/>
        <w:rPr>
          <w:rFonts w:cs="David"/>
          <w:sz w:val="24"/>
          <w:szCs w:val="24"/>
          <w:rtl/>
        </w:rPr>
      </w:pPr>
    </w:p>
    <w:p w:rsidR="00994C45" w:rsidRDefault="00994C45" w:rsidP="007131AC">
      <w:pPr>
        <w:spacing w:after="0" w:line="320" w:lineRule="exact"/>
        <w:jc w:val="both"/>
        <w:rPr>
          <w:rFonts w:cs="David"/>
          <w:sz w:val="24"/>
          <w:szCs w:val="24"/>
          <w:rtl/>
        </w:rPr>
      </w:pPr>
      <w:r w:rsidRPr="00EA421A">
        <w:rPr>
          <w:rFonts w:cs="David" w:hint="cs"/>
          <w:sz w:val="24"/>
          <w:szCs w:val="24"/>
          <w:u w:val="single"/>
          <w:rtl/>
        </w:rPr>
        <w:t>האחת</w:t>
      </w:r>
      <w:r>
        <w:rPr>
          <w:rFonts w:cs="David" w:hint="cs"/>
          <w:sz w:val="24"/>
          <w:szCs w:val="24"/>
          <w:rtl/>
        </w:rPr>
        <w:t xml:space="preserve"> </w:t>
      </w:r>
      <w:r>
        <w:rPr>
          <w:rFonts w:cs="David"/>
          <w:sz w:val="24"/>
          <w:szCs w:val="24"/>
          <w:rtl/>
        </w:rPr>
        <w:t>–</w:t>
      </w:r>
      <w:r>
        <w:rPr>
          <w:rFonts w:cs="David" w:hint="cs"/>
          <w:sz w:val="24"/>
          <w:szCs w:val="24"/>
          <w:rtl/>
        </w:rPr>
        <w:t xml:space="preserve"> ניהול ההליך בכנסת</w:t>
      </w:r>
      <w:r w:rsidR="007131AC">
        <w:rPr>
          <w:rFonts w:cs="David" w:hint="cs"/>
          <w:sz w:val="24"/>
          <w:szCs w:val="24"/>
          <w:rtl/>
        </w:rPr>
        <w:t xml:space="preserve"> </w:t>
      </w:r>
      <w:r w:rsidR="007131AC">
        <w:rPr>
          <w:rFonts w:cs="David"/>
          <w:sz w:val="24"/>
          <w:szCs w:val="24"/>
          <w:rtl/>
        </w:rPr>
        <w:t>–</w:t>
      </w:r>
      <w:r w:rsidR="007131AC">
        <w:rPr>
          <w:rFonts w:cs="David" w:hint="cs"/>
          <w:sz w:val="24"/>
          <w:szCs w:val="24"/>
          <w:rtl/>
        </w:rPr>
        <w:t xml:space="preserve"> </w:t>
      </w:r>
      <w:r w:rsidR="002819F4">
        <w:rPr>
          <w:rFonts w:cs="David" w:hint="cs"/>
          <w:sz w:val="24"/>
          <w:szCs w:val="24"/>
          <w:rtl/>
        </w:rPr>
        <w:t>יש קושי אינהרנטי</w:t>
      </w:r>
      <w:r>
        <w:rPr>
          <w:rFonts w:cs="David" w:hint="cs"/>
          <w:sz w:val="24"/>
          <w:szCs w:val="24"/>
          <w:rtl/>
        </w:rPr>
        <w:t xml:space="preserve"> לנהל </w:t>
      </w:r>
      <w:r w:rsidR="007131AC">
        <w:rPr>
          <w:rFonts w:cs="David" w:hint="cs"/>
          <w:sz w:val="24"/>
          <w:szCs w:val="24"/>
          <w:rtl/>
        </w:rPr>
        <w:t>בכנסת</w:t>
      </w:r>
      <w:r w:rsidR="002819F4">
        <w:rPr>
          <w:rFonts w:cs="David" w:hint="cs"/>
          <w:sz w:val="24"/>
          <w:szCs w:val="24"/>
          <w:rtl/>
        </w:rPr>
        <w:t xml:space="preserve"> </w:t>
      </w:r>
      <w:r>
        <w:rPr>
          <w:rFonts w:cs="David" w:hint="cs"/>
          <w:sz w:val="24"/>
          <w:szCs w:val="24"/>
          <w:rtl/>
        </w:rPr>
        <w:t xml:space="preserve">הליך מעין שיפוטי, </w:t>
      </w:r>
      <w:r w:rsidR="003F150D">
        <w:rPr>
          <w:rFonts w:cs="David" w:hint="cs"/>
          <w:sz w:val="24"/>
          <w:szCs w:val="24"/>
          <w:rtl/>
        </w:rPr>
        <w:t xml:space="preserve">לבחון </w:t>
      </w:r>
      <w:r>
        <w:rPr>
          <w:rFonts w:cs="David" w:hint="cs"/>
          <w:sz w:val="24"/>
          <w:szCs w:val="24"/>
          <w:rtl/>
        </w:rPr>
        <w:t xml:space="preserve">ראיות </w:t>
      </w:r>
      <w:r w:rsidR="003F150D">
        <w:rPr>
          <w:rFonts w:cs="David" w:hint="cs"/>
          <w:sz w:val="24"/>
          <w:szCs w:val="24"/>
          <w:rtl/>
        </w:rPr>
        <w:t xml:space="preserve">בדקדקנות ולערוך </w:t>
      </w:r>
      <w:proofErr w:type="spellStart"/>
      <w:r w:rsidR="002819F4">
        <w:rPr>
          <w:rFonts w:cs="David" w:hint="cs"/>
          <w:sz w:val="24"/>
          <w:szCs w:val="24"/>
          <w:rtl/>
        </w:rPr>
        <w:t>איזונים</w:t>
      </w:r>
      <w:proofErr w:type="spellEnd"/>
      <w:r w:rsidR="002819F4">
        <w:rPr>
          <w:rFonts w:cs="David" w:hint="cs"/>
          <w:sz w:val="24"/>
          <w:szCs w:val="24"/>
          <w:rtl/>
        </w:rPr>
        <w:t xml:space="preserve"> עדינים. באופן טבעי, בדיון בכנסת יש משקל לשיקולים מפלגתיים. נימוק זה נכון הן לניהול ההליך והן לפתיחת ההליך</w:t>
      </w:r>
      <w:r>
        <w:rPr>
          <w:rFonts w:cs="David" w:hint="cs"/>
          <w:sz w:val="24"/>
          <w:szCs w:val="24"/>
          <w:rtl/>
        </w:rPr>
        <w:t>;</w:t>
      </w:r>
    </w:p>
    <w:p w:rsidR="00C92B92" w:rsidRDefault="00C92B92" w:rsidP="007131AC">
      <w:pPr>
        <w:spacing w:after="0" w:line="320" w:lineRule="exact"/>
        <w:jc w:val="both"/>
        <w:rPr>
          <w:rFonts w:cs="David"/>
          <w:sz w:val="24"/>
          <w:szCs w:val="24"/>
          <w:rtl/>
        </w:rPr>
      </w:pPr>
    </w:p>
    <w:p w:rsidR="00994C45" w:rsidRDefault="00994C45" w:rsidP="005A4182">
      <w:pPr>
        <w:spacing w:after="0" w:line="320" w:lineRule="exact"/>
        <w:jc w:val="both"/>
        <w:rPr>
          <w:rFonts w:cs="David"/>
          <w:sz w:val="24"/>
          <w:szCs w:val="24"/>
          <w:rtl/>
        </w:rPr>
      </w:pPr>
      <w:r w:rsidRPr="00EA421A">
        <w:rPr>
          <w:rFonts w:cs="David" w:hint="cs"/>
          <w:sz w:val="24"/>
          <w:szCs w:val="24"/>
          <w:u w:val="single"/>
          <w:rtl/>
        </w:rPr>
        <w:t>השנייה</w:t>
      </w:r>
      <w:r>
        <w:rPr>
          <w:rFonts w:cs="David" w:hint="cs"/>
          <w:sz w:val="24"/>
          <w:szCs w:val="24"/>
          <w:rtl/>
        </w:rPr>
        <w:t xml:space="preserve"> </w:t>
      </w:r>
      <w:r>
        <w:rPr>
          <w:rFonts w:cs="David"/>
          <w:sz w:val="24"/>
          <w:szCs w:val="24"/>
          <w:rtl/>
        </w:rPr>
        <w:t>–</w:t>
      </w:r>
      <w:r w:rsidR="007131AC">
        <w:rPr>
          <w:rFonts w:cs="David" w:hint="cs"/>
          <w:sz w:val="24"/>
          <w:szCs w:val="24"/>
          <w:rtl/>
        </w:rPr>
        <w:t xml:space="preserve"> </w:t>
      </w:r>
      <w:r w:rsidR="004B5107">
        <w:rPr>
          <w:rFonts w:cs="David" w:hint="cs"/>
          <w:sz w:val="24"/>
          <w:szCs w:val="24"/>
          <w:rtl/>
        </w:rPr>
        <w:t xml:space="preserve">בדיקה של מעשה בודד </w:t>
      </w:r>
      <w:r w:rsidR="004B5107">
        <w:rPr>
          <w:rFonts w:cs="David"/>
          <w:sz w:val="24"/>
          <w:szCs w:val="24"/>
          <w:rtl/>
        </w:rPr>
        <w:t>–</w:t>
      </w:r>
      <w:r w:rsidR="004B5107">
        <w:rPr>
          <w:rFonts w:cs="David" w:hint="cs"/>
          <w:sz w:val="24"/>
          <w:szCs w:val="24"/>
          <w:rtl/>
        </w:rPr>
        <w:t xml:space="preserve"> </w:t>
      </w:r>
      <w:r>
        <w:rPr>
          <w:rFonts w:cs="David" w:hint="cs"/>
          <w:sz w:val="24"/>
          <w:szCs w:val="24"/>
          <w:rtl/>
        </w:rPr>
        <w:t xml:space="preserve">האפשרות לבחינה נקודתית </w:t>
      </w:r>
      <w:r w:rsidR="005A4182">
        <w:rPr>
          <w:rFonts w:cs="David" w:hint="cs"/>
          <w:sz w:val="24"/>
          <w:szCs w:val="24"/>
          <w:rtl/>
        </w:rPr>
        <w:t xml:space="preserve">מעלה חשש שחבר הכנסת יועמד </w:t>
      </w:r>
      <w:r>
        <w:rPr>
          <w:rFonts w:cs="David" w:hint="cs"/>
          <w:sz w:val="24"/>
          <w:szCs w:val="24"/>
          <w:rtl/>
        </w:rPr>
        <w:t>לבירור על מעשה בודד</w:t>
      </w:r>
      <w:r w:rsidR="004D62E9">
        <w:rPr>
          <w:rFonts w:cs="David" w:hint="cs"/>
          <w:sz w:val="24"/>
          <w:szCs w:val="24"/>
          <w:rtl/>
        </w:rPr>
        <w:t xml:space="preserve"> שיכול שלא יהיה בעל משקל סגולי גבוה מספיק</w:t>
      </w:r>
      <w:r>
        <w:rPr>
          <w:rFonts w:cs="David" w:hint="cs"/>
          <w:sz w:val="24"/>
          <w:szCs w:val="24"/>
          <w:rtl/>
        </w:rPr>
        <w:t xml:space="preserve"> שאין בו את אותו הרצף שנדרש היום בפסיקה ושאפשרי כשהפעילות נבחנת לאורך זמן. בנוסף, הבחינה מתאפשרת על אתר, בלא צינון וריחוק שמועילים בעת שנבדקת בקשת פסילה לפי סעיף 7א;</w:t>
      </w:r>
    </w:p>
    <w:p w:rsidR="00C92B92" w:rsidRDefault="00C92B92" w:rsidP="005A4182">
      <w:pPr>
        <w:spacing w:after="0" w:line="320" w:lineRule="exact"/>
        <w:jc w:val="both"/>
        <w:rPr>
          <w:rFonts w:cs="David"/>
          <w:sz w:val="24"/>
          <w:szCs w:val="24"/>
          <w:rtl/>
        </w:rPr>
      </w:pPr>
    </w:p>
    <w:p w:rsidR="00994C45" w:rsidRDefault="00994C45" w:rsidP="00CA31AC">
      <w:pPr>
        <w:spacing w:after="0" w:line="320" w:lineRule="exact"/>
        <w:jc w:val="both"/>
        <w:rPr>
          <w:rFonts w:cs="David"/>
          <w:sz w:val="24"/>
          <w:szCs w:val="24"/>
          <w:rtl/>
        </w:rPr>
      </w:pPr>
      <w:r w:rsidRPr="008D3601">
        <w:rPr>
          <w:rFonts w:cs="David" w:hint="cs"/>
          <w:sz w:val="24"/>
          <w:szCs w:val="24"/>
          <w:u w:val="single"/>
          <w:rtl/>
        </w:rPr>
        <w:t>השלישית</w:t>
      </w:r>
      <w:r>
        <w:rPr>
          <w:rFonts w:cs="David" w:hint="cs"/>
          <w:sz w:val="24"/>
          <w:szCs w:val="24"/>
          <w:rtl/>
        </w:rPr>
        <w:t xml:space="preserve"> - האפשרות לפתוח בהליך בירור ברוב קואליציוני (61 חברי הכנסת)</w:t>
      </w:r>
      <w:r w:rsidR="007131AC">
        <w:rPr>
          <w:rFonts w:cs="David" w:hint="cs"/>
          <w:sz w:val="24"/>
          <w:szCs w:val="24"/>
          <w:rtl/>
        </w:rPr>
        <w:t xml:space="preserve"> </w:t>
      </w:r>
      <w:r w:rsidR="007131AC">
        <w:rPr>
          <w:rFonts w:cs="David"/>
          <w:sz w:val="24"/>
          <w:szCs w:val="24"/>
          <w:rtl/>
        </w:rPr>
        <w:t>–</w:t>
      </w:r>
      <w:r w:rsidR="007131AC">
        <w:rPr>
          <w:rFonts w:cs="David" w:hint="cs"/>
          <w:sz w:val="24"/>
          <w:szCs w:val="24"/>
          <w:rtl/>
        </w:rPr>
        <w:t xml:space="preserve"> </w:t>
      </w:r>
      <w:r w:rsidR="004B5107">
        <w:rPr>
          <w:rFonts w:cs="David" w:hint="cs"/>
          <w:sz w:val="24"/>
          <w:szCs w:val="24"/>
          <w:rtl/>
        </w:rPr>
        <w:t xml:space="preserve"> </w:t>
      </w:r>
      <w:r>
        <w:rPr>
          <w:rFonts w:cs="David" w:hint="cs"/>
          <w:sz w:val="24"/>
          <w:szCs w:val="24"/>
          <w:rtl/>
        </w:rPr>
        <w:t xml:space="preserve">אף אם </w:t>
      </w:r>
      <w:r w:rsidR="004B5107">
        <w:rPr>
          <w:rFonts w:cs="David" w:hint="cs"/>
          <w:sz w:val="24"/>
          <w:szCs w:val="24"/>
          <w:rtl/>
        </w:rPr>
        <w:t xml:space="preserve">ההליך </w:t>
      </w:r>
      <w:r>
        <w:rPr>
          <w:rFonts w:cs="David" w:hint="cs"/>
          <w:sz w:val="24"/>
          <w:szCs w:val="24"/>
          <w:rtl/>
        </w:rPr>
        <w:t>לא יוביל בסופו של דבר להשעיה</w:t>
      </w:r>
      <w:r w:rsidR="004B5107">
        <w:rPr>
          <w:rFonts w:cs="David" w:hint="cs"/>
          <w:sz w:val="24"/>
          <w:szCs w:val="24"/>
          <w:rtl/>
        </w:rPr>
        <w:t>, הוא</w:t>
      </w:r>
      <w:r>
        <w:rPr>
          <w:rFonts w:cs="David" w:hint="cs"/>
          <w:sz w:val="24"/>
          <w:szCs w:val="24"/>
          <w:rtl/>
        </w:rPr>
        <w:t xml:space="preserve"> יכול להביא לפגיעה של ממש בי</w:t>
      </w:r>
      <w:r w:rsidR="004D62E9">
        <w:rPr>
          <w:rFonts w:cs="David" w:hint="cs"/>
          <w:sz w:val="24"/>
          <w:szCs w:val="24"/>
          <w:rtl/>
        </w:rPr>
        <w:t>כולת התפקוד של חבר הכנסת, ויכול</w:t>
      </w:r>
      <w:r>
        <w:rPr>
          <w:rFonts w:cs="David" w:hint="cs"/>
          <w:sz w:val="24"/>
          <w:szCs w:val="24"/>
          <w:rtl/>
        </w:rPr>
        <w:t xml:space="preserve"> להיעשות באופן חוזר ונשנה.</w:t>
      </w:r>
      <w:r w:rsidR="007131AC">
        <w:rPr>
          <w:rFonts w:cs="David" w:hint="cs"/>
          <w:sz w:val="24"/>
          <w:szCs w:val="24"/>
          <w:rtl/>
        </w:rPr>
        <w:t xml:space="preserve"> </w:t>
      </w:r>
      <w:r w:rsidR="007131AC">
        <w:rPr>
          <w:rFonts w:cs="David" w:hint="cs"/>
          <w:sz w:val="24"/>
          <w:szCs w:val="24"/>
          <w:rtl/>
        </w:rPr>
        <w:t>עצם התקיימותו</w:t>
      </w:r>
      <w:r w:rsidR="007131AC">
        <w:rPr>
          <w:rFonts w:cs="David" w:hint="cs"/>
          <w:sz w:val="24"/>
          <w:szCs w:val="24"/>
          <w:rtl/>
        </w:rPr>
        <w:t xml:space="preserve"> של הליך מהסוג שבו מדובר, </w:t>
      </w:r>
      <w:r w:rsidR="00CA31AC">
        <w:rPr>
          <w:rFonts w:cs="David" w:hint="cs"/>
          <w:sz w:val="24"/>
          <w:szCs w:val="24"/>
          <w:rtl/>
        </w:rPr>
        <w:t>מביא ל</w:t>
      </w:r>
      <w:r w:rsidR="007131AC">
        <w:rPr>
          <w:rFonts w:cs="David" w:hint="cs"/>
          <w:sz w:val="24"/>
          <w:szCs w:val="24"/>
          <w:rtl/>
        </w:rPr>
        <w:t xml:space="preserve">טרדה, השקעת אמצעים, השבתה מפעילות </w:t>
      </w:r>
      <w:r w:rsidR="00CA31AC">
        <w:rPr>
          <w:rFonts w:cs="David" w:hint="cs"/>
          <w:sz w:val="24"/>
          <w:szCs w:val="24"/>
          <w:rtl/>
        </w:rPr>
        <w:t>פרלמנטרית,</w:t>
      </w:r>
      <w:r w:rsidR="007131AC">
        <w:rPr>
          <w:rFonts w:cs="David" w:hint="cs"/>
          <w:sz w:val="24"/>
          <w:szCs w:val="24"/>
          <w:rtl/>
        </w:rPr>
        <w:t xml:space="preserve"> ולכן ראוי שגם פתיחת ההליך תתקיים רק במקרים </w:t>
      </w:r>
      <w:r w:rsidR="00CA31AC">
        <w:rPr>
          <w:rFonts w:cs="David" w:hint="cs"/>
          <w:sz w:val="24"/>
          <w:szCs w:val="24"/>
          <w:rtl/>
        </w:rPr>
        <w:t>שבהם יש הסכמה רחבה שהם ראויים לבירור כזה;</w:t>
      </w:r>
    </w:p>
    <w:p w:rsidR="00C92B92" w:rsidRDefault="00C92B92" w:rsidP="00CA31AC">
      <w:pPr>
        <w:spacing w:after="0" w:line="320" w:lineRule="exact"/>
        <w:jc w:val="both"/>
        <w:rPr>
          <w:rFonts w:cs="David"/>
          <w:sz w:val="24"/>
          <w:szCs w:val="24"/>
          <w:rtl/>
        </w:rPr>
      </w:pPr>
    </w:p>
    <w:p w:rsidR="00994C45" w:rsidRDefault="00994C45" w:rsidP="007131AC">
      <w:pPr>
        <w:spacing w:after="0" w:line="320" w:lineRule="exact"/>
        <w:jc w:val="both"/>
        <w:rPr>
          <w:rFonts w:cs="David"/>
          <w:sz w:val="24"/>
          <w:szCs w:val="24"/>
          <w:rtl/>
        </w:rPr>
      </w:pPr>
      <w:r w:rsidRPr="00E4576B">
        <w:rPr>
          <w:rFonts w:cs="David" w:hint="cs"/>
          <w:sz w:val="24"/>
          <w:szCs w:val="24"/>
          <w:u w:val="single"/>
          <w:rtl/>
        </w:rPr>
        <w:t>הרביעית</w:t>
      </w:r>
      <w:r>
        <w:rPr>
          <w:rFonts w:cs="David" w:hint="cs"/>
          <w:sz w:val="24"/>
          <w:szCs w:val="24"/>
          <w:rtl/>
        </w:rPr>
        <w:t xml:space="preserve"> </w:t>
      </w:r>
      <w:r>
        <w:rPr>
          <w:rFonts w:cs="David"/>
          <w:sz w:val="24"/>
          <w:szCs w:val="24"/>
          <w:rtl/>
        </w:rPr>
        <w:t>–</w:t>
      </w:r>
      <w:r>
        <w:rPr>
          <w:rFonts w:cs="David" w:hint="cs"/>
          <w:sz w:val="24"/>
          <w:szCs w:val="24"/>
          <w:rtl/>
        </w:rPr>
        <w:t xml:space="preserve"> ההפניה לסעיף 7א(א) על כל עילותיו</w:t>
      </w:r>
      <w:r w:rsidR="007131AC">
        <w:rPr>
          <w:rFonts w:cs="David" w:hint="cs"/>
          <w:sz w:val="24"/>
          <w:szCs w:val="24"/>
          <w:rtl/>
        </w:rPr>
        <w:t xml:space="preserve"> </w:t>
      </w:r>
      <w:r w:rsidR="007131AC">
        <w:rPr>
          <w:rFonts w:cs="David"/>
          <w:sz w:val="24"/>
          <w:szCs w:val="24"/>
          <w:rtl/>
        </w:rPr>
        <w:t>–</w:t>
      </w:r>
      <w:r>
        <w:rPr>
          <w:rFonts w:cs="David" w:hint="cs"/>
          <w:sz w:val="24"/>
          <w:szCs w:val="24"/>
          <w:rtl/>
        </w:rPr>
        <w:t xml:space="preserve"> אף שיש בה היגיון אנליטי, </w:t>
      </w:r>
      <w:r w:rsidR="00CA31AC">
        <w:rPr>
          <w:rFonts w:cs="David" w:hint="cs"/>
          <w:sz w:val="24"/>
          <w:szCs w:val="24"/>
          <w:rtl/>
        </w:rPr>
        <w:t>ההפני</w:t>
      </w:r>
      <w:r w:rsidR="004B5107">
        <w:rPr>
          <w:rFonts w:cs="David" w:hint="cs"/>
          <w:sz w:val="24"/>
          <w:szCs w:val="24"/>
          <w:rtl/>
        </w:rPr>
        <w:t xml:space="preserve">ה לכל העילות המנויות בסעיף 7א, </w:t>
      </w:r>
      <w:r>
        <w:rPr>
          <w:rFonts w:cs="David" w:hint="cs"/>
          <w:sz w:val="24"/>
          <w:szCs w:val="24"/>
          <w:rtl/>
        </w:rPr>
        <w:t xml:space="preserve">בהינתן כל האמור לעיל, אינה רצויה. העילה הראשונה היא עמומה במיוחד ("שלילת קיומה של מדינת ישראל כמדינה יהודית ודמוקרטית") והכנסת תתקשה להפעילה. לכן </w:t>
      </w:r>
      <w:r w:rsidR="003F150D">
        <w:rPr>
          <w:rFonts w:cs="David" w:hint="cs"/>
          <w:sz w:val="24"/>
          <w:szCs w:val="24"/>
          <w:rtl/>
        </w:rPr>
        <w:t xml:space="preserve">אם יוחלט לקדם את התיקון </w:t>
      </w:r>
      <w:r>
        <w:rPr>
          <w:rFonts w:cs="David" w:hint="cs"/>
          <w:sz w:val="24"/>
          <w:szCs w:val="24"/>
          <w:rtl/>
        </w:rPr>
        <w:t xml:space="preserve">מוצע להסתפק בשתי </w:t>
      </w:r>
      <w:r w:rsidR="00167376">
        <w:rPr>
          <w:rFonts w:cs="David" w:hint="cs"/>
          <w:sz w:val="24"/>
          <w:szCs w:val="24"/>
          <w:rtl/>
        </w:rPr>
        <w:t>העילות האחרות, הקונקרטיות יותר;</w:t>
      </w:r>
    </w:p>
    <w:p w:rsidR="00C92B92" w:rsidRDefault="00C92B92" w:rsidP="007131AC">
      <w:pPr>
        <w:spacing w:after="0" w:line="320" w:lineRule="exact"/>
        <w:jc w:val="both"/>
        <w:rPr>
          <w:rFonts w:cs="David"/>
          <w:sz w:val="24"/>
          <w:szCs w:val="24"/>
          <w:rtl/>
        </w:rPr>
      </w:pPr>
    </w:p>
    <w:p w:rsidR="00527E32" w:rsidRDefault="00994C45" w:rsidP="00C92B92">
      <w:pPr>
        <w:spacing w:after="0" w:line="320" w:lineRule="exact"/>
        <w:jc w:val="both"/>
        <w:rPr>
          <w:rFonts w:cs="David"/>
          <w:sz w:val="24"/>
          <w:szCs w:val="24"/>
          <w:rtl/>
        </w:rPr>
      </w:pPr>
      <w:r w:rsidRPr="003F150D">
        <w:rPr>
          <w:rFonts w:cs="David" w:hint="cs"/>
          <w:sz w:val="24"/>
          <w:szCs w:val="24"/>
          <w:u w:val="single"/>
          <w:rtl/>
        </w:rPr>
        <w:t>החמישית</w:t>
      </w:r>
      <w:r w:rsidRPr="003F150D">
        <w:rPr>
          <w:rFonts w:cs="David" w:hint="cs"/>
          <w:sz w:val="24"/>
          <w:szCs w:val="24"/>
          <w:rtl/>
        </w:rPr>
        <w:t xml:space="preserve"> </w:t>
      </w:r>
      <w:r w:rsidRPr="003F150D">
        <w:rPr>
          <w:rFonts w:cs="David"/>
          <w:sz w:val="24"/>
          <w:szCs w:val="24"/>
          <w:rtl/>
        </w:rPr>
        <w:t>–</w:t>
      </w:r>
      <w:r w:rsidRPr="003F150D">
        <w:rPr>
          <w:rFonts w:cs="David" w:hint="cs"/>
          <w:sz w:val="24"/>
          <w:szCs w:val="24"/>
          <w:rtl/>
        </w:rPr>
        <w:t xml:space="preserve"> </w:t>
      </w:r>
      <w:r w:rsidR="007131AC">
        <w:rPr>
          <w:rFonts w:cs="David" w:hint="cs"/>
          <w:sz w:val="24"/>
          <w:szCs w:val="24"/>
          <w:rtl/>
        </w:rPr>
        <w:t xml:space="preserve">תקופת ההשעיה </w:t>
      </w:r>
      <w:r w:rsidR="007131AC">
        <w:rPr>
          <w:rFonts w:cs="David"/>
          <w:sz w:val="24"/>
          <w:szCs w:val="24"/>
          <w:rtl/>
        </w:rPr>
        <w:t>–</w:t>
      </w:r>
      <w:r w:rsidR="007131AC">
        <w:rPr>
          <w:rFonts w:cs="David" w:hint="cs"/>
          <w:sz w:val="24"/>
          <w:szCs w:val="24"/>
          <w:rtl/>
        </w:rPr>
        <w:t xml:space="preserve"> </w:t>
      </w:r>
      <w:r w:rsidRPr="003F150D">
        <w:rPr>
          <w:rFonts w:cs="David" w:hint="cs"/>
          <w:sz w:val="24"/>
          <w:szCs w:val="24"/>
          <w:rtl/>
        </w:rPr>
        <w:t xml:space="preserve">על אף שהשעיה קצרת מועד מידתית בהרבה מהדחה מהכנסת, </w:t>
      </w:r>
      <w:r w:rsidR="00527E32">
        <w:rPr>
          <w:rFonts w:cs="David" w:hint="cs"/>
          <w:sz w:val="24"/>
          <w:szCs w:val="24"/>
          <w:rtl/>
        </w:rPr>
        <w:t xml:space="preserve">קיימת סתירה פנימית בין </w:t>
      </w:r>
      <w:r w:rsidRPr="003F150D">
        <w:rPr>
          <w:rFonts w:cs="David" w:hint="cs"/>
          <w:sz w:val="24"/>
          <w:szCs w:val="24"/>
          <w:rtl/>
        </w:rPr>
        <w:t>קביעה שאדם אכן פעל בניגוד לאמנה החברתית הבסיסית של המדינה</w:t>
      </w:r>
      <w:r w:rsidR="00527E32">
        <w:rPr>
          <w:rFonts w:cs="David" w:hint="cs"/>
          <w:sz w:val="24"/>
          <w:szCs w:val="24"/>
          <w:rtl/>
        </w:rPr>
        <w:t xml:space="preserve">, לבין השעייתו </w:t>
      </w:r>
      <w:r w:rsidRPr="003F150D">
        <w:rPr>
          <w:rFonts w:cs="David" w:hint="cs"/>
          <w:sz w:val="24"/>
          <w:szCs w:val="24"/>
          <w:rtl/>
        </w:rPr>
        <w:t>לזמן קצר</w:t>
      </w:r>
      <w:r w:rsidR="00527E32">
        <w:rPr>
          <w:rFonts w:cs="David" w:hint="cs"/>
          <w:sz w:val="24"/>
          <w:szCs w:val="24"/>
          <w:rtl/>
        </w:rPr>
        <w:t xml:space="preserve"> בלבד</w:t>
      </w:r>
      <w:r w:rsidRPr="003F150D">
        <w:rPr>
          <w:rFonts w:cs="David" w:hint="cs"/>
          <w:sz w:val="24"/>
          <w:szCs w:val="24"/>
          <w:rtl/>
        </w:rPr>
        <w:t xml:space="preserve">. </w:t>
      </w:r>
      <w:r w:rsidR="00C92B92">
        <w:rPr>
          <w:rFonts w:cs="David" w:hint="cs"/>
          <w:sz w:val="24"/>
          <w:szCs w:val="24"/>
          <w:rtl/>
        </w:rPr>
        <w:t xml:space="preserve">בנוסף, </w:t>
      </w:r>
      <w:r w:rsidRPr="003F150D">
        <w:rPr>
          <w:rFonts w:cs="David" w:hint="cs"/>
          <w:sz w:val="24"/>
          <w:szCs w:val="24"/>
          <w:rtl/>
        </w:rPr>
        <w:t xml:space="preserve">יש </w:t>
      </w:r>
      <w:r w:rsidR="00527E32">
        <w:rPr>
          <w:rFonts w:cs="David" w:hint="cs"/>
          <w:sz w:val="24"/>
          <w:szCs w:val="24"/>
          <w:rtl/>
        </w:rPr>
        <w:t>חשש שמתן אפשרות להשעיה קצרת מועד, שלכאורה אינה "קטלנית" מבחינת חבר ה</w:t>
      </w:r>
      <w:r w:rsidR="00167376">
        <w:rPr>
          <w:rFonts w:cs="David" w:hint="cs"/>
          <w:sz w:val="24"/>
          <w:szCs w:val="24"/>
          <w:rtl/>
        </w:rPr>
        <w:t>כנסת, תוביל לשימוש יתר בכלי זה;</w:t>
      </w:r>
    </w:p>
    <w:p w:rsidR="00C92B92" w:rsidRDefault="00C92B92" w:rsidP="00C92B92">
      <w:pPr>
        <w:spacing w:after="0" w:line="320" w:lineRule="exact"/>
        <w:jc w:val="both"/>
        <w:rPr>
          <w:rFonts w:cs="David"/>
          <w:sz w:val="24"/>
          <w:szCs w:val="24"/>
          <w:rtl/>
        </w:rPr>
      </w:pPr>
    </w:p>
    <w:p w:rsidR="00527E32" w:rsidRPr="00527E32" w:rsidRDefault="00527E32" w:rsidP="00527E32">
      <w:pPr>
        <w:spacing w:after="0" w:line="320" w:lineRule="exact"/>
        <w:jc w:val="both"/>
        <w:rPr>
          <w:rFonts w:cs="David"/>
          <w:sz w:val="24"/>
          <w:szCs w:val="24"/>
          <w:rtl/>
        </w:rPr>
      </w:pPr>
      <w:r>
        <w:rPr>
          <w:rFonts w:cs="David" w:hint="cs"/>
          <w:sz w:val="24"/>
          <w:szCs w:val="24"/>
          <w:u w:val="single"/>
          <w:rtl/>
        </w:rPr>
        <w:t xml:space="preserve">השישית </w:t>
      </w:r>
      <w:r>
        <w:rPr>
          <w:rFonts w:cs="David" w:hint="cs"/>
          <w:sz w:val="24"/>
          <w:szCs w:val="24"/>
          <w:rtl/>
        </w:rPr>
        <w:t xml:space="preserve"> </w:t>
      </w:r>
      <w:r w:rsidRPr="003F150D">
        <w:rPr>
          <w:rFonts w:cs="David"/>
          <w:sz w:val="24"/>
          <w:szCs w:val="24"/>
          <w:rtl/>
        </w:rPr>
        <w:t>–</w:t>
      </w:r>
      <w:r>
        <w:rPr>
          <w:rFonts w:cs="David" w:hint="cs"/>
          <w:sz w:val="24"/>
          <w:szCs w:val="24"/>
          <w:rtl/>
        </w:rPr>
        <w:t xml:space="preserve"> יש לשקול השפעת השעיות קצרות על המועמדים הבאים ברשימה, שייכנסו לכנסת לתקופות קצרות, או שייכנסו וייצאו </w:t>
      </w:r>
      <w:r w:rsidR="00C92B92">
        <w:rPr>
          <w:rFonts w:cs="David" w:hint="cs"/>
          <w:sz w:val="24"/>
          <w:szCs w:val="24"/>
          <w:rtl/>
        </w:rPr>
        <w:t>מה</w:t>
      </w:r>
      <w:r>
        <w:rPr>
          <w:rFonts w:cs="David" w:hint="cs"/>
          <w:sz w:val="24"/>
          <w:szCs w:val="24"/>
          <w:rtl/>
        </w:rPr>
        <w:t>כנסת חליפות, מה שעלול להשפיע לרעה על הכנסת.</w:t>
      </w:r>
    </w:p>
    <w:p w:rsidR="00994C45" w:rsidRPr="003C6A2D" w:rsidRDefault="00994C45" w:rsidP="00F36AC6">
      <w:pPr>
        <w:spacing w:after="0" w:line="320" w:lineRule="exact"/>
        <w:jc w:val="both"/>
        <w:rPr>
          <w:rStyle w:val="big-number"/>
          <w:rFonts w:cs="David" w:hint="cs"/>
          <w:sz w:val="24"/>
          <w:szCs w:val="24"/>
          <w:rtl/>
        </w:rPr>
      </w:pPr>
    </w:p>
    <w:p w:rsidR="006A4837" w:rsidRPr="0095013B" w:rsidRDefault="006A4837" w:rsidP="00F36AC6">
      <w:pPr>
        <w:spacing w:after="0" w:line="320" w:lineRule="exact"/>
        <w:jc w:val="both"/>
        <w:rPr>
          <w:rFonts w:cs="David"/>
          <w:sz w:val="24"/>
          <w:szCs w:val="24"/>
          <w:u w:val="single"/>
          <w:rtl/>
        </w:rPr>
      </w:pPr>
      <w:r w:rsidRPr="0095013B">
        <w:rPr>
          <w:rFonts w:cs="David" w:hint="cs"/>
          <w:sz w:val="24"/>
          <w:szCs w:val="24"/>
          <w:u w:val="single"/>
          <w:rtl/>
        </w:rPr>
        <w:t xml:space="preserve">הכנסת יכולה לשנות את </w:t>
      </w:r>
      <w:r w:rsidR="00753E99" w:rsidRPr="0095013B">
        <w:rPr>
          <w:rFonts w:cs="David" w:hint="cs"/>
          <w:sz w:val="24"/>
          <w:szCs w:val="24"/>
          <w:u w:val="single"/>
          <w:rtl/>
        </w:rPr>
        <w:t>המשפט החוקתי של המדינה</w:t>
      </w:r>
      <w:r w:rsidRPr="0095013B">
        <w:rPr>
          <w:rFonts w:cs="David" w:hint="cs"/>
          <w:sz w:val="24"/>
          <w:szCs w:val="24"/>
          <w:u w:val="single"/>
          <w:rtl/>
        </w:rPr>
        <w:t xml:space="preserve"> </w:t>
      </w:r>
      <w:r w:rsidR="0095013B" w:rsidRPr="0095013B">
        <w:rPr>
          <w:rFonts w:cs="David" w:hint="cs"/>
          <w:sz w:val="24"/>
          <w:szCs w:val="24"/>
          <w:u w:val="single"/>
          <w:rtl/>
        </w:rPr>
        <w:t xml:space="preserve">ולקבוע עילת הדחה כתמונת ראי לסעיף 7א, </w:t>
      </w:r>
      <w:r w:rsidRPr="0095013B">
        <w:rPr>
          <w:rFonts w:cs="David" w:hint="cs"/>
          <w:sz w:val="24"/>
          <w:szCs w:val="24"/>
          <w:u w:val="single"/>
          <w:rtl/>
        </w:rPr>
        <w:t xml:space="preserve">אך עליה להיות ערה לכך </w:t>
      </w:r>
      <w:r w:rsidR="009512FA" w:rsidRPr="0095013B">
        <w:rPr>
          <w:rFonts w:cs="David" w:hint="cs"/>
          <w:sz w:val="24"/>
          <w:szCs w:val="24"/>
          <w:u w:val="single"/>
          <w:rtl/>
        </w:rPr>
        <w:t>שעיצוב ההסדר</w:t>
      </w:r>
      <w:r w:rsidR="00753E99" w:rsidRPr="0095013B">
        <w:rPr>
          <w:rFonts w:cs="David" w:hint="cs"/>
          <w:sz w:val="24"/>
          <w:szCs w:val="24"/>
          <w:u w:val="single"/>
          <w:rtl/>
        </w:rPr>
        <w:t xml:space="preserve"> </w:t>
      </w:r>
      <w:r w:rsidR="009512FA" w:rsidRPr="0095013B">
        <w:rPr>
          <w:rFonts w:cs="David" w:hint="cs"/>
          <w:sz w:val="24"/>
          <w:szCs w:val="24"/>
          <w:u w:val="single"/>
          <w:rtl/>
        </w:rPr>
        <w:t xml:space="preserve">יכול שיפגע </w:t>
      </w:r>
      <w:r w:rsidR="00753E99" w:rsidRPr="0095013B">
        <w:rPr>
          <w:rFonts w:cs="David" w:hint="cs"/>
          <w:sz w:val="24"/>
          <w:szCs w:val="24"/>
          <w:u w:val="single"/>
          <w:rtl/>
        </w:rPr>
        <w:t>ביכולת התפקוד הלגיטימית של חבר הכנסת (שבדרך כלל יימצא בקצה פוליטי כלשהו)</w:t>
      </w:r>
      <w:r w:rsidR="00670B76" w:rsidRPr="0095013B">
        <w:rPr>
          <w:rFonts w:cs="David" w:hint="cs"/>
          <w:sz w:val="24"/>
          <w:szCs w:val="24"/>
          <w:u w:val="single"/>
          <w:rtl/>
        </w:rPr>
        <w:t>, ולהביא לצינון יתר של פעילותו למען הציבור שאותו הוא מייצג.</w:t>
      </w:r>
    </w:p>
    <w:p w:rsidR="00E4576B" w:rsidRDefault="00E4576B" w:rsidP="00F36AC6">
      <w:pPr>
        <w:spacing w:after="0" w:line="320" w:lineRule="exact"/>
        <w:jc w:val="both"/>
        <w:rPr>
          <w:rFonts w:cs="David"/>
          <w:sz w:val="24"/>
          <w:szCs w:val="24"/>
          <w:rtl/>
        </w:rPr>
      </w:pPr>
    </w:p>
    <w:p w:rsidR="00E4576B" w:rsidRDefault="002C74DF" w:rsidP="002819F4">
      <w:pPr>
        <w:spacing w:after="0" w:line="320" w:lineRule="exact"/>
        <w:jc w:val="both"/>
        <w:rPr>
          <w:rFonts w:cs="David"/>
          <w:sz w:val="24"/>
          <w:szCs w:val="24"/>
          <w:rtl/>
        </w:rPr>
      </w:pPr>
      <w:r>
        <w:rPr>
          <w:rFonts w:cs="David" w:hint="cs"/>
          <w:sz w:val="24"/>
          <w:szCs w:val="24"/>
          <w:rtl/>
        </w:rPr>
        <w:t>לפני סיום, נעיר ש</w:t>
      </w:r>
      <w:r w:rsidR="00E4576B">
        <w:rPr>
          <w:rFonts w:cs="David" w:hint="cs"/>
          <w:sz w:val="24"/>
          <w:szCs w:val="24"/>
          <w:rtl/>
        </w:rPr>
        <w:t xml:space="preserve">הסמכות המוצעת </w:t>
      </w:r>
      <w:r w:rsidR="002819F4">
        <w:rPr>
          <w:rFonts w:cs="David" w:hint="cs"/>
          <w:sz w:val="24"/>
          <w:szCs w:val="24"/>
          <w:rtl/>
        </w:rPr>
        <w:t xml:space="preserve">להשעות ברוב גדול חבר כנסת מכהן, </w:t>
      </w:r>
      <w:r w:rsidR="00E4576B">
        <w:rPr>
          <w:rFonts w:cs="David" w:hint="cs"/>
          <w:sz w:val="24"/>
          <w:szCs w:val="24"/>
          <w:rtl/>
        </w:rPr>
        <w:t>הוש</w:t>
      </w:r>
      <w:r w:rsidR="00842827">
        <w:rPr>
          <w:rFonts w:cs="David" w:hint="cs"/>
          <w:sz w:val="24"/>
          <w:szCs w:val="24"/>
          <w:rtl/>
        </w:rPr>
        <w:t>ו</w:t>
      </w:r>
      <w:r w:rsidR="00E4576B">
        <w:rPr>
          <w:rFonts w:cs="David" w:hint="cs"/>
          <w:sz w:val="24"/>
          <w:szCs w:val="24"/>
          <w:rtl/>
        </w:rPr>
        <w:t>ו</w:t>
      </w:r>
      <w:r w:rsidR="00842827">
        <w:rPr>
          <w:rFonts w:cs="David" w:hint="cs"/>
          <w:sz w:val="24"/>
          <w:szCs w:val="24"/>
          <w:rtl/>
        </w:rPr>
        <w:t>ת</w:t>
      </w:r>
      <w:r w:rsidR="00E4576B">
        <w:rPr>
          <w:rFonts w:cs="David" w:hint="cs"/>
          <w:sz w:val="24"/>
          <w:szCs w:val="24"/>
          <w:rtl/>
        </w:rPr>
        <w:t xml:space="preserve">ה להדחה </w:t>
      </w:r>
      <w:r w:rsidR="002819F4">
        <w:rPr>
          <w:rFonts w:cs="David" w:hint="cs"/>
          <w:sz w:val="24"/>
          <w:szCs w:val="24"/>
          <w:rtl/>
        </w:rPr>
        <w:t xml:space="preserve">על ידי הכנסת ברוב גדול </w:t>
      </w:r>
      <w:r w:rsidR="00E4576B">
        <w:rPr>
          <w:rFonts w:cs="David" w:hint="cs"/>
          <w:sz w:val="24"/>
          <w:szCs w:val="24"/>
          <w:rtl/>
        </w:rPr>
        <w:t>של נשיא המדינה או של יושב ראש הכנסת אך אין דמיון בין המוצע לבין הראיה: ראשית, נשיא המדינה ויושב ראש הכנסת נבחרים בידי הכנסת, אותו הגוף שמוסמך גם להעבירם מתפקידם</w:t>
      </w:r>
      <w:r w:rsidR="00842827">
        <w:rPr>
          <w:rFonts w:cs="David" w:hint="cs"/>
          <w:sz w:val="24"/>
          <w:szCs w:val="24"/>
          <w:rtl/>
        </w:rPr>
        <w:t xml:space="preserve"> </w:t>
      </w:r>
      <w:r w:rsidR="00842827">
        <w:rPr>
          <w:rFonts w:cs="David"/>
          <w:sz w:val="24"/>
          <w:szCs w:val="24"/>
          <w:rtl/>
        </w:rPr>
        <w:t>–</w:t>
      </w:r>
      <w:r w:rsidR="00842827">
        <w:rPr>
          <w:rFonts w:cs="David" w:hint="cs"/>
          <w:sz w:val="24"/>
          <w:szCs w:val="24"/>
          <w:rtl/>
        </w:rPr>
        <w:t xml:space="preserve"> וכאן מוצע להדיח חבר כנסת שנבחר על ידי העם</w:t>
      </w:r>
      <w:r w:rsidR="00E4576B">
        <w:rPr>
          <w:rFonts w:cs="David" w:hint="cs"/>
          <w:sz w:val="24"/>
          <w:szCs w:val="24"/>
          <w:rtl/>
        </w:rPr>
        <w:t xml:space="preserve">. שנית, </w:t>
      </w:r>
      <w:r w:rsidR="00842827">
        <w:rPr>
          <w:rFonts w:cs="David" w:hint="cs"/>
          <w:sz w:val="24"/>
          <w:szCs w:val="24"/>
          <w:rtl/>
        </w:rPr>
        <w:t xml:space="preserve">נשיא המדינה ויו"ר הכנסת הן </w:t>
      </w:r>
      <w:r w:rsidR="00E4576B">
        <w:rPr>
          <w:rFonts w:cs="David" w:hint="cs"/>
          <w:sz w:val="24"/>
          <w:szCs w:val="24"/>
          <w:rtl/>
        </w:rPr>
        <w:t xml:space="preserve">דמויות </w:t>
      </w:r>
      <w:r w:rsidR="002819F4">
        <w:rPr>
          <w:rFonts w:cs="David" w:hint="cs"/>
          <w:sz w:val="24"/>
          <w:szCs w:val="24"/>
          <w:rtl/>
        </w:rPr>
        <w:t>שבהסכמה חברתית רחבה,</w:t>
      </w:r>
      <w:r w:rsidR="00E4576B">
        <w:rPr>
          <w:rFonts w:cs="David" w:hint="cs"/>
          <w:sz w:val="24"/>
          <w:szCs w:val="24"/>
          <w:rtl/>
        </w:rPr>
        <w:t xml:space="preserve"> שיוזמה כזו לגביהם תהיה נדירה ביותר</w:t>
      </w:r>
      <w:r w:rsidR="00842827">
        <w:rPr>
          <w:rFonts w:cs="David" w:hint="cs"/>
          <w:sz w:val="24"/>
          <w:szCs w:val="24"/>
          <w:rtl/>
        </w:rPr>
        <w:t xml:space="preserve"> </w:t>
      </w:r>
      <w:r w:rsidR="00842827">
        <w:rPr>
          <w:rFonts w:cs="David"/>
          <w:sz w:val="24"/>
          <w:szCs w:val="24"/>
          <w:rtl/>
        </w:rPr>
        <w:t>–</w:t>
      </w:r>
      <w:r w:rsidR="00842827">
        <w:rPr>
          <w:rFonts w:cs="David" w:hint="cs"/>
          <w:sz w:val="24"/>
          <w:szCs w:val="24"/>
          <w:rtl/>
        </w:rPr>
        <w:t xml:space="preserve"> ו</w:t>
      </w:r>
      <w:r w:rsidR="002819F4">
        <w:rPr>
          <w:rFonts w:cs="David" w:hint="cs"/>
          <w:sz w:val="24"/>
          <w:szCs w:val="24"/>
          <w:rtl/>
        </w:rPr>
        <w:t xml:space="preserve">אילו </w:t>
      </w:r>
      <w:r w:rsidR="00842827">
        <w:rPr>
          <w:rFonts w:cs="David" w:hint="cs"/>
          <w:sz w:val="24"/>
          <w:szCs w:val="24"/>
          <w:rtl/>
        </w:rPr>
        <w:t>עילות ההדחה המוצעות כאן יופעלו בדרך כלל כלפי חברי כנסת בקצוות הפוליטיים שאינ</w:t>
      </w:r>
      <w:r w:rsidR="002819F4">
        <w:rPr>
          <w:rFonts w:cs="David" w:hint="cs"/>
          <w:sz w:val="24"/>
          <w:szCs w:val="24"/>
          <w:rtl/>
        </w:rPr>
        <w:t>ם נמצאים</w:t>
      </w:r>
      <w:r w:rsidR="00842827">
        <w:rPr>
          <w:rFonts w:cs="David" w:hint="cs"/>
          <w:sz w:val="24"/>
          <w:szCs w:val="24"/>
          <w:rtl/>
        </w:rPr>
        <w:t xml:space="preserve"> בקונצנזוס</w:t>
      </w:r>
      <w:r w:rsidR="00E4576B">
        <w:rPr>
          <w:rFonts w:cs="David" w:hint="cs"/>
          <w:sz w:val="24"/>
          <w:szCs w:val="24"/>
          <w:rtl/>
        </w:rPr>
        <w:t xml:space="preserve">. </w:t>
      </w:r>
    </w:p>
    <w:p w:rsidR="00E4576B" w:rsidRDefault="00E4576B" w:rsidP="00F36AC6">
      <w:pPr>
        <w:spacing w:after="0" w:line="320" w:lineRule="exact"/>
        <w:jc w:val="both"/>
        <w:rPr>
          <w:rFonts w:cs="David"/>
          <w:sz w:val="24"/>
          <w:szCs w:val="24"/>
          <w:rtl/>
        </w:rPr>
      </w:pPr>
    </w:p>
    <w:p w:rsidR="00C92B92" w:rsidRDefault="00C92B92" w:rsidP="007131AC">
      <w:pPr>
        <w:spacing w:after="0" w:line="320" w:lineRule="exact"/>
        <w:jc w:val="both"/>
        <w:rPr>
          <w:rFonts w:cs="David"/>
          <w:sz w:val="24"/>
          <w:szCs w:val="24"/>
          <w:rtl/>
        </w:rPr>
      </w:pPr>
    </w:p>
    <w:p w:rsidR="00C92B92" w:rsidRDefault="00C92B92" w:rsidP="007131AC">
      <w:pPr>
        <w:spacing w:after="0" w:line="320" w:lineRule="exact"/>
        <w:jc w:val="both"/>
        <w:rPr>
          <w:rFonts w:cs="David"/>
          <w:sz w:val="24"/>
          <w:szCs w:val="24"/>
          <w:rtl/>
        </w:rPr>
      </w:pPr>
    </w:p>
    <w:p w:rsidR="00C92B92" w:rsidRDefault="00C92B92" w:rsidP="007131AC">
      <w:pPr>
        <w:spacing w:after="0" w:line="320" w:lineRule="exact"/>
        <w:jc w:val="both"/>
        <w:rPr>
          <w:rFonts w:cs="David"/>
          <w:sz w:val="24"/>
          <w:szCs w:val="24"/>
          <w:rtl/>
        </w:rPr>
      </w:pPr>
    </w:p>
    <w:p w:rsidR="00C92B92" w:rsidRDefault="00C92B92" w:rsidP="007131AC">
      <w:pPr>
        <w:spacing w:after="0" w:line="320" w:lineRule="exact"/>
        <w:jc w:val="both"/>
        <w:rPr>
          <w:rFonts w:cs="David"/>
          <w:sz w:val="24"/>
          <w:szCs w:val="24"/>
          <w:rtl/>
        </w:rPr>
      </w:pPr>
    </w:p>
    <w:p w:rsidR="00C92B92" w:rsidRDefault="00C92B92" w:rsidP="007131AC">
      <w:pPr>
        <w:spacing w:after="0" w:line="320" w:lineRule="exact"/>
        <w:jc w:val="both"/>
        <w:rPr>
          <w:rFonts w:cs="David"/>
          <w:sz w:val="24"/>
          <w:szCs w:val="24"/>
          <w:rtl/>
        </w:rPr>
      </w:pPr>
    </w:p>
    <w:p w:rsidR="00D2155E" w:rsidRDefault="009512FA" w:rsidP="007131AC">
      <w:pPr>
        <w:spacing w:after="0" w:line="320" w:lineRule="exact"/>
        <w:jc w:val="both"/>
        <w:rPr>
          <w:rFonts w:cs="David"/>
          <w:sz w:val="24"/>
          <w:szCs w:val="24"/>
          <w:rtl/>
        </w:rPr>
      </w:pPr>
      <w:r>
        <w:rPr>
          <w:rFonts w:cs="David" w:hint="cs"/>
          <w:sz w:val="24"/>
          <w:szCs w:val="24"/>
          <w:rtl/>
        </w:rPr>
        <w:t xml:space="preserve">לסיכום, אם תחליט הוועדה ליזום </w:t>
      </w:r>
      <w:r w:rsidR="007131AC">
        <w:rPr>
          <w:rFonts w:cs="David" w:hint="cs"/>
          <w:sz w:val="24"/>
          <w:szCs w:val="24"/>
          <w:rtl/>
        </w:rPr>
        <w:t>תיקון ל</w:t>
      </w:r>
      <w:r w:rsidR="003F150D">
        <w:rPr>
          <w:rFonts w:cs="David" w:hint="cs"/>
          <w:sz w:val="24"/>
          <w:szCs w:val="24"/>
          <w:rtl/>
        </w:rPr>
        <w:t>חוק היסוד</w:t>
      </w:r>
      <w:r>
        <w:rPr>
          <w:rFonts w:cs="David" w:hint="cs"/>
          <w:sz w:val="24"/>
          <w:szCs w:val="24"/>
          <w:rtl/>
        </w:rPr>
        <w:t xml:space="preserve">, מוצע </w:t>
      </w:r>
      <w:r w:rsidR="008D3601">
        <w:rPr>
          <w:rFonts w:cs="David" w:hint="cs"/>
          <w:sz w:val="24"/>
          <w:szCs w:val="24"/>
          <w:rtl/>
        </w:rPr>
        <w:t>שתשקול את התיקונים הבאים</w:t>
      </w:r>
      <w:r>
        <w:rPr>
          <w:rFonts w:cs="David" w:hint="cs"/>
          <w:sz w:val="24"/>
          <w:szCs w:val="24"/>
          <w:rtl/>
        </w:rPr>
        <w:t>:</w:t>
      </w:r>
    </w:p>
    <w:p w:rsidR="009512FA" w:rsidRDefault="009512FA" w:rsidP="00F36AC6">
      <w:pPr>
        <w:spacing w:after="0" w:line="320" w:lineRule="exact"/>
        <w:jc w:val="both"/>
        <w:rPr>
          <w:rFonts w:cs="David"/>
          <w:sz w:val="24"/>
          <w:szCs w:val="24"/>
          <w:rtl/>
        </w:rPr>
      </w:pPr>
    </w:p>
    <w:p w:rsidR="009512FA" w:rsidRDefault="009512FA" w:rsidP="007131AC">
      <w:pPr>
        <w:pStyle w:val="ListParagraph"/>
        <w:numPr>
          <w:ilvl w:val="0"/>
          <w:numId w:val="7"/>
        </w:numPr>
        <w:spacing w:after="0" w:line="320" w:lineRule="exact"/>
        <w:jc w:val="both"/>
        <w:rPr>
          <w:rFonts w:cs="David"/>
          <w:sz w:val="24"/>
          <w:szCs w:val="24"/>
        </w:rPr>
      </w:pPr>
      <w:r>
        <w:rPr>
          <w:rFonts w:cs="David" w:hint="cs"/>
          <w:sz w:val="24"/>
          <w:szCs w:val="24"/>
          <w:rtl/>
        </w:rPr>
        <w:t xml:space="preserve">קביעה שהבקשה לפתוח בהליך תוגש על ידי מספר גדול יותר של חברי הכנסת </w:t>
      </w:r>
      <w:r w:rsidR="007131AC">
        <w:rPr>
          <w:rFonts w:cs="David" w:hint="cs"/>
          <w:sz w:val="24"/>
          <w:szCs w:val="24"/>
          <w:rtl/>
        </w:rPr>
        <w:t>מרוב קואליציוני רגיל,</w:t>
      </w:r>
      <w:r>
        <w:rPr>
          <w:rFonts w:cs="David" w:hint="cs"/>
          <w:sz w:val="24"/>
          <w:szCs w:val="24"/>
          <w:rtl/>
        </w:rPr>
        <w:t xml:space="preserve"> ולכך ניתן להוסיף קביעה שחלק מאותם מבקשים צריכים להימנות על סיעות האופוזיציה</w:t>
      </w:r>
      <w:r w:rsidR="00BC42F8">
        <w:rPr>
          <w:rFonts w:cs="David" w:hint="cs"/>
          <w:sz w:val="24"/>
          <w:szCs w:val="24"/>
          <w:rtl/>
        </w:rPr>
        <w:t xml:space="preserve"> על מנת שהליך כזה לא ייפתח בהעדר הסכמה רחבה של הבית</w:t>
      </w:r>
      <w:r>
        <w:rPr>
          <w:rFonts w:cs="David" w:hint="cs"/>
          <w:sz w:val="24"/>
          <w:szCs w:val="24"/>
          <w:rtl/>
        </w:rPr>
        <w:t>;</w:t>
      </w:r>
    </w:p>
    <w:p w:rsidR="009512FA" w:rsidRPr="00C92B92" w:rsidRDefault="002C74DF" w:rsidP="002C74DF">
      <w:pPr>
        <w:pStyle w:val="ListParagraph"/>
        <w:numPr>
          <w:ilvl w:val="0"/>
          <w:numId w:val="7"/>
        </w:numPr>
        <w:spacing w:after="0" w:line="320" w:lineRule="exact"/>
        <w:jc w:val="both"/>
        <w:rPr>
          <w:rFonts w:cs="David"/>
          <w:sz w:val="24"/>
          <w:szCs w:val="24"/>
        </w:rPr>
      </w:pPr>
      <w:r>
        <w:rPr>
          <w:rFonts w:cs="David" w:hint="cs"/>
          <w:sz w:val="24"/>
          <w:szCs w:val="24"/>
          <w:rtl/>
        </w:rPr>
        <w:t>קביעה בעניין</w:t>
      </w:r>
      <w:r w:rsidR="00C92B92" w:rsidRPr="00C92B92">
        <w:rPr>
          <w:rFonts w:cs="David" w:hint="cs"/>
          <w:sz w:val="24"/>
          <w:szCs w:val="24"/>
          <w:rtl/>
        </w:rPr>
        <w:t xml:space="preserve"> תפקידו של בית המשפט </w:t>
      </w:r>
      <w:r w:rsidR="009512FA" w:rsidRPr="00C92B92">
        <w:rPr>
          <w:rFonts w:cs="David" w:hint="cs"/>
          <w:sz w:val="24"/>
          <w:szCs w:val="24"/>
          <w:rtl/>
        </w:rPr>
        <w:t xml:space="preserve">העליון </w:t>
      </w:r>
      <w:r w:rsidR="00C92B92" w:rsidRPr="00C92B92">
        <w:rPr>
          <w:rFonts w:cs="David" w:hint="cs"/>
          <w:sz w:val="24"/>
          <w:szCs w:val="24"/>
          <w:rtl/>
        </w:rPr>
        <w:t>ב</w:t>
      </w:r>
      <w:r w:rsidR="009512FA" w:rsidRPr="00C92B92">
        <w:rPr>
          <w:rFonts w:cs="David" w:hint="cs"/>
          <w:sz w:val="24"/>
          <w:szCs w:val="24"/>
          <w:rtl/>
        </w:rPr>
        <w:t>החלטה</w:t>
      </w:r>
      <w:r w:rsidR="00C92B92" w:rsidRPr="00C92B92">
        <w:rPr>
          <w:rFonts w:cs="David" w:hint="cs"/>
          <w:sz w:val="24"/>
          <w:szCs w:val="24"/>
          <w:rtl/>
        </w:rPr>
        <w:t xml:space="preserve"> </w:t>
      </w:r>
      <w:r w:rsidR="00C92B92" w:rsidRPr="00C92B92">
        <w:rPr>
          <w:rFonts w:cs="David"/>
          <w:sz w:val="24"/>
          <w:szCs w:val="24"/>
          <w:rtl/>
        </w:rPr>
        <w:t>–</w:t>
      </w:r>
      <w:r w:rsidR="00C92B92" w:rsidRPr="00C92B92">
        <w:rPr>
          <w:rFonts w:cs="David" w:hint="cs"/>
          <w:sz w:val="24"/>
          <w:szCs w:val="24"/>
          <w:rtl/>
        </w:rPr>
        <w:t xml:space="preserve"> לפי הנוסח המוצע</w:t>
      </w:r>
      <w:r>
        <w:rPr>
          <w:rFonts w:cs="David" w:hint="cs"/>
          <w:sz w:val="24"/>
          <w:szCs w:val="24"/>
          <w:rtl/>
        </w:rPr>
        <w:t xml:space="preserve"> על ידי יושב ראש הוועדה</w:t>
      </w:r>
      <w:r w:rsidR="00C92B92" w:rsidRPr="00C92B92">
        <w:rPr>
          <w:rFonts w:cs="David" w:hint="cs"/>
          <w:sz w:val="24"/>
          <w:szCs w:val="24"/>
          <w:rtl/>
        </w:rPr>
        <w:t xml:space="preserve">, הביקורת תהיה ביקורת של ערעור (המודל הקבוע בחוק הבחירות לגבי פסילת רשימת מועמדים). ביקורת חזקה יותר קבועה היום </w:t>
      </w:r>
      <w:r w:rsidR="00BC42F8" w:rsidRPr="00C92B92">
        <w:rPr>
          <w:rFonts w:cs="David" w:hint="cs"/>
          <w:sz w:val="24"/>
          <w:szCs w:val="24"/>
          <w:rtl/>
        </w:rPr>
        <w:t>בסעיף 7א בעניין פסילת מועמד</w:t>
      </w:r>
      <w:r w:rsidR="00C92B92" w:rsidRPr="00C92B92">
        <w:rPr>
          <w:rFonts w:cs="David" w:hint="cs"/>
          <w:sz w:val="24"/>
          <w:szCs w:val="24"/>
          <w:rtl/>
        </w:rPr>
        <w:t xml:space="preserve"> יח</w:t>
      </w:r>
      <w:r>
        <w:rPr>
          <w:rFonts w:cs="David" w:hint="cs"/>
          <w:sz w:val="24"/>
          <w:szCs w:val="24"/>
          <w:rtl/>
        </w:rPr>
        <w:t>י</w:t>
      </w:r>
      <w:r w:rsidR="00C92B92" w:rsidRPr="00C92B92">
        <w:rPr>
          <w:rFonts w:cs="David" w:hint="cs"/>
          <w:sz w:val="24"/>
          <w:szCs w:val="24"/>
          <w:rtl/>
        </w:rPr>
        <w:t>ד, שם נקבע שבית המשפט יהיה חלק מההחלטה, וזו לא תשתכלל ללא אישורו</w:t>
      </w:r>
      <w:r w:rsidR="00EA421A" w:rsidRPr="00C92B92">
        <w:rPr>
          <w:rFonts w:cs="David" w:hint="cs"/>
          <w:sz w:val="24"/>
          <w:szCs w:val="24"/>
          <w:rtl/>
        </w:rPr>
        <w:t>;</w:t>
      </w:r>
    </w:p>
    <w:p w:rsidR="00EA421A" w:rsidRDefault="00BC42F8" w:rsidP="00C92B92">
      <w:pPr>
        <w:pStyle w:val="ListParagraph"/>
        <w:numPr>
          <w:ilvl w:val="0"/>
          <w:numId w:val="7"/>
        </w:numPr>
        <w:spacing w:after="0" w:line="320" w:lineRule="exact"/>
        <w:jc w:val="both"/>
        <w:rPr>
          <w:rFonts w:cs="David"/>
          <w:sz w:val="24"/>
          <w:szCs w:val="24"/>
        </w:rPr>
      </w:pPr>
      <w:r>
        <w:rPr>
          <w:rFonts w:cs="David" w:hint="cs"/>
          <w:sz w:val="24"/>
          <w:szCs w:val="24"/>
          <w:rtl/>
        </w:rPr>
        <w:t>קביעת שתי עילות השעיה בלבד: הסתה לגזענות</w:t>
      </w:r>
      <w:r>
        <w:rPr>
          <w:rStyle w:val="FootnoteReference"/>
          <w:rFonts w:cs="David"/>
          <w:sz w:val="24"/>
          <w:szCs w:val="24"/>
          <w:rtl/>
        </w:rPr>
        <w:footnoteReference w:id="11"/>
      </w:r>
      <w:r>
        <w:rPr>
          <w:rFonts w:cs="David" w:hint="cs"/>
          <w:sz w:val="24"/>
          <w:szCs w:val="24"/>
          <w:rtl/>
        </w:rPr>
        <w:t xml:space="preserve"> ותמיכה במאבק מזוין נגד מדינת ישראל</w:t>
      </w:r>
      <w:r>
        <w:rPr>
          <w:rStyle w:val="FootnoteReference"/>
          <w:rFonts w:cs="David"/>
          <w:sz w:val="24"/>
          <w:szCs w:val="24"/>
          <w:rtl/>
        </w:rPr>
        <w:footnoteReference w:id="12"/>
      </w:r>
      <w:r w:rsidR="00334491">
        <w:rPr>
          <w:rFonts w:cs="David" w:hint="cs"/>
          <w:sz w:val="24"/>
          <w:szCs w:val="24"/>
          <w:rtl/>
        </w:rPr>
        <w:t>;</w:t>
      </w:r>
    </w:p>
    <w:p w:rsidR="00334491" w:rsidRDefault="00334491" w:rsidP="00C92B92">
      <w:pPr>
        <w:pStyle w:val="ListParagraph"/>
        <w:numPr>
          <w:ilvl w:val="0"/>
          <w:numId w:val="7"/>
        </w:numPr>
        <w:spacing w:after="0" w:line="320" w:lineRule="exact"/>
        <w:jc w:val="both"/>
        <w:rPr>
          <w:rFonts w:cs="David"/>
          <w:sz w:val="24"/>
          <w:szCs w:val="24"/>
        </w:rPr>
      </w:pPr>
      <w:r>
        <w:rPr>
          <w:rFonts w:cs="David" w:hint="cs"/>
          <w:sz w:val="24"/>
          <w:szCs w:val="24"/>
          <w:rtl/>
        </w:rPr>
        <w:t xml:space="preserve">קביעה של המבחנים הנהוגים היום, ושאינם חלק מהטקסט החוקתי, כגון "משמעותיות" הפעולה, חוסר האקראיות שלה, </w:t>
      </w:r>
      <w:r w:rsidR="00C92B92">
        <w:rPr>
          <w:rFonts w:cs="David" w:hint="cs"/>
          <w:sz w:val="24"/>
          <w:szCs w:val="24"/>
          <w:rtl/>
        </w:rPr>
        <w:t>ה</w:t>
      </w:r>
      <w:r>
        <w:rPr>
          <w:rFonts w:cs="David" w:hint="cs"/>
          <w:sz w:val="24"/>
          <w:szCs w:val="24"/>
          <w:rtl/>
        </w:rPr>
        <w:t>דומיננטי</w:t>
      </w:r>
      <w:r w:rsidR="00C92B92">
        <w:rPr>
          <w:rFonts w:cs="David" w:hint="cs"/>
          <w:sz w:val="24"/>
          <w:szCs w:val="24"/>
          <w:rtl/>
        </w:rPr>
        <w:t>ו</w:t>
      </w:r>
      <w:r>
        <w:rPr>
          <w:rFonts w:cs="David" w:hint="cs"/>
          <w:sz w:val="24"/>
          <w:szCs w:val="24"/>
          <w:rtl/>
        </w:rPr>
        <w:t>ת</w:t>
      </w:r>
      <w:r w:rsidR="00C92B92">
        <w:rPr>
          <w:rFonts w:cs="David" w:hint="cs"/>
          <w:sz w:val="24"/>
          <w:szCs w:val="24"/>
          <w:rtl/>
        </w:rPr>
        <w:t xml:space="preserve"> שלה בתוך משנתו</w:t>
      </w:r>
      <w:r>
        <w:rPr>
          <w:rFonts w:cs="David" w:hint="cs"/>
          <w:sz w:val="24"/>
          <w:szCs w:val="24"/>
          <w:rtl/>
        </w:rPr>
        <w:t xml:space="preserve"> של חבר הכנסת. </w:t>
      </w:r>
    </w:p>
    <w:p w:rsidR="003F150D" w:rsidRDefault="003F150D" w:rsidP="00F36AC6">
      <w:pPr>
        <w:spacing w:after="0" w:line="320" w:lineRule="exact"/>
        <w:jc w:val="both"/>
        <w:rPr>
          <w:rFonts w:cs="David"/>
          <w:sz w:val="24"/>
          <w:szCs w:val="24"/>
          <w:rtl/>
        </w:rPr>
      </w:pPr>
    </w:p>
    <w:p w:rsidR="003F150D" w:rsidRDefault="00F36AC6" w:rsidP="00F36AC6">
      <w:pPr>
        <w:spacing w:after="0" w:line="320" w:lineRule="exact"/>
        <w:jc w:val="both"/>
        <w:rPr>
          <w:rFonts w:cs="David"/>
          <w:sz w:val="24"/>
          <w:szCs w:val="24"/>
          <w:rtl/>
        </w:rPr>
      </w:pPr>
      <w:r>
        <w:rPr>
          <w:rFonts w:cs="David" w:hint="cs"/>
          <w:sz w:val="24"/>
          <w:szCs w:val="24"/>
          <w:rtl/>
        </w:rPr>
        <w:t xml:space="preserve">בנוסף, </w:t>
      </w:r>
      <w:r w:rsidR="003F150D">
        <w:rPr>
          <w:rFonts w:cs="David" w:hint="cs"/>
          <w:sz w:val="24"/>
          <w:szCs w:val="24"/>
          <w:rtl/>
        </w:rPr>
        <w:t>הנוסח המוצע כולל שני תיקונים לסעיף 7א עצמו:</w:t>
      </w:r>
    </w:p>
    <w:p w:rsidR="003F150D" w:rsidRPr="003F150D" w:rsidRDefault="003F150D" w:rsidP="00F36AC6">
      <w:pPr>
        <w:spacing w:after="0" w:line="320" w:lineRule="exact"/>
        <w:jc w:val="both"/>
        <w:rPr>
          <w:rFonts w:cs="David"/>
          <w:sz w:val="24"/>
          <w:szCs w:val="24"/>
          <w:rtl/>
        </w:rPr>
      </w:pPr>
      <w:r>
        <w:rPr>
          <w:rFonts w:cs="David" w:hint="cs"/>
          <w:sz w:val="24"/>
          <w:szCs w:val="24"/>
          <w:u w:val="single"/>
          <w:rtl/>
        </w:rPr>
        <w:t>ה</w:t>
      </w:r>
      <w:r w:rsidRPr="003F150D">
        <w:rPr>
          <w:rFonts w:cs="David" w:hint="cs"/>
          <w:sz w:val="24"/>
          <w:szCs w:val="24"/>
          <w:u w:val="single"/>
          <w:rtl/>
        </w:rPr>
        <w:t xml:space="preserve">אחד </w:t>
      </w:r>
      <w:r>
        <w:rPr>
          <w:rFonts w:cs="David"/>
          <w:sz w:val="24"/>
          <w:szCs w:val="24"/>
          <w:rtl/>
        </w:rPr>
        <w:t>–</w:t>
      </w:r>
      <w:r>
        <w:rPr>
          <w:rFonts w:cs="David" w:hint="cs"/>
          <w:sz w:val="24"/>
          <w:szCs w:val="24"/>
          <w:rtl/>
        </w:rPr>
        <w:t xml:space="preserve"> קביעה שמעשים הם גם התבטאויות. בעניין זה אין בתיקון אלא עיגון של הפסיקה הרווחת. כפי שציין המשנה לנשיאה, השופט רובינשטיין, בפרשת </w:t>
      </w:r>
      <w:proofErr w:type="spellStart"/>
      <w:r>
        <w:rPr>
          <w:rFonts w:cs="David" w:hint="cs"/>
          <w:sz w:val="24"/>
          <w:szCs w:val="24"/>
          <w:rtl/>
        </w:rPr>
        <w:t>זועבי</w:t>
      </w:r>
      <w:proofErr w:type="spellEnd"/>
      <w:r>
        <w:rPr>
          <w:rFonts w:cs="David" w:hint="cs"/>
          <w:sz w:val="24"/>
          <w:szCs w:val="24"/>
          <w:rtl/>
        </w:rPr>
        <w:t>, "</w:t>
      </w:r>
      <w:r w:rsidRPr="003F150D">
        <w:rPr>
          <w:rFonts w:cs="David" w:hint="cs"/>
          <w:sz w:val="24"/>
          <w:szCs w:val="24"/>
          <w:rtl/>
        </w:rPr>
        <w:t>לא</w:t>
      </w:r>
      <w:r w:rsidRPr="003F150D">
        <w:rPr>
          <w:rFonts w:cs="David"/>
          <w:sz w:val="24"/>
          <w:szCs w:val="24"/>
          <w:rtl/>
        </w:rPr>
        <w:t xml:space="preserve"> </w:t>
      </w:r>
      <w:r w:rsidRPr="003F150D">
        <w:rPr>
          <w:rFonts w:cs="David" w:hint="cs"/>
          <w:sz w:val="24"/>
          <w:szCs w:val="24"/>
          <w:rtl/>
        </w:rPr>
        <w:t>בכדי</w:t>
      </w:r>
      <w:r w:rsidRPr="003F150D">
        <w:rPr>
          <w:rFonts w:cs="David"/>
          <w:sz w:val="24"/>
          <w:szCs w:val="24"/>
          <w:rtl/>
        </w:rPr>
        <w:t xml:space="preserve"> </w:t>
      </w:r>
      <w:r w:rsidRPr="003F150D">
        <w:rPr>
          <w:rFonts w:cs="David" w:hint="cs"/>
          <w:sz w:val="24"/>
          <w:szCs w:val="24"/>
          <w:rtl/>
        </w:rPr>
        <w:t>נעשה</w:t>
      </w:r>
      <w:r w:rsidRPr="003F150D">
        <w:rPr>
          <w:rFonts w:cs="David"/>
          <w:sz w:val="24"/>
          <w:szCs w:val="24"/>
          <w:rtl/>
        </w:rPr>
        <w:t xml:space="preserve"> </w:t>
      </w:r>
      <w:r w:rsidRPr="003F150D">
        <w:rPr>
          <w:rFonts w:cs="David" w:hint="cs"/>
          <w:sz w:val="24"/>
          <w:szCs w:val="24"/>
          <w:rtl/>
        </w:rPr>
        <w:t>לא</w:t>
      </w:r>
      <w:r w:rsidRPr="003F150D">
        <w:rPr>
          <w:rFonts w:cs="David"/>
          <w:sz w:val="24"/>
          <w:szCs w:val="24"/>
          <w:rtl/>
        </w:rPr>
        <w:t xml:space="preserve"> </w:t>
      </w:r>
      <w:r w:rsidRPr="003F150D">
        <w:rPr>
          <w:rFonts w:cs="David" w:hint="cs"/>
          <w:sz w:val="24"/>
          <w:szCs w:val="24"/>
          <w:rtl/>
        </w:rPr>
        <w:t>אחת</w:t>
      </w:r>
      <w:r w:rsidRPr="003F150D">
        <w:rPr>
          <w:rFonts w:cs="David"/>
          <w:sz w:val="24"/>
          <w:szCs w:val="24"/>
          <w:rtl/>
        </w:rPr>
        <w:t xml:space="preserve"> </w:t>
      </w:r>
      <w:r w:rsidRPr="003F150D">
        <w:rPr>
          <w:rFonts w:cs="David" w:hint="cs"/>
          <w:sz w:val="24"/>
          <w:szCs w:val="24"/>
          <w:rtl/>
        </w:rPr>
        <w:t>שימוש</w:t>
      </w:r>
      <w:r w:rsidRPr="003F150D">
        <w:rPr>
          <w:rFonts w:cs="David"/>
          <w:sz w:val="24"/>
          <w:szCs w:val="24"/>
          <w:rtl/>
        </w:rPr>
        <w:t xml:space="preserve"> </w:t>
      </w:r>
      <w:r w:rsidRPr="003F150D">
        <w:rPr>
          <w:rFonts w:cs="David" w:hint="cs"/>
          <w:sz w:val="24"/>
          <w:szCs w:val="24"/>
          <w:rtl/>
        </w:rPr>
        <w:t>ציבורי</w:t>
      </w:r>
      <w:r w:rsidRPr="003F150D">
        <w:rPr>
          <w:rFonts w:cs="David"/>
          <w:sz w:val="24"/>
          <w:szCs w:val="24"/>
          <w:rtl/>
        </w:rPr>
        <w:t xml:space="preserve"> </w:t>
      </w:r>
      <w:r w:rsidRPr="003F150D">
        <w:rPr>
          <w:rFonts w:cs="David" w:hint="cs"/>
          <w:sz w:val="24"/>
          <w:szCs w:val="24"/>
          <w:rtl/>
        </w:rPr>
        <w:t>בביטוי</w:t>
      </w:r>
      <w:r w:rsidRPr="003F150D">
        <w:rPr>
          <w:rFonts w:cs="David"/>
          <w:sz w:val="24"/>
          <w:szCs w:val="24"/>
          <w:rtl/>
        </w:rPr>
        <w:t xml:space="preserve"> "</w:t>
      </w:r>
      <w:r w:rsidRPr="003F150D">
        <w:rPr>
          <w:rFonts w:cs="David" w:hint="cs"/>
          <w:sz w:val="24"/>
          <w:szCs w:val="24"/>
          <w:rtl/>
        </w:rPr>
        <w:t>אלימות</w:t>
      </w:r>
      <w:r w:rsidRPr="003F150D">
        <w:rPr>
          <w:rFonts w:cs="David"/>
          <w:sz w:val="24"/>
          <w:szCs w:val="24"/>
          <w:rtl/>
        </w:rPr>
        <w:t xml:space="preserve"> </w:t>
      </w:r>
      <w:r w:rsidRPr="003F150D">
        <w:rPr>
          <w:rFonts w:cs="David" w:hint="cs"/>
          <w:sz w:val="24"/>
          <w:szCs w:val="24"/>
          <w:rtl/>
        </w:rPr>
        <w:t>מילולית</w:t>
      </w:r>
      <w:r w:rsidRPr="003F150D">
        <w:rPr>
          <w:rFonts w:cs="David"/>
          <w:sz w:val="24"/>
          <w:szCs w:val="24"/>
          <w:rtl/>
        </w:rPr>
        <w:t xml:space="preserve">", </w:t>
      </w:r>
      <w:r w:rsidRPr="003F150D">
        <w:rPr>
          <w:rFonts w:cs="David" w:hint="cs"/>
          <w:sz w:val="24"/>
          <w:szCs w:val="24"/>
          <w:rtl/>
        </w:rPr>
        <w:t>שעל</w:t>
      </w:r>
      <w:r w:rsidRPr="003F150D">
        <w:rPr>
          <w:rFonts w:cs="David"/>
          <w:sz w:val="24"/>
          <w:szCs w:val="24"/>
          <w:rtl/>
        </w:rPr>
        <w:t xml:space="preserve"> </w:t>
      </w:r>
      <w:r w:rsidRPr="003F150D">
        <w:rPr>
          <w:rFonts w:cs="David" w:hint="cs"/>
          <w:sz w:val="24"/>
          <w:szCs w:val="24"/>
          <w:rtl/>
        </w:rPr>
        <w:t>פניו</w:t>
      </w:r>
      <w:r w:rsidRPr="003F150D">
        <w:rPr>
          <w:rFonts w:cs="David"/>
          <w:sz w:val="24"/>
          <w:szCs w:val="24"/>
          <w:rtl/>
        </w:rPr>
        <w:t xml:space="preserve"> </w:t>
      </w:r>
      <w:r w:rsidRPr="003F150D">
        <w:rPr>
          <w:rFonts w:cs="David" w:hint="cs"/>
          <w:sz w:val="24"/>
          <w:szCs w:val="24"/>
          <w:rtl/>
        </w:rPr>
        <w:t>יש</w:t>
      </w:r>
      <w:r w:rsidRPr="003F150D">
        <w:rPr>
          <w:rFonts w:cs="David"/>
          <w:sz w:val="24"/>
          <w:szCs w:val="24"/>
          <w:rtl/>
        </w:rPr>
        <w:t xml:space="preserve"> </w:t>
      </w:r>
      <w:r w:rsidRPr="003F150D">
        <w:rPr>
          <w:rFonts w:cs="David" w:hint="cs"/>
          <w:sz w:val="24"/>
          <w:szCs w:val="24"/>
          <w:rtl/>
        </w:rPr>
        <w:t>בו</w:t>
      </w:r>
      <w:r w:rsidRPr="003F150D">
        <w:rPr>
          <w:rFonts w:cs="David"/>
          <w:sz w:val="24"/>
          <w:szCs w:val="24"/>
          <w:rtl/>
        </w:rPr>
        <w:t xml:space="preserve"> </w:t>
      </w:r>
      <w:r w:rsidRPr="003F150D">
        <w:rPr>
          <w:rFonts w:cs="David" w:hint="cs"/>
          <w:sz w:val="24"/>
          <w:szCs w:val="24"/>
          <w:rtl/>
        </w:rPr>
        <w:t>תרתי</w:t>
      </w:r>
      <w:r w:rsidRPr="003F150D">
        <w:rPr>
          <w:rFonts w:cs="David"/>
          <w:sz w:val="24"/>
          <w:szCs w:val="24"/>
          <w:rtl/>
        </w:rPr>
        <w:t xml:space="preserve"> </w:t>
      </w:r>
      <w:r w:rsidRPr="003F150D">
        <w:rPr>
          <w:rFonts w:cs="David" w:hint="cs"/>
          <w:sz w:val="24"/>
          <w:szCs w:val="24"/>
          <w:rtl/>
        </w:rPr>
        <w:t>דסתרי</w:t>
      </w:r>
      <w:r w:rsidRPr="003F150D">
        <w:rPr>
          <w:rFonts w:cs="David"/>
          <w:sz w:val="24"/>
          <w:szCs w:val="24"/>
          <w:rtl/>
        </w:rPr>
        <w:t xml:space="preserve"> – </w:t>
      </w:r>
      <w:r w:rsidRPr="003F150D">
        <w:rPr>
          <w:rFonts w:cs="David" w:hint="cs"/>
          <w:sz w:val="24"/>
          <w:szCs w:val="24"/>
          <w:rtl/>
        </w:rPr>
        <w:t>אלא</w:t>
      </w:r>
      <w:r w:rsidRPr="003F150D">
        <w:rPr>
          <w:rFonts w:cs="David"/>
          <w:sz w:val="24"/>
          <w:szCs w:val="24"/>
          <w:rtl/>
        </w:rPr>
        <w:t xml:space="preserve"> </w:t>
      </w:r>
      <w:r w:rsidRPr="003F150D">
        <w:rPr>
          <w:rFonts w:cs="David" w:hint="cs"/>
          <w:sz w:val="24"/>
          <w:szCs w:val="24"/>
          <w:rtl/>
        </w:rPr>
        <w:t>שטמון</w:t>
      </w:r>
      <w:r w:rsidRPr="003F150D">
        <w:rPr>
          <w:rFonts w:cs="David"/>
          <w:sz w:val="24"/>
          <w:szCs w:val="24"/>
          <w:rtl/>
        </w:rPr>
        <w:t xml:space="preserve"> </w:t>
      </w:r>
      <w:r w:rsidRPr="003F150D">
        <w:rPr>
          <w:rFonts w:cs="David" w:hint="cs"/>
          <w:sz w:val="24"/>
          <w:szCs w:val="24"/>
          <w:rtl/>
        </w:rPr>
        <w:t>בו</w:t>
      </w:r>
      <w:r w:rsidRPr="003F150D">
        <w:rPr>
          <w:rFonts w:cs="David"/>
          <w:sz w:val="24"/>
          <w:szCs w:val="24"/>
          <w:rtl/>
        </w:rPr>
        <w:t xml:space="preserve"> </w:t>
      </w:r>
      <w:r w:rsidRPr="003F150D">
        <w:rPr>
          <w:rFonts w:cs="David" w:hint="cs"/>
          <w:sz w:val="24"/>
          <w:szCs w:val="24"/>
          <w:rtl/>
        </w:rPr>
        <w:t>כוחה</w:t>
      </w:r>
      <w:r w:rsidRPr="003F150D">
        <w:rPr>
          <w:rFonts w:cs="David"/>
          <w:sz w:val="24"/>
          <w:szCs w:val="24"/>
          <w:rtl/>
        </w:rPr>
        <w:t xml:space="preserve"> </w:t>
      </w:r>
      <w:r w:rsidRPr="003F150D">
        <w:rPr>
          <w:rFonts w:cs="David" w:hint="cs"/>
          <w:sz w:val="24"/>
          <w:szCs w:val="24"/>
          <w:rtl/>
        </w:rPr>
        <w:t>של</w:t>
      </w:r>
      <w:r w:rsidRPr="003F150D">
        <w:rPr>
          <w:rFonts w:cs="David"/>
          <w:sz w:val="24"/>
          <w:szCs w:val="24"/>
          <w:rtl/>
        </w:rPr>
        <w:t xml:space="preserve"> </w:t>
      </w:r>
      <w:r w:rsidRPr="003F150D">
        <w:rPr>
          <w:rFonts w:cs="David" w:hint="cs"/>
          <w:sz w:val="24"/>
          <w:szCs w:val="24"/>
          <w:rtl/>
        </w:rPr>
        <w:t>המלה</w:t>
      </w:r>
      <w:r w:rsidRPr="003F150D">
        <w:rPr>
          <w:rFonts w:cs="David"/>
          <w:sz w:val="24"/>
          <w:szCs w:val="24"/>
          <w:rtl/>
        </w:rPr>
        <w:t xml:space="preserve">, </w:t>
      </w:r>
      <w:r w:rsidRPr="003F150D">
        <w:rPr>
          <w:rFonts w:cs="David" w:hint="cs"/>
          <w:sz w:val="24"/>
          <w:szCs w:val="24"/>
          <w:rtl/>
        </w:rPr>
        <w:t>שכשם</w:t>
      </w:r>
      <w:r w:rsidRPr="003F150D">
        <w:rPr>
          <w:rFonts w:cs="David"/>
          <w:sz w:val="24"/>
          <w:szCs w:val="24"/>
          <w:rtl/>
        </w:rPr>
        <w:t xml:space="preserve"> </w:t>
      </w:r>
      <w:r w:rsidRPr="003F150D">
        <w:rPr>
          <w:rFonts w:cs="David" w:hint="cs"/>
          <w:sz w:val="24"/>
          <w:szCs w:val="24"/>
          <w:rtl/>
        </w:rPr>
        <w:t>שחיים</w:t>
      </w:r>
      <w:r w:rsidRPr="003F150D">
        <w:rPr>
          <w:rFonts w:cs="David"/>
          <w:sz w:val="24"/>
          <w:szCs w:val="24"/>
          <w:rtl/>
        </w:rPr>
        <w:t xml:space="preserve"> </w:t>
      </w:r>
      <w:r w:rsidRPr="003F150D">
        <w:rPr>
          <w:rFonts w:cs="David" w:hint="cs"/>
          <w:sz w:val="24"/>
          <w:szCs w:val="24"/>
          <w:rtl/>
        </w:rPr>
        <w:t>יש</w:t>
      </w:r>
      <w:r w:rsidRPr="003F150D">
        <w:rPr>
          <w:rFonts w:cs="David"/>
          <w:sz w:val="24"/>
          <w:szCs w:val="24"/>
          <w:rtl/>
        </w:rPr>
        <w:t xml:space="preserve"> </w:t>
      </w:r>
      <w:r w:rsidRPr="003F150D">
        <w:rPr>
          <w:rFonts w:cs="David" w:hint="cs"/>
          <w:sz w:val="24"/>
          <w:szCs w:val="24"/>
          <w:rtl/>
        </w:rPr>
        <w:t>בה</w:t>
      </w:r>
      <w:r w:rsidRPr="003F150D">
        <w:rPr>
          <w:rFonts w:cs="David"/>
          <w:sz w:val="24"/>
          <w:szCs w:val="24"/>
          <w:rtl/>
        </w:rPr>
        <w:t xml:space="preserve">, </w:t>
      </w:r>
      <w:r w:rsidRPr="003F150D">
        <w:rPr>
          <w:rFonts w:cs="David" w:hint="cs"/>
          <w:sz w:val="24"/>
          <w:szCs w:val="24"/>
          <w:rtl/>
        </w:rPr>
        <w:t>להבדיל</w:t>
      </w:r>
      <w:r w:rsidRPr="003F150D">
        <w:rPr>
          <w:rFonts w:cs="David"/>
          <w:sz w:val="24"/>
          <w:szCs w:val="24"/>
          <w:rtl/>
        </w:rPr>
        <w:t xml:space="preserve"> </w:t>
      </w:r>
      <w:r w:rsidRPr="003F150D">
        <w:rPr>
          <w:rFonts w:cs="David" w:hint="cs"/>
          <w:sz w:val="24"/>
          <w:szCs w:val="24"/>
          <w:rtl/>
        </w:rPr>
        <w:t>גם</w:t>
      </w:r>
      <w:r w:rsidRPr="003F150D">
        <w:rPr>
          <w:rFonts w:cs="David"/>
          <w:sz w:val="24"/>
          <w:szCs w:val="24"/>
          <w:rtl/>
        </w:rPr>
        <w:t xml:space="preserve"> </w:t>
      </w:r>
      <w:r w:rsidRPr="003F150D">
        <w:rPr>
          <w:rFonts w:cs="David" w:hint="cs"/>
          <w:sz w:val="24"/>
          <w:szCs w:val="24"/>
          <w:rtl/>
        </w:rPr>
        <w:t>מוות</w:t>
      </w:r>
      <w:r w:rsidRPr="003F150D">
        <w:rPr>
          <w:rFonts w:cs="David"/>
          <w:sz w:val="24"/>
          <w:szCs w:val="24"/>
          <w:rtl/>
        </w:rPr>
        <w:t xml:space="preserve"> </w:t>
      </w:r>
      <w:r w:rsidRPr="003F150D">
        <w:rPr>
          <w:rFonts w:cs="David" w:hint="cs"/>
          <w:sz w:val="24"/>
          <w:szCs w:val="24"/>
          <w:rtl/>
        </w:rPr>
        <w:t>ר</w:t>
      </w:r>
      <w:r w:rsidRPr="003F150D">
        <w:rPr>
          <w:rFonts w:cs="David"/>
          <w:sz w:val="24"/>
          <w:szCs w:val="24"/>
          <w:rtl/>
        </w:rPr>
        <w:t>"</w:t>
      </w:r>
      <w:r w:rsidRPr="003F150D">
        <w:rPr>
          <w:rFonts w:cs="David" w:hint="cs"/>
          <w:sz w:val="24"/>
          <w:szCs w:val="24"/>
          <w:rtl/>
        </w:rPr>
        <w:t>ל</w:t>
      </w:r>
      <w:r w:rsidRPr="003F150D">
        <w:rPr>
          <w:rFonts w:cs="David"/>
          <w:sz w:val="24"/>
          <w:szCs w:val="24"/>
          <w:rtl/>
        </w:rPr>
        <w:t xml:space="preserve"> </w:t>
      </w:r>
      <w:r w:rsidRPr="003F150D">
        <w:rPr>
          <w:rFonts w:cs="David" w:hint="cs"/>
          <w:sz w:val="24"/>
          <w:szCs w:val="24"/>
          <w:rtl/>
        </w:rPr>
        <w:t>בה</w:t>
      </w:r>
      <w:r w:rsidRPr="003F150D">
        <w:rPr>
          <w:rFonts w:cs="David"/>
          <w:sz w:val="24"/>
          <w:szCs w:val="24"/>
          <w:rtl/>
        </w:rPr>
        <w:t xml:space="preserve">; </w:t>
      </w:r>
      <w:r w:rsidRPr="003F150D">
        <w:rPr>
          <w:rFonts w:cs="David" w:hint="cs"/>
          <w:sz w:val="24"/>
          <w:szCs w:val="24"/>
          <w:rtl/>
        </w:rPr>
        <w:t>והלא</w:t>
      </w:r>
      <w:r w:rsidRPr="003F150D">
        <w:rPr>
          <w:rFonts w:cs="David"/>
          <w:sz w:val="24"/>
          <w:szCs w:val="24"/>
          <w:rtl/>
        </w:rPr>
        <w:t xml:space="preserve"> </w:t>
      </w:r>
      <w:r w:rsidRPr="003F150D">
        <w:rPr>
          <w:rFonts w:cs="David" w:hint="cs"/>
          <w:sz w:val="24"/>
          <w:szCs w:val="24"/>
          <w:rtl/>
        </w:rPr>
        <w:t>דבר</w:t>
      </w:r>
      <w:r w:rsidRPr="003F150D">
        <w:rPr>
          <w:rFonts w:cs="David"/>
          <w:sz w:val="24"/>
          <w:szCs w:val="24"/>
          <w:rtl/>
        </w:rPr>
        <w:t xml:space="preserve"> </w:t>
      </w:r>
      <w:r w:rsidRPr="003F150D">
        <w:rPr>
          <w:rFonts w:cs="David" w:hint="cs"/>
          <w:sz w:val="24"/>
          <w:szCs w:val="24"/>
          <w:rtl/>
        </w:rPr>
        <w:t>שבכל</w:t>
      </w:r>
      <w:r w:rsidRPr="003F150D">
        <w:rPr>
          <w:rFonts w:cs="David"/>
          <w:sz w:val="24"/>
          <w:szCs w:val="24"/>
          <w:rtl/>
        </w:rPr>
        <w:t xml:space="preserve"> </w:t>
      </w:r>
      <w:r w:rsidRPr="003F150D">
        <w:rPr>
          <w:rFonts w:cs="David" w:hint="cs"/>
          <w:sz w:val="24"/>
          <w:szCs w:val="24"/>
          <w:rtl/>
        </w:rPr>
        <w:t>יום</w:t>
      </w:r>
      <w:r w:rsidRPr="003F150D">
        <w:rPr>
          <w:rFonts w:cs="David"/>
          <w:sz w:val="24"/>
          <w:szCs w:val="24"/>
          <w:rtl/>
        </w:rPr>
        <w:t xml:space="preserve">, </w:t>
      </w:r>
      <w:r w:rsidRPr="003F150D">
        <w:rPr>
          <w:rFonts w:cs="David" w:hint="cs"/>
          <w:sz w:val="24"/>
          <w:szCs w:val="24"/>
          <w:rtl/>
        </w:rPr>
        <w:t>למרבה</w:t>
      </w:r>
      <w:r w:rsidRPr="003F150D">
        <w:rPr>
          <w:rFonts w:cs="David"/>
          <w:sz w:val="24"/>
          <w:szCs w:val="24"/>
          <w:rtl/>
        </w:rPr>
        <w:t xml:space="preserve"> </w:t>
      </w:r>
      <w:r w:rsidRPr="003F150D">
        <w:rPr>
          <w:rFonts w:cs="David" w:hint="cs"/>
          <w:sz w:val="24"/>
          <w:szCs w:val="24"/>
          <w:rtl/>
        </w:rPr>
        <w:t>הצער</w:t>
      </w:r>
      <w:r w:rsidRPr="003F150D">
        <w:rPr>
          <w:rFonts w:cs="David"/>
          <w:sz w:val="24"/>
          <w:szCs w:val="24"/>
          <w:rtl/>
        </w:rPr>
        <w:t xml:space="preserve">, </w:t>
      </w:r>
      <w:r w:rsidRPr="003F150D">
        <w:rPr>
          <w:rFonts w:cs="David" w:hint="cs"/>
          <w:sz w:val="24"/>
          <w:szCs w:val="24"/>
          <w:rtl/>
        </w:rPr>
        <w:t>שמריבה</w:t>
      </w:r>
      <w:r w:rsidRPr="003F150D">
        <w:rPr>
          <w:rFonts w:cs="David"/>
          <w:sz w:val="24"/>
          <w:szCs w:val="24"/>
          <w:rtl/>
        </w:rPr>
        <w:t xml:space="preserve"> </w:t>
      </w:r>
      <w:r w:rsidRPr="003F150D">
        <w:rPr>
          <w:rFonts w:cs="David" w:hint="cs"/>
          <w:sz w:val="24"/>
          <w:szCs w:val="24"/>
          <w:rtl/>
        </w:rPr>
        <w:t>מילולית</w:t>
      </w:r>
      <w:r w:rsidRPr="003F150D">
        <w:rPr>
          <w:rFonts w:cs="David"/>
          <w:sz w:val="24"/>
          <w:szCs w:val="24"/>
          <w:rtl/>
        </w:rPr>
        <w:t xml:space="preserve"> </w:t>
      </w:r>
      <w:r w:rsidRPr="003F150D">
        <w:rPr>
          <w:rFonts w:cs="David" w:hint="cs"/>
          <w:sz w:val="24"/>
          <w:szCs w:val="24"/>
          <w:rtl/>
        </w:rPr>
        <w:t>מתלהטת</w:t>
      </w:r>
      <w:r w:rsidRPr="003F150D">
        <w:rPr>
          <w:rFonts w:cs="David"/>
          <w:sz w:val="24"/>
          <w:szCs w:val="24"/>
          <w:rtl/>
        </w:rPr>
        <w:t xml:space="preserve"> </w:t>
      </w:r>
      <w:r w:rsidRPr="003F150D">
        <w:rPr>
          <w:rFonts w:cs="David" w:hint="cs"/>
          <w:sz w:val="24"/>
          <w:szCs w:val="24"/>
          <w:rtl/>
        </w:rPr>
        <w:t>מהרה</w:t>
      </w:r>
      <w:r w:rsidRPr="003F150D">
        <w:rPr>
          <w:rFonts w:cs="David"/>
          <w:sz w:val="24"/>
          <w:szCs w:val="24"/>
          <w:rtl/>
        </w:rPr>
        <w:t xml:space="preserve"> </w:t>
      </w:r>
      <w:r w:rsidRPr="003F150D">
        <w:rPr>
          <w:rFonts w:cs="David" w:hint="cs"/>
          <w:sz w:val="24"/>
          <w:szCs w:val="24"/>
          <w:rtl/>
        </w:rPr>
        <w:t>לאלימות</w:t>
      </w:r>
      <w:r w:rsidRPr="003F150D">
        <w:rPr>
          <w:rFonts w:cs="David"/>
          <w:sz w:val="24"/>
          <w:szCs w:val="24"/>
          <w:rtl/>
        </w:rPr>
        <w:t xml:space="preserve"> </w:t>
      </w:r>
      <w:r w:rsidRPr="003F150D">
        <w:rPr>
          <w:rFonts w:cs="David" w:hint="cs"/>
          <w:sz w:val="24"/>
          <w:szCs w:val="24"/>
          <w:rtl/>
        </w:rPr>
        <w:t>פיסית</w:t>
      </w:r>
      <w:r w:rsidRPr="003F150D">
        <w:rPr>
          <w:rFonts w:cs="David"/>
          <w:sz w:val="24"/>
          <w:szCs w:val="24"/>
          <w:rtl/>
        </w:rPr>
        <w:t xml:space="preserve">. </w:t>
      </w:r>
      <w:r w:rsidRPr="003F150D">
        <w:rPr>
          <w:rFonts w:cs="David" w:hint="cs"/>
          <w:sz w:val="24"/>
          <w:szCs w:val="24"/>
          <w:rtl/>
        </w:rPr>
        <w:t>מה</w:t>
      </w:r>
      <w:r w:rsidRPr="003F150D">
        <w:rPr>
          <w:rFonts w:cs="David"/>
          <w:sz w:val="24"/>
          <w:szCs w:val="24"/>
          <w:rtl/>
        </w:rPr>
        <w:t xml:space="preserve"> </w:t>
      </w:r>
      <w:r w:rsidRPr="003F150D">
        <w:rPr>
          <w:rFonts w:cs="David" w:hint="cs"/>
          <w:sz w:val="24"/>
          <w:szCs w:val="24"/>
          <w:rtl/>
        </w:rPr>
        <w:t>שמחזירנו</w:t>
      </w:r>
      <w:r w:rsidRPr="003F150D">
        <w:rPr>
          <w:rFonts w:cs="David"/>
          <w:sz w:val="24"/>
          <w:szCs w:val="24"/>
          <w:rtl/>
        </w:rPr>
        <w:t xml:space="preserve"> </w:t>
      </w:r>
      <w:r w:rsidRPr="003F150D">
        <w:rPr>
          <w:rFonts w:cs="David" w:hint="cs"/>
          <w:sz w:val="24"/>
          <w:szCs w:val="24"/>
          <w:rtl/>
        </w:rPr>
        <w:t>לכך</w:t>
      </w:r>
      <w:r w:rsidRPr="003F150D">
        <w:rPr>
          <w:rFonts w:cs="David"/>
          <w:sz w:val="24"/>
          <w:szCs w:val="24"/>
          <w:rtl/>
        </w:rPr>
        <w:t xml:space="preserve">, </w:t>
      </w:r>
      <w:r w:rsidRPr="003F150D">
        <w:rPr>
          <w:rFonts w:cs="David" w:hint="cs"/>
          <w:sz w:val="24"/>
          <w:szCs w:val="24"/>
          <w:rtl/>
        </w:rPr>
        <w:t>שדיבור</w:t>
      </w:r>
      <w:r w:rsidRPr="003F150D">
        <w:rPr>
          <w:rFonts w:cs="David"/>
          <w:sz w:val="24"/>
          <w:szCs w:val="24"/>
          <w:rtl/>
        </w:rPr>
        <w:t xml:space="preserve"> </w:t>
      </w:r>
      <w:r w:rsidRPr="003F150D">
        <w:rPr>
          <w:rFonts w:cs="David" w:hint="cs"/>
          <w:sz w:val="24"/>
          <w:szCs w:val="24"/>
          <w:rtl/>
        </w:rPr>
        <w:t>הוא</w:t>
      </w:r>
      <w:r w:rsidRPr="003F150D">
        <w:rPr>
          <w:rFonts w:cs="David"/>
          <w:sz w:val="24"/>
          <w:szCs w:val="24"/>
          <w:rtl/>
        </w:rPr>
        <w:t xml:space="preserve"> </w:t>
      </w:r>
      <w:r w:rsidRPr="003F150D">
        <w:rPr>
          <w:rFonts w:cs="David" w:hint="cs"/>
          <w:sz w:val="24"/>
          <w:szCs w:val="24"/>
          <w:rtl/>
        </w:rPr>
        <w:t>מעשה</w:t>
      </w:r>
      <w:r w:rsidRPr="003F150D">
        <w:rPr>
          <w:rFonts w:cs="David"/>
          <w:sz w:val="24"/>
          <w:szCs w:val="24"/>
          <w:rtl/>
        </w:rPr>
        <w:t xml:space="preserve"> </w:t>
      </w:r>
      <w:r w:rsidRPr="003F150D">
        <w:rPr>
          <w:rFonts w:cs="David" w:hint="cs"/>
          <w:sz w:val="24"/>
          <w:szCs w:val="24"/>
          <w:rtl/>
        </w:rPr>
        <w:t>והסתה</w:t>
      </w:r>
      <w:r w:rsidRPr="003F150D">
        <w:rPr>
          <w:rFonts w:cs="David"/>
          <w:sz w:val="24"/>
          <w:szCs w:val="24"/>
          <w:rtl/>
        </w:rPr>
        <w:t xml:space="preserve"> </w:t>
      </w:r>
      <w:r w:rsidRPr="003F150D">
        <w:rPr>
          <w:rFonts w:cs="David" w:hint="cs"/>
          <w:sz w:val="24"/>
          <w:szCs w:val="24"/>
          <w:rtl/>
        </w:rPr>
        <w:t>היא</w:t>
      </w:r>
      <w:r w:rsidRPr="003F150D">
        <w:rPr>
          <w:rFonts w:cs="David"/>
          <w:sz w:val="24"/>
          <w:szCs w:val="24"/>
          <w:rtl/>
        </w:rPr>
        <w:t xml:space="preserve"> </w:t>
      </w:r>
      <w:r w:rsidRPr="003F150D">
        <w:rPr>
          <w:rFonts w:cs="David" w:hint="cs"/>
          <w:sz w:val="24"/>
          <w:szCs w:val="24"/>
          <w:rtl/>
        </w:rPr>
        <w:t>מעשה</w:t>
      </w:r>
      <w:r w:rsidRPr="003F150D">
        <w:rPr>
          <w:rFonts w:cs="David"/>
          <w:sz w:val="24"/>
          <w:szCs w:val="24"/>
          <w:rtl/>
        </w:rPr>
        <w:t>.</w:t>
      </w:r>
      <w:r>
        <w:rPr>
          <w:rFonts w:cs="David" w:hint="cs"/>
          <w:sz w:val="24"/>
          <w:szCs w:val="24"/>
          <w:rtl/>
        </w:rPr>
        <w:t>" זו הייתה גישתם למעשה של כמעט כל השופטים.</w:t>
      </w:r>
      <w:r>
        <w:rPr>
          <w:rStyle w:val="FootnoteReference"/>
          <w:rFonts w:cs="David"/>
          <w:sz w:val="24"/>
          <w:szCs w:val="24"/>
          <w:rtl/>
        </w:rPr>
        <w:footnoteReference w:id="13"/>
      </w:r>
    </w:p>
    <w:p w:rsidR="00C92B92" w:rsidRDefault="00C92B92" w:rsidP="00F36AC6">
      <w:pPr>
        <w:spacing w:after="0" w:line="320" w:lineRule="exact"/>
        <w:jc w:val="both"/>
        <w:rPr>
          <w:rFonts w:cs="David"/>
          <w:sz w:val="24"/>
          <w:szCs w:val="24"/>
          <w:u w:val="single"/>
          <w:rtl/>
        </w:rPr>
      </w:pPr>
    </w:p>
    <w:p w:rsidR="003F150D" w:rsidRPr="003F150D" w:rsidRDefault="003F150D" w:rsidP="00F36AC6">
      <w:pPr>
        <w:spacing w:after="0" w:line="320" w:lineRule="exact"/>
        <w:jc w:val="both"/>
        <w:rPr>
          <w:rFonts w:cs="David"/>
          <w:sz w:val="24"/>
          <w:szCs w:val="24"/>
          <w:rtl/>
        </w:rPr>
      </w:pPr>
      <w:r>
        <w:rPr>
          <w:rFonts w:cs="David" w:hint="cs"/>
          <w:sz w:val="24"/>
          <w:szCs w:val="24"/>
          <w:u w:val="single"/>
          <w:rtl/>
        </w:rPr>
        <w:t xml:space="preserve">השני </w:t>
      </w:r>
      <w:r>
        <w:rPr>
          <w:rFonts w:cs="David" w:hint="cs"/>
          <w:sz w:val="24"/>
          <w:szCs w:val="24"/>
          <w:rtl/>
        </w:rPr>
        <w:t xml:space="preserve"> - מחיקת המילים "של מדינת אויב או של ארגון טרור" מהעילה שעניינה מאבק מזוין נגד המדינה. </w:t>
      </w:r>
      <w:r w:rsidR="00F36AC6">
        <w:rPr>
          <w:rFonts w:cs="David" w:hint="cs"/>
          <w:sz w:val="24"/>
          <w:szCs w:val="24"/>
          <w:rtl/>
        </w:rPr>
        <w:t xml:space="preserve">יש היגיון בקביעה שדרך של מאבק אלים נגד המדינה, בכל צורה, אינה יכולה להיות דרכו של חבר בבית הנבחרים, וגם ניתוח עילה זו על ידי בית המשפט העליון לא הדגיש את המילים שנמחקות כפרט בעל משמעות. </w:t>
      </w:r>
    </w:p>
    <w:sectPr w:rsidR="003F150D" w:rsidRPr="003F150D" w:rsidSect="00C92B92">
      <w:footerReference w:type="default" r:id="rId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134" w:rsidRDefault="00DE6134" w:rsidP="00C22B65">
      <w:pPr>
        <w:spacing w:after="0" w:line="240" w:lineRule="auto"/>
      </w:pPr>
      <w:r>
        <w:separator/>
      </w:r>
    </w:p>
  </w:endnote>
  <w:endnote w:type="continuationSeparator" w:id="0">
    <w:p w:rsidR="00DE6134" w:rsidRDefault="00DE6134" w:rsidP="00C2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TUR">
    <w:altName w:val="Arial"/>
    <w:charset w:val="00"/>
    <w:family w:val="swiss"/>
    <w:pitch w:val="variable"/>
    <w:sig w:usb0="00000000"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98658456"/>
      <w:docPartObj>
        <w:docPartGallery w:val="Page Numbers (Bottom of Page)"/>
        <w:docPartUnique/>
      </w:docPartObj>
    </w:sdtPr>
    <w:sdtEndPr>
      <w:rPr>
        <w:rFonts w:cs="David"/>
        <w:noProof/>
        <w:sz w:val="20"/>
        <w:szCs w:val="20"/>
      </w:rPr>
    </w:sdtEndPr>
    <w:sdtContent>
      <w:p w:rsidR="003F150D" w:rsidRPr="003F150D" w:rsidRDefault="003F150D">
        <w:pPr>
          <w:pStyle w:val="Footer"/>
          <w:jc w:val="center"/>
          <w:rPr>
            <w:rFonts w:cs="David"/>
            <w:sz w:val="20"/>
            <w:szCs w:val="20"/>
          </w:rPr>
        </w:pPr>
        <w:r w:rsidRPr="003F150D">
          <w:rPr>
            <w:rFonts w:cs="David"/>
            <w:sz w:val="20"/>
            <w:szCs w:val="20"/>
          </w:rPr>
          <w:fldChar w:fldCharType="begin"/>
        </w:r>
        <w:r w:rsidRPr="003F150D">
          <w:rPr>
            <w:rFonts w:cs="David"/>
            <w:sz w:val="20"/>
            <w:szCs w:val="20"/>
          </w:rPr>
          <w:instrText xml:space="preserve"> PAGE   \* MERGEFORMAT </w:instrText>
        </w:r>
        <w:r w:rsidRPr="003F150D">
          <w:rPr>
            <w:rFonts w:cs="David"/>
            <w:sz w:val="20"/>
            <w:szCs w:val="20"/>
          </w:rPr>
          <w:fldChar w:fldCharType="separate"/>
        </w:r>
        <w:r w:rsidR="00BD29CB">
          <w:rPr>
            <w:rFonts w:cs="David"/>
            <w:noProof/>
            <w:sz w:val="20"/>
            <w:szCs w:val="20"/>
            <w:rtl/>
          </w:rPr>
          <w:t>1</w:t>
        </w:r>
        <w:r w:rsidRPr="003F150D">
          <w:rPr>
            <w:rFonts w:cs="David"/>
            <w:noProof/>
            <w:sz w:val="20"/>
            <w:szCs w:val="20"/>
          </w:rPr>
          <w:fldChar w:fldCharType="end"/>
        </w:r>
      </w:p>
    </w:sdtContent>
  </w:sdt>
  <w:p w:rsidR="003F150D" w:rsidRDefault="003F1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134" w:rsidRDefault="00DE6134" w:rsidP="00C22B65">
      <w:pPr>
        <w:spacing w:after="0" w:line="240" w:lineRule="auto"/>
      </w:pPr>
      <w:r>
        <w:separator/>
      </w:r>
    </w:p>
  </w:footnote>
  <w:footnote w:type="continuationSeparator" w:id="0">
    <w:p w:rsidR="00DE6134" w:rsidRDefault="00DE6134" w:rsidP="00C22B65">
      <w:pPr>
        <w:spacing w:after="0" w:line="240" w:lineRule="auto"/>
      </w:pPr>
      <w:r>
        <w:continuationSeparator/>
      </w:r>
    </w:p>
  </w:footnote>
  <w:footnote w:id="1">
    <w:p w:rsidR="003F150D" w:rsidRPr="00F36AC6" w:rsidRDefault="003F150D" w:rsidP="00F36AC6">
      <w:pPr>
        <w:pStyle w:val="FootnoteText"/>
        <w:rPr>
          <w:rFonts w:ascii="Garamond" w:hAnsi="Garamond" w:cs="David"/>
        </w:rPr>
      </w:pPr>
      <w:r w:rsidRPr="00F36AC6">
        <w:rPr>
          <w:rStyle w:val="FootnoteReference"/>
          <w:rFonts w:ascii="Garamond" w:hAnsi="Garamond" w:cs="David"/>
        </w:rPr>
        <w:footnoteRef/>
      </w:r>
      <w:r w:rsidRPr="00F36AC6">
        <w:rPr>
          <w:rFonts w:ascii="Garamond" w:hAnsi="Garamond" w:cs="David"/>
          <w:rtl/>
        </w:rPr>
        <w:t xml:space="preserve"> בג"ץ 5364/94 ולנר נ' יושב ראש מפלגת העבודה הישראלית, פ"ד מט(1)758.</w:t>
      </w:r>
    </w:p>
  </w:footnote>
  <w:footnote w:id="2">
    <w:p w:rsidR="003F150D" w:rsidRPr="00F36AC6" w:rsidRDefault="003F150D" w:rsidP="00F36AC6">
      <w:pPr>
        <w:pStyle w:val="FootnoteText"/>
        <w:rPr>
          <w:rFonts w:ascii="Garamond" w:hAnsi="Garamond" w:cs="David"/>
        </w:rPr>
      </w:pPr>
      <w:r w:rsidRPr="00F36AC6">
        <w:rPr>
          <w:rStyle w:val="FootnoteReference"/>
          <w:rFonts w:ascii="Garamond" w:hAnsi="Garamond" w:cs="David"/>
        </w:rPr>
        <w:footnoteRef/>
      </w:r>
      <w:r w:rsidRPr="00F36AC6">
        <w:rPr>
          <w:rFonts w:ascii="Garamond" w:hAnsi="Garamond" w:cs="David"/>
          <w:rtl/>
        </w:rPr>
        <w:t xml:space="preserve"> </w:t>
      </w:r>
      <w:r w:rsidRPr="00F36AC6">
        <w:rPr>
          <w:rFonts w:ascii="Garamond" w:hAnsi="Garamond" w:cs="David"/>
          <w:rtl/>
        </w:rPr>
        <w:t xml:space="preserve">א"ב 1095115 ועדת הבחירות המרכזית לכנסת העשרים נ' חברת הכנסת חנין </w:t>
      </w:r>
      <w:proofErr w:type="spellStart"/>
      <w:r w:rsidRPr="00F36AC6">
        <w:rPr>
          <w:rFonts w:ascii="Garamond" w:hAnsi="Garamond" w:cs="David"/>
          <w:rtl/>
        </w:rPr>
        <w:t>זועבי</w:t>
      </w:r>
      <w:proofErr w:type="spellEnd"/>
      <w:r w:rsidRPr="00F36AC6">
        <w:rPr>
          <w:rFonts w:ascii="Garamond" w:hAnsi="Garamond" w:cs="David"/>
          <w:rtl/>
        </w:rPr>
        <w:t>, פסקה 7 לפסק דינה של הנשיאה נאור.</w:t>
      </w:r>
    </w:p>
  </w:footnote>
  <w:footnote w:id="3">
    <w:p w:rsidR="003F150D" w:rsidRPr="00F36AC6" w:rsidRDefault="003F150D" w:rsidP="00F36AC6">
      <w:pPr>
        <w:pStyle w:val="FootnoteText"/>
        <w:rPr>
          <w:rFonts w:ascii="Garamond" w:hAnsi="Garamond" w:cs="David"/>
        </w:rPr>
      </w:pPr>
      <w:r w:rsidRPr="00F36AC6">
        <w:rPr>
          <w:rStyle w:val="FootnoteReference"/>
          <w:rFonts w:ascii="Garamond" w:hAnsi="Garamond" w:cs="David"/>
        </w:rPr>
        <w:footnoteRef/>
      </w:r>
      <w:r w:rsidRPr="00F36AC6">
        <w:rPr>
          <w:rFonts w:ascii="Garamond" w:hAnsi="Garamond" w:cs="David"/>
          <w:rtl/>
        </w:rPr>
        <w:t xml:space="preserve"> </w:t>
      </w:r>
      <w:r w:rsidRPr="00F36AC6">
        <w:rPr>
          <w:rFonts w:ascii="Garamond" w:hAnsi="Garamond" w:cs="David"/>
          <w:rtl/>
        </w:rPr>
        <w:t>שם, בפסקה 5 לפסק דינה של הנשיאה נאור.</w:t>
      </w:r>
    </w:p>
  </w:footnote>
  <w:footnote w:id="4">
    <w:p w:rsidR="003F150D" w:rsidRPr="00F36AC6" w:rsidRDefault="003F150D" w:rsidP="00F36AC6">
      <w:pPr>
        <w:pStyle w:val="FootnoteText"/>
        <w:rPr>
          <w:rFonts w:ascii="Garamond" w:hAnsi="Garamond" w:cs="David"/>
          <w:rtl/>
        </w:rPr>
      </w:pPr>
      <w:r w:rsidRPr="00F36AC6">
        <w:rPr>
          <w:rStyle w:val="FootnoteReference"/>
          <w:rFonts w:ascii="Garamond" w:hAnsi="Garamond" w:cs="David"/>
        </w:rPr>
        <w:footnoteRef/>
      </w:r>
      <w:r w:rsidRPr="00F36AC6">
        <w:rPr>
          <w:rFonts w:ascii="Garamond" w:hAnsi="Garamond" w:cs="David"/>
          <w:rtl/>
        </w:rPr>
        <w:t xml:space="preserve"> </w:t>
      </w:r>
      <w:r w:rsidRPr="00F36AC6">
        <w:rPr>
          <w:rFonts w:ascii="Garamond" w:hAnsi="Garamond" w:cs="David"/>
          <w:rtl/>
        </w:rPr>
        <w:t>א"ב 11280/02 ועדת הבחירות המרכזית לכנסת השש עשרה נ' חבר הכנסת אחמד טיבי ואח'.</w:t>
      </w:r>
    </w:p>
  </w:footnote>
  <w:footnote w:id="5">
    <w:p w:rsidR="003F150D" w:rsidRPr="00F36AC6" w:rsidRDefault="003F150D" w:rsidP="00F36AC6">
      <w:pPr>
        <w:pStyle w:val="FootnoteText"/>
        <w:rPr>
          <w:rFonts w:ascii="Garamond" w:hAnsi="Garamond" w:cs="David"/>
          <w:rtl/>
        </w:rPr>
      </w:pPr>
      <w:r w:rsidRPr="00F36AC6">
        <w:rPr>
          <w:rStyle w:val="FootnoteReference"/>
          <w:rFonts w:ascii="Garamond" w:hAnsi="Garamond" w:cs="David"/>
        </w:rPr>
        <w:footnoteRef/>
      </w:r>
      <w:r w:rsidRPr="00F36AC6">
        <w:rPr>
          <w:rFonts w:ascii="Garamond" w:hAnsi="Garamond" w:cs="David"/>
          <w:rtl/>
        </w:rPr>
        <w:t xml:space="preserve"> </w:t>
      </w:r>
      <w:r w:rsidRPr="00F36AC6">
        <w:rPr>
          <w:rFonts w:ascii="Garamond" w:hAnsi="Garamond" w:cs="David"/>
          <w:rtl/>
        </w:rPr>
        <w:t xml:space="preserve">השופט עמית, בפרשת </w:t>
      </w:r>
      <w:proofErr w:type="spellStart"/>
      <w:r w:rsidRPr="00F36AC6">
        <w:rPr>
          <w:rFonts w:ascii="Garamond" w:hAnsi="Garamond" w:cs="David"/>
          <w:rtl/>
        </w:rPr>
        <w:t>זועבי</w:t>
      </w:r>
      <w:proofErr w:type="spellEnd"/>
      <w:r w:rsidRPr="00F36AC6">
        <w:rPr>
          <w:rFonts w:ascii="Garamond" w:hAnsi="Garamond" w:cs="David"/>
          <w:rtl/>
        </w:rPr>
        <w:t xml:space="preserve">, לעיל </w:t>
      </w:r>
      <w:proofErr w:type="spellStart"/>
      <w:r w:rsidRPr="00F36AC6">
        <w:rPr>
          <w:rFonts w:ascii="Garamond" w:hAnsi="Garamond" w:cs="David"/>
          <w:rtl/>
        </w:rPr>
        <w:t>ה"ש</w:t>
      </w:r>
      <w:proofErr w:type="spellEnd"/>
      <w:r w:rsidRPr="00F36AC6">
        <w:rPr>
          <w:rFonts w:ascii="Garamond" w:hAnsi="Garamond" w:cs="David"/>
          <w:rtl/>
        </w:rPr>
        <w:t xml:space="preserve"> 3.</w:t>
      </w:r>
    </w:p>
  </w:footnote>
  <w:footnote w:id="6">
    <w:p w:rsidR="003F150D" w:rsidRPr="00F36AC6" w:rsidRDefault="003F150D" w:rsidP="00F36AC6">
      <w:pPr>
        <w:pStyle w:val="P000"/>
        <w:spacing w:before="0"/>
        <w:ind w:left="0"/>
        <w:rPr>
          <w:rStyle w:val="default"/>
          <w:rFonts w:ascii="Garamond" w:hAnsi="Garamond" w:cs="David"/>
          <w:szCs w:val="20"/>
          <w:rtl/>
        </w:rPr>
      </w:pPr>
      <w:r w:rsidRPr="00F36AC6">
        <w:rPr>
          <w:rStyle w:val="FootnoteReference"/>
          <w:rFonts w:ascii="Garamond" w:hAnsi="Garamond" w:cs="David"/>
          <w:szCs w:val="20"/>
        </w:rPr>
        <w:footnoteRef/>
      </w:r>
      <w:r w:rsidRPr="00F36AC6">
        <w:rPr>
          <w:rFonts w:ascii="Garamond" w:hAnsi="Garamond" w:cs="David"/>
          <w:szCs w:val="20"/>
          <w:rtl/>
        </w:rPr>
        <w:t xml:space="preserve"> </w:t>
      </w:r>
      <w:r w:rsidRPr="00F36AC6">
        <w:rPr>
          <w:rStyle w:val="default"/>
          <w:rFonts w:ascii="Garamond" w:hAnsi="Garamond" w:cs="David"/>
          <w:szCs w:val="20"/>
          <w:rtl/>
        </w:rPr>
        <w:t>"(א1)</w:t>
      </w:r>
      <w:r w:rsidRPr="00F36AC6">
        <w:rPr>
          <w:rStyle w:val="default"/>
          <w:rFonts w:ascii="Garamond" w:hAnsi="Garamond" w:cs="David"/>
          <w:szCs w:val="20"/>
          <w:rtl/>
        </w:rPr>
        <w:tab/>
        <w:t>למען הסר ספק, מעשה לרבות התבטאות, שאינם אקראיים, של חבר הכנסת שיש בהם אחד מאלה, אין רואים אותם, לענין סעיף זה, כהבעת דעה או כמעשה הנעשים במילוי תפקידו או למען מילוי תפקידו כחבר הכנסת:</w:t>
      </w:r>
    </w:p>
    <w:p w:rsidR="003F150D" w:rsidRPr="00F36AC6" w:rsidRDefault="003F150D" w:rsidP="00F36AC6">
      <w:pPr>
        <w:pStyle w:val="P220"/>
        <w:spacing w:before="0"/>
        <w:ind w:left="1021" w:right="0"/>
        <w:rPr>
          <w:rStyle w:val="default"/>
          <w:rFonts w:ascii="Garamond" w:hAnsi="Garamond" w:cs="David"/>
          <w:szCs w:val="20"/>
          <w:rtl/>
        </w:rPr>
      </w:pPr>
      <w:r w:rsidRPr="00F36AC6">
        <w:rPr>
          <w:rStyle w:val="default"/>
          <w:rFonts w:ascii="Garamond" w:hAnsi="Garamond" w:cs="David"/>
          <w:szCs w:val="20"/>
          <w:rtl/>
        </w:rPr>
        <w:t>(1)</w:t>
      </w:r>
      <w:r w:rsidRPr="00F36AC6">
        <w:rPr>
          <w:rStyle w:val="default"/>
          <w:rFonts w:ascii="Garamond" w:hAnsi="Garamond" w:cs="David"/>
          <w:szCs w:val="20"/>
          <w:rtl/>
        </w:rPr>
        <w:tab/>
        <w:t>שלילת קיומה של מדינת ישראל כמדינתו של העם היהודי;</w:t>
      </w:r>
    </w:p>
    <w:p w:rsidR="003F150D" w:rsidRPr="00F36AC6" w:rsidRDefault="003F150D" w:rsidP="00F36AC6">
      <w:pPr>
        <w:pStyle w:val="P220"/>
        <w:spacing w:before="0"/>
        <w:ind w:left="1021" w:right="0"/>
        <w:rPr>
          <w:rStyle w:val="default"/>
          <w:rFonts w:ascii="Garamond" w:hAnsi="Garamond" w:cs="David"/>
          <w:szCs w:val="20"/>
          <w:rtl/>
        </w:rPr>
      </w:pPr>
      <w:r w:rsidRPr="00F36AC6">
        <w:rPr>
          <w:rStyle w:val="default"/>
          <w:rFonts w:ascii="Garamond" w:hAnsi="Garamond" w:cs="David"/>
          <w:szCs w:val="20"/>
          <w:rtl/>
        </w:rPr>
        <w:t>(2)</w:t>
      </w:r>
      <w:r w:rsidRPr="00F36AC6">
        <w:rPr>
          <w:rStyle w:val="default"/>
          <w:rFonts w:ascii="Garamond" w:hAnsi="Garamond" w:cs="David"/>
          <w:szCs w:val="20"/>
          <w:rtl/>
        </w:rPr>
        <w:tab/>
        <w:t>שלילת אופיה הדמוקרטי של המדינה;</w:t>
      </w:r>
    </w:p>
    <w:p w:rsidR="003F150D" w:rsidRPr="00F36AC6" w:rsidRDefault="003F150D" w:rsidP="00F36AC6">
      <w:pPr>
        <w:pStyle w:val="P220"/>
        <w:spacing w:before="0"/>
        <w:ind w:left="1021" w:right="0"/>
        <w:rPr>
          <w:rStyle w:val="default"/>
          <w:rFonts w:ascii="Garamond" w:hAnsi="Garamond" w:cs="David"/>
          <w:szCs w:val="20"/>
          <w:rtl/>
        </w:rPr>
      </w:pPr>
      <w:r w:rsidRPr="00F36AC6">
        <w:rPr>
          <w:rStyle w:val="default"/>
          <w:rFonts w:ascii="Garamond" w:hAnsi="Garamond" w:cs="David"/>
          <w:szCs w:val="20"/>
          <w:rtl/>
        </w:rPr>
        <w:t>(3)</w:t>
      </w:r>
      <w:r w:rsidRPr="00F36AC6">
        <w:rPr>
          <w:rStyle w:val="default"/>
          <w:rFonts w:ascii="Garamond" w:hAnsi="Garamond" w:cs="David"/>
          <w:szCs w:val="20"/>
          <w:rtl/>
        </w:rPr>
        <w:tab/>
        <w:t>הסתה לגזענות בשל צבע או השתייכות לגזע או למוצא לאומי-אתני;</w:t>
      </w:r>
    </w:p>
    <w:p w:rsidR="003F150D" w:rsidRPr="00F36AC6" w:rsidRDefault="003F150D" w:rsidP="00F36AC6">
      <w:pPr>
        <w:pStyle w:val="P220"/>
        <w:spacing w:before="0"/>
        <w:ind w:left="1021" w:right="0"/>
        <w:rPr>
          <w:rFonts w:ascii="Garamond" w:hAnsi="Garamond" w:cs="David"/>
          <w:szCs w:val="20"/>
        </w:rPr>
      </w:pPr>
      <w:r w:rsidRPr="00F36AC6">
        <w:rPr>
          <w:rStyle w:val="default"/>
          <w:rFonts w:ascii="Garamond" w:hAnsi="Garamond" w:cs="David"/>
          <w:szCs w:val="20"/>
          <w:rtl/>
        </w:rPr>
        <w:t>(4)</w:t>
      </w:r>
      <w:r w:rsidRPr="00F36AC6">
        <w:rPr>
          <w:rStyle w:val="default"/>
          <w:rFonts w:ascii="Garamond" w:hAnsi="Garamond" w:cs="David"/>
          <w:szCs w:val="20"/>
          <w:rtl/>
        </w:rPr>
        <w:tab/>
        <w:t>תמיכה במאבק מזוין של מדינת אויב או במעשי טרור נגד מדינת ישראל או נגד יהודים או ערבים בשל היותם יהודים או ערבים, בארץ או בחוץ לארץ</w:t>
      </w:r>
      <w:r w:rsidR="00F36AC6" w:rsidRPr="00F36AC6">
        <w:rPr>
          <w:rStyle w:val="default"/>
          <w:rFonts w:ascii="Garamond" w:hAnsi="Garamond" w:cs="David"/>
          <w:szCs w:val="20"/>
          <w:rtl/>
        </w:rPr>
        <w:t>."</w:t>
      </w:r>
    </w:p>
  </w:footnote>
  <w:footnote w:id="7">
    <w:p w:rsidR="003F150D" w:rsidRPr="00F36AC6" w:rsidRDefault="003F150D" w:rsidP="00F36AC6">
      <w:pPr>
        <w:pStyle w:val="p00"/>
        <w:bidi/>
        <w:spacing w:before="0" w:beforeAutospacing="0" w:after="0" w:afterAutospacing="0"/>
        <w:rPr>
          <w:rFonts w:ascii="Garamond" w:hAnsi="Garamond" w:cs="David"/>
          <w:color w:val="000000" w:themeColor="text1"/>
          <w:sz w:val="20"/>
          <w:szCs w:val="20"/>
        </w:rPr>
      </w:pPr>
      <w:r w:rsidRPr="00F36AC6">
        <w:rPr>
          <w:rStyle w:val="FootnoteReference"/>
          <w:rFonts w:ascii="Garamond" w:hAnsi="Garamond" w:cs="David"/>
          <w:color w:val="000000" w:themeColor="text1"/>
          <w:sz w:val="20"/>
          <w:szCs w:val="20"/>
        </w:rPr>
        <w:footnoteRef/>
      </w:r>
      <w:r w:rsidRPr="00F36AC6">
        <w:rPr>
          <w:rFonts w:ascii="Garamond" w:hAnsi="Garamond" w:cs="David"/>
          <w:color w:val="000000" w:themeColor="text1"/>
          <w:sz w:val="20"/>
          <w:szCs w:val="20"/>
          <w:rtl/>
        </w:rPr>
        <w:t xml:space="preserve"> </w:t>
      </w:r>
      <w:r w:rsidRPr="00F36AC6">
        <w:rPr>
          <w:rStyle w:val="big-number"/>
          <w:rFonts w:ascii="Garamond" w:hAnsi="Garamond" w:cs="David"/>
          <w:b/>
          <w:bCs/>
          <w:color w:val="000000" w:themeColor="text1"/>
          <w:sz w:val="20"/>
          <w:szCs w:val="20"/>
          <w:rtl/>
        </w:rPr>
        <w:t xml:space="preserve">חבר הכנסת שהורשע </w:t>
      </w:r>
    </w:p>
    <w:p w:rsidR="003F150D" w:rsidRPr="00F36AC6" w:rsidRDefault="003F150D" w:rsidP="00F36AC6">
      <w:pPr>
        <w:pStyle w:val="p00"/>
        <w:bidi/>
        <w:spacing w:before="0" w:beforeAutospacing="0" w:after="0" w:afterAutospacing="0"/>
        <w:jc w:val="both"/>
        <w:rPr>
          <w:rFonts w:ascii="Garamond" w:hAnsi="Garamond" w:cs="David"/>
          <w:color w:val="000000" w:themeColor="text1"/>
          <w:sz w:val="20"/>
          <w:szCs w:val="20"/>
          <w:rtl/>
        </w:rPr>
      </w:pPr>
      <w:r w:rsidRPr="00F36AC6">
        <w:rPr>
          <w:rStyle w:val="big-number"/>
          <w:rFonts w:ascii="Garamond" w:hAnsi="Garamond" w:cs="David"/>
          <w:color w:val="000000" w:themeColor="text1"/>
          <w:sz w:val="20"/>
          <w:szCs w:val="20"/>
          <w:rtl/>
        </w:rPr>
        <w:t>42</w:t>
      </w:r>
      <w:r w:rsidRPr="00F36AC6">
        <w:rPr>
          <w:rStyle w:val="default"/>
          <w:rFonts w:ascii="Garamond" w:hAnsi="Garamond" w:cs="David"/>
          <w:color w:val="000000" w:themeColor="text1"/>
          <w:sz w:val="20"/>
          <w:szCs w:val="20"/>
          <w:rtl/>
        </w:rPr>
        <w:t>א.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א)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חבר הכנסת שהורשע בפסק דין סופי בעבירה פלילית, וקבע בית המשפט, ביוזמתו או לבקשת היועץ המשפטי לממשלה, שיש עם העבירה קלון, תיפסק חברותו בכנסת ביום שפסק הדין נעשה סופי, ואין נפקא מינה אם העבירה נעברה בזמן שהיה חבר אותה הכנסת, חבר כנסת קודמת או לפני שהיה לחבר הכנסת.</w:t>
      </w:r>
    </w:p>
    <w:p w:rsidR="003F150D" w:rsidRPr="00F36AC6" w:rsidRDefault="003F150D" w:rsidP="00F36AC6">
      <w:pPr>
        <w:pStyle w:val="p00"/>
        <w:bidi/>
        <w:spacing w:before="0" w:beforeAutospacing="0" w:after="0" w:afterAutospacing="0"/>
        <w:jc w:val="both"/>
        <w:rPr>
          <w:rFonts w:ascii="Garamond" w:hAnsi="Garamond" w:cs="David"/>
          <w:color w:val="000000" w:themeColor="text1"/>
          <w:sz w:val="20"/>
          <w:szCs w:val="20"/>
          <w:rtl/>
        </w:rPr>
      </w:pPr>
      <w:r w:rsidRPr="00F36AC6">
        <w:rPr>
          <w:rFonts w:ascii="Garamond" w:hAnsi="Garamond" w:cs="David"/>
          <w:color w:val="000000" w:themeColor="text1"/>
          <w:sz w:val="20"/>
          <w:szCs w:val="20"/>
          <w:rtl/>
        </w:rPr>
        <w:t>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(ב)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 xml:space="preserve">סעיף קטן (א) יחול גם על חבר הכנסת שפסק הדין </w:t>
      </w:r>
      <w:proofErr w:type="spellStart"/>
      <w:r w:rsidRPr="00F36AC6">
        <w:rPr>
          <w:rStyle w:val="default"/>
          <w:rFonts w:ascii="Garamond" w:hAnsi="Garamond" w:cs="David"/>
          <w:color w:val="000000" w:themeColor="text1"/>
          <w:sz w:val="20"/>
          <w:szCs w:val="20"/>
          <w:rtl/>
        </w:rPr>
        <w:t>בענינו</w:t>
      </w:r>
      <w:proofErr w:type="spellEnd"/>
      <w:r w:rsidRPr="00F36AC6">
        <w:rPr>
          <w:rStyle w:val="default"/>
          <w:rFonts w:ascii="Garamond" w:hAnsi="Garamond" w:cs="David"/>
          <w:color w:val="000000" w:themeColor="text1"/>
          <w:sz w:val="20"/>
          <w:szCs w:val="20"/>
          <w:rtl/>
        </w:rPr>
        <w:t xml:space="preserve"> נעשה סופי לאחר שהחל לכהן כחבר הכנסת; בקשת היועץ המשפטי לפי סעיף קטן (א) יכול שתוגש כל עוד פסק הדין לא נעשה סופי; הבקשה תוגש לבית המשפט שנתן את גזר הדין, ואם הוגש ערעור, לבית המשפט שלערעור.</w:t>
      </w:r>
    </w:p>
    <w:p w:rsidR="003F150D" w:rsidRPr="00F36AC6" w:rsidRDefault="003F150D" w:rsidP="00F36AC6">
      <w:pPr>
        <w:pStyle w:val="p00"/>
        <w:bidi/>
        <w:spacing w:before="0" w:beforeAutospacing="0" w:after="0" w:afterAutospacing="0"/>
        <w:rPr>
          <w:rFonts w:ascii="Garamond" w:hAnsi="Garamond" w:cs="David"/>
          <w:color w:val="000000" w:themeColor="text1"/>
          <w:sz w:val="20"/>
          <w:szCs w:val="20"/>
          <w:rtl/>
        </w:rPr>
      </w:pPr>
      <w:bookmarkStart w:id="0" w:name="Rov86"/>
      <w:bookmarkStart w:id="1" w:name="Seif46"/>
      <w:bookmarkEnd w:id="0"/>
      <w:bookmarkEnd w:id="1"/>
      <w:r w:rsidRPr="00F36AC6">
        <w:rPr>
          <w:rStyle w:val="big-number"/>
          <w:rFonts w:ascii="Garamond" w:hAnsi="Garamond" w:cs="David"/>
          <w:b/>
          <w:bCs/>
          <w:color w:val="000000" w:themeColor="text1"/>
          <w:sz w:val="20"/>
          <w:szCs w:val="20"/>
          <w:rtl/>
        </w:rPr>
        <w:t>השעיה</w:t>
      </w:r>
    </w:p>
    <w:p w:rsidR="003F150D" w:rsidRPr="00F36AC6" w:rsidRDefault="003F150D" w:rsidP="00F36AC6">
      <w:pPr>
        <w:pStyle w:val="p00"/>
        <w:bidi/>
        <w:spacing w:before="0" w:beforeAutospacing="0" w:after="0" w:afterAutospacing="0"/>
        <w:jc w:val="both"/>
        <w:rPr>
          <w:rFonts w:ascii="Garamond" w:hAnsi="Garamond" w:cs="David"/>
          <w:color w:val="000000" w:themeColor="text1"/>
          <w:sz w:val="20"/>
          <w:szCs w:val="20"/>
          <w:rtl/>
        </w:rPr>
      </w:pPr>
      <w:r w:rsidRPr="00F36AC6">
        <w:rPr>
          <w:rStyle w:val="big-number"/>
          <w:rFonts w:ascii="Garamond" w:hAnsi="Garamond" w:cs="David"/>
          <w:color w:val="000000" w:themeColor="text1"/>
          <w:sz w:val="20"/>
          <w:szCs w:val="20"/>
          <w:rtl/>
        </w:rPr>
        <w:t>42</w:t>
      </w:r>
      <w:r w:rsidRPr="00F36AC6">
        <w:rPr>
          <w:rStyle w:val="default"/>
          <w:rFonts w:ascii="Garamond" w:hAnsi="Garamond" w:cs="David"/>
          <w:color w:val="000000" w:themeColor="text1"/>
          <w:sz w:val="20"/>
          <w:szCs w:val="20"/>
          <w:rtl/>
        </w:rPr>
        <w:t>ב.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(א)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חבר הכנסת שהורשע בעבירה פלילית וקבע בית המשפט, ביזמתו או לבקשת היועץ המשפטי לממשלה, שיש עם העבירה קלון, יושעה מכהונתו בכנסת מיום קביעת בית המשפט ועד למועד שבו פסק הדין נעשה סופי.</w:t>
      </w:r>
    </w:p>
    <w:p w:rsidR="003F150D" w:rsidRPr="00F36AC6" w:rsidRDefault="003F150D" w:rsidP="00F36AC6">
      <w:pPr>
        <w:pStyle w:val="p00"/>
        <w:bidi/>
        <w:spacing w:before="0" w:beforeAutospacing="0" w:after="0" w:afterAutospacing="0"/>
        <w:jc w:val="both"/>
        <w:rPr>
          <w:rFonts w:ascii="Garamond" w:hAnsi="Garamond" w:cs="David"/>
          <w:color w:val="000000" w:themeColor="text1"/>
          <w:sz w:val="20"/>
          <w:szCs w:val="20"/>
          <w:rtl/>
        </w:rPr>
      </w:pPr>
      <w:r w:rsidRPr="00F36AC6">
        <w:rPr>
          <w:rFonts w:ascii="Garamond" w:hAnsi="Garamond" w:cs="David"/>
          <w:color w:val="000000" w:themeColor="text1"/>
          <w:sz w:val="20"/>
          <w:szCs w:val="20"/>
          <w:rtl/>
        </w:rPr>
        <w:t>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(ב)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חבר הכנסת שהורשע בעבירה פלילית ונידון למאסר, יושעה מכהונתו בכנסת למשך הזמן שהוא נושא את עונש המאסר.</w:t>
      </w:r>
    </w:p>
    <w:p w:rsidR="003F150D" w:rsidRPr="00F36AC6" w:rsidRDefault="003F150D" w:rsidP="00F36AC6">
      <w:pPr>
        <w:pStyle w:val="p00"/>
        <w:bidi/>
        <w:spacing w:before="0" w:beforeAutospacing="0" w:after="0" w:afterAutospacing="0"/>
        <w:jc w:val="both"/>
        <w:rPr>
          <w:rFonts w:ascii="Garamond" w:hAnsi="Garamond" w:cs="David"/>
          <w:color w:val="000000" w:themeColor="text1"/>
          <w:sz w:val="20"/>
          <w:szCs w:val="20"/>
        </w:rPr>
      </w:pPr>
      <w:r w:rsidRPr="00F36AC6">
        <w:rPr>
          <w:rFonts w:ascii="Garamond" w:hAnsi="Garamond" w:cs="David"/>
          <w:color w:val="000000" w:themeColor="text1"/>
          <w:sz w:val="20"/>
          <w:szCs w:val="20"/>
          <w:rtl/>
        </w:rPr>
        <w:t>         </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(ב1)</w:t>
      </w:r>
      <w:r w:rsidRPr="00F36AC6">
        <w:rPr>
          <w:rStyle w:val="apple-converted-space"/>
          <w:rFonts w:ascii="Garamond" w:hAnsi="Garamond" w:cs="David"/>
          <w:color w:val="000000" w:themeColor="text1"/>
          <w:sz w:val="20"/>
          <w:szCs w:val="20"/>
          <w:rtl/>
        </w:rPr>
        <w:t> </w:t>
      </w:r>
      <w:r w:rsidRPr="00F36AC6">
        <w:rPr>
          <w:rStyle w:val="default"/>
          <w:rFonts w:ascii="Garamond" w:hAnsi="Garamond" w:cs="David"/>
          <w:color w:val="000000" w:themeColor="text1"/>
          <w:sz w:val="20"/>
          <w:szCs w:val="20"/>
          <w:rtl/>
        </w:rPr>
        <w:t>הוראות סעיף זה יחולו גם על חבר הכנסת שהורשע בעבירה כאמור בסעיפים קטנים (א) או (ב) לפני היותו חבר הכנסת.</w:t>
      </w:r>
    </w:p>
  </w:footnote>
  <w:footnote w:id="8">
    <w:p w:rsidR="003F150D" w:rsidRPr="00F36AC6" w:rsidRDefault="003F150D" w:rsidP="00F36AC6">
      <w:pPr>
        <w:pStyle w:val="FootnoteText"/>
        <w:rPr>
          <w:rFonts w:ascii="Garamond" w:hAnsi="Garamond" w:cs="David"/>
          <w:rtl/>
        </w:rPr>
      </w:pPr>
      <w:r w:rsidRPr="00F36AC6">
        <w:rPr>
          <w:rStyle w:val="FootnoteReference"/>
          <w:rFonts w:ascii="Garamond" w:hAnsi="Garamond" w:cs="David"/>
        </w:rPr>
        <w:footnoteRef/>
      </w:r>
      <w:r w:rsidRPr="00F36AC6">
        <w:rPr>
          <w:rFonts w:ascii="Garamond" w:hAnsi="Garamond" w:cs="David"/>
          <w:rtl/>
        </w:rPr>
        <w:t xml:space="preserve"> </w:t>
      </w:r>
      <w:r w:rsidRPr="00F36AC6">
        <w:rPr>
          <w:rFonts w:ascii="Garamond" w:hAnsi="Garamond" w:cs="David"/>
          <w:rtl/>
        </w:rPr>
        <w:t>" מקבילות בעולם לסעיף 7א לחוק יסוד</w:t>
      </w:r>
      <w:r w:rsidRPr="00F36AC6">
        <w:rPr>
          <w:rFonts w:ascii="Garamond" w:hAnsi="Garamond" w:cs="David"/>
        </w:rPr>
        <w:t xml:space="preserve">: </w:t>
      </w:r>
      <w:r w:rsidRPr="00F36AC6">
        <w:rPr>
          <w:rFonts w:ascii="Garamond" w:hAnsi="Garamond" w:cs="David"/>
          <w:rtl/>
        </w:rPr>
        <w:t>הכנסת והשלכותיהן האפשריות על הפסקת כהונתם של חברי פרלמנט: סקירה משווה", ליאור בן דוד (</w:t>
      </w:r>
      <w:hyperlink r:id="rId1" w:history="1">
        <w:r w:rsidRPr="00F36AC6">
          <w:rPr>
            <w:rStyle w:val="Hyperlink"/>
            <w:rFonts w:ascii="Garamond" w:hAnsi="Garamond" w:cs="David"/>
          </w:rPr>
          <w:t>https://knesset.gov.il/committees/heb/material/data/H09-02-2016_15-04-05_-7.pdf</w:t>
        </w:r>
      </w:hyperlink>
      <w:r w:rsidRPr="00F36AC6">
        <w:rPr>
          <w:rFonts w:ascii="Garamond" w:hAnsi="Garamond" w:cs="David"/>
        </w:rPr>
        <w:t xml:space="preserve"> </w:t>
      </w:r>
      <w:r w:rsidRPr="00F36AC6">
        <w:rPr>
          <w:rFonts w:ascii="Garamond" w:hAnsi="Garamond" w:cs="David"/>
          <w:rtl/>
        </w:rPr>
        <w:t>).</w:t>
      </w:r>
    </w:p>
  </w:footnote>
  <w:footnote w:id="9">
    <w:p w:rsidR="0095013B" w:rsidRPr="00F36AC6" w:rsidRDefault="0095013B" w:rsidP="0095013B">
      <w:pPr>
        <w:pStyle w:val="FootnoteText"/>
        <w:rPr>
          <w:rFonts w:ascii="Garamond" w:hAnsi="Garamond" w:cs="David"/>
          <w:rtl/>
        </w:rPr>
      </w:pPr>
      <w:r w:rsidRPr="00F36AC6">
        <w:rPr>
          <w:rStyle w:val="FootnoteReference"/>
          <w:rFonts w:ascii="Garamond" w:hAnsi="Garamond" w:cs="David"/>
        </w:rPr>
        <w:footnoteRef/>
      </w:r>
      <w:r w:rsidRPr="00F36AC6">
        <w:rPr>
          <w:rFonts w:ascii="Garamond" w:hAnsi="Garamond" w:cs="David"/>
          <w:rtl/>
        </w:rPr>
        <w:t xml:space="preserve"> </w:t>
      </w:r>
      <w:r w:rsidRPr="00F36AC6">
        <w:rPr>
          <w:rFonts w:ascii="Garamond" w:hAnsi="Garamond" w:cs="David"/>
        </w:rPr>
        <w:t xml:space="preserve"> "Guidelines on Prohibition and Dissolution of Political Parties and Analogous Measures", Venice Commission (European Commission for Democracy Through Law), CDL-INF (2001</w:t>
      </w:r>
      <w:proofErr w:type="gramStart"/>
      <w:r w:rsidRPr="00F36AC6">
        <w:rPr>
          <w:rFonts w:ascii="Garamond" w:hAnsi="Garamond" w:cs="David"/>
        </w:rPr>
        <w:t xml:space="preserve">) </w:t>
      </w:r>
      <w:r w:rsidRPr="00F36AC6">
        <w:rPr>
          <w:rFonts w:ascii="Garamond" w:hAnsi="Garamond" w:cs="David"/>
          <w:rtl/>
        </w:rPr>
        <w:t>,</w:t>
      </w:r>
      <w:proofErr w:type="gramEnd"/>
      <w:r w:rsidRPr="00F36AC6">
        <w:rPr>
          <w:rFonts w:ascii="Garamond" w:hAnsi="Garamond" w:cs="David"/>
          <w:rtl/>
        </w:rPr>
        <w:t xml:space="preserve"> בעמוד 20. (</w:t>
      </w:r>
      <w:hyperlink r:id="rId2" w:history="1">
        <w:r w:rsidRPr="00F36AC6">
          <w:rPr>
            <w:rStyle w:val="Hyperlink"/>
            <w:rFonts w:ascii="Garamond" w:hAnsi="Garamond" w:cs="David"/>
          </w:rPr>
          <w:t>http://www.venice.coe.int/webforms/documents/default.aspx?pdffile=CDL-INF(2000)001-e</w:t>
        </w:r>
      </w:hyperlink>
      <w:r w:rsidRPr="00F36AC6">
        <w:rPr>
          <w:rFonts w:ascii="Garamond" w:hAnsi="Garamond" w:cs="David"/>
          <w:rtl/>
        </w:rPr>
        <w:t xml:space="preserve"> )</w:t>
      </w:r>
    </w:p>
  </w:footnote>
  <w:footnote w:id="10">
    <w:p w:rsidR="0095013B" w:rsidRPr="00F36AC6" w:rsidRDefault="0095013B" w:rsidP="0095013B">
      <w:pPr>
        <w:pStyle w:val="FootnoteText"/>
        <w:rPr>
          <w:rFonts w:ascii="Garamond" w:hAnsi="Garamond" w:cs="David"/>
        </w:rPr>
      </w:pPr>
      <w:r w:rsidRPr="00F36AC6">
        <w:rPr>
          <w:rStyle w:val="FootnoteReference"/>
          <w:rFonts w:ascii="Garamond" w:hAnsi="Garamond" w:cs="David"/>
        </w:rPr>
        <w:footnoteRef/>
      </w:r>
      <w:r w:rsidRPr="00F36AC6">
        <w:rPr>
          <w:rFonts w:ascii="Garamond" w:hAnsi="Garamond" w:cs="David"/>
          <w:rtl/>
        </w:rPr>
        <w:t xml:space="preserve"> </w:t>
      </w:r>
      <w:r w:rsidRPr="00F36AC6">
        <w:rPr>
          <w:rFonts w:ascii="Garamond" w:hAnsi="Garamond" w:cs="David"/>
          <w:rtl/>
        </w:rPr>
        <w:t xml:space="preserve">הנשיא ברק בפרשת </w:t>
      </w:r>
      <w:r w:rsidRPr="00F36AC6">
        <w:rPr>
          <w:rFonts w:ascii="Garamond" w:hAnsi="Garamond" w:cs="David"/>
          <w:b/>
          <w:bCs/>
          <w:rtl/>
        </w:rPr>
        <w:t>טיבי</w:t>
      </w:r>
      <w:r w:rsidRPr="00F36AC6">
        <w:rPr>
          <w:rFonts w:ascii="Garamond" w:hAnsi="Garamond" w:cs="David"/>
          <w:rtl/>
        </w:rPr>
        <w:t xml:space="preserve"> (בעמ' 63) הביא בעניין זה את דבריהם של השופט זוסמן, השופט אלון, השופט שמגר, ופסקי דין שונים.</w:t>
      </w:r>
    </w:p>
  </w:footnote>
  <w:footnote w:id="11">
    <w:p w:rsidR="003F150D" w:rsidRPr="00F36AC6" w:rsidRDefault="003F150D" w:rsidP="00F36AC6">
      <w:pPr>
        <w:spacing w:after="0" w:line="240" w:lineRule="auto"/>
        <w:ind w:left="-1"/>
        <w:contextualSpacing/>
        <w:jc w:val="both"/>
        <w:rPr>
          <w:rFonts w:ascii="Garamond" w:hAnsi="Garamond" w:cs="David"/>
          <w:sz w:val="20"/>
          <w:szCs w:val="20"/>
        </w:rPr>
      </w:pPr>
      <w:r w:rsidRPr="00F36AC6">
        <w:rPr>
          <w:rStyle w:val="FootnoteReference"/>
          <w:rFonts w:ascii="Garamond" w:hAnsi="Garamond" w:cs="David"/>
          <w:sz w:val="20"/>
          <w:szCs w:val="20"/>
        </w:rPr>
        <w:footnoteRef/>
      </w:r>
      <w:r w:rsidRPr="00F36AC6">
        <w:rPr>
          <w:rFonts w:ascii="Garamond" w:hAnsi="Garamond" w:cs="David"/>
          <w:sz w:val="20"/>
          <w:szCs w:val="20"/>
          <w:rtl/>
        </w:rPr>
        <w:t xml:space="preserve"> </w:t>
      </w:r>
      <w:r w:rsidRPr="00F36AC6">
        <w:rPr>
          <w:rFonts w:ascii="Garamond" w:hAnsi="Garamond" w:cs="David"/>
          <w:sz w:val="20"/>
          <w:szCs w:val="20"/>
          <w:rtl/>
        </w:rPr>
        <w:t xml:space="preserve">הנשיאה נאור בפרשת </w:t>
      </w:r>
      <w:proofErr w:type="spellStart"/>
      <w:r w:rsidRPr="00F36AC6">
        <w:rPr>
          <w:rFonts w:ascii="Garamond" w:hAnsi="Garamond" w:cs="David"/>
          <w:sz w:val="20"/>
          <w:szCs w:val="20"/>
          <w:rtl/>
        </w:rPr>
        <w:t>זועבי</w:t>
      </w:r>
      <w:proofErr w:type="spellEnd"/>
      <w:r w:rsidRPr="00F36AC6">
        <w:rPr>
          <w:rFonts w:ascii="Garamond" w:hAnsi="Garamond" w:cs="David"/>
          <w:sz w:val="20"/>
          <w:szCs w:val="20"/>
          <w:rtl/>
        </w:rPr>
        <w:t xml:space="preserve">: " 32. לעניין העילה של הסתה לגזענות: בעניין </w:t>
      </w:r>
      <w:r w:rsidRPr="00F36AC6">
        <w:rPr>
          <w:rFonts w:ascii="Garamond" w:hAnsi="Garamond" w:cs="David"/>
          <w:b/>
          <w:sz w:val="20"/>
          <w:szCs w:val="20"/>
          <w:rtl/>
        </w:rPr>
        <w:t>טיבי</w:t>
      </w:r>
      <w:r w:rsidRPr="00F36AC6">
        <w:rPr>
          <w:rFonts w:ascii="Garamond" w:hAnsi="Garamond" w:cs="David"/>
          <w:sz w:val="20"/>
          <w:szCs w:val="20"/>
          <w:rtl/>
        </w:rPr>
        <w:t xml:space="preserve"> נקבע כי ניתן להסתייע בהגדרה שנקבעה בחוק העונשין, התשל"ז-1977, לצורך פרשנות המונח "גזענות" הנזכרת בסעיף 7א לחוק, וזאת על אף שאין לזהות בין שתי הוראות חוק אלו, לאור מעמדן הנורמטיבי ותכליתן השונה (שם, בעמוד 25; השוו: פרשת </w:t>
      </w:r>
      <w:proofErr w:type="spellStart"/>
      <w:r w:rsidRPr="00F36AC6">
        <w:rPr>
          <w:rFonts w:ascii="Garamond" w:hAnsi="Garamond" w:cs="David"/>
          <w:b/>
          <w:sz w:val="20"/>
          <w:szCs w:val="20"/>
          <w:rtl/>
        </w:rPr>
        <w:t>ניימן</w:t>
      </w:r>
      <w:proofErr w:type="spellEnd"/>
      <w:r w:rsidRPr="00F36AC6">
        <w:rPr>
          <w:rFonts w:ascii="Garamond" w:hAnsi="Garamond" w:cs="David"/>
          <w:b/>
          <w:sz w:val="20"/>
          <w:szCs w:val="20"/>
          <w:rtl/>
        </w:rPr>
        <w:t xml:space="preserve"> השנייה</w:t>
      </w:r>
      <w:r w:rsidRPr="00F36AC6">
        <w:rPr>
          <w:rFonts w:ascii="Garamond" w:hAnsi="Garamond" w:cs="David"/>
          <w:sz w:val="20"/>
          <w:szCs w:val="20"/>
          <w:rtl/>
        </w:rPr>
        <w:t xml:space="preserve">, בעמוד 191). נקבע כי לצרכי סעיף 7א יש להתחשב ביסודות המינימאליים של הסתה לגזענות, אשר באו לידי ביטוי בדבריו של הנשיא שמגר בפרשת </w:t>
      </w:r>
      <w:proofErr w:type="spellStart"/>
      <w:r w:rsidRPr="00F36AC6">
        <w:rPr>
          <w:rFonts w:ascii="Garamond" w:hAnsi="Garamond" w:cs="David"/>
          <w:b/>
          <w:sz w:val="20"/>
          <w:szCs w:val="20"/>
          <w:rtl/>
        </w:rPr>
        <w:t>ניימן</w:t>
      </w:r>
      <w:proofErr w:type="spellEnd"/>
      <w:r w:rsidRPr="00F36AC6">
        <w:rPr>
          <w:rFonts w:ascii="Garamond" w:hAnsi="Garamond" w:cs="David"/>
          <w:b/>
          <w:sz w:val="20"/>
          <w:szCs w:val="20"/>
          <w:rtl/>
        </w:rPr>
        <w:t xml:space="preserve"> השנייה</w:t>
      </w:r>
      <w:r w:rsidRPr="00F36AC6">
        <w:rPr>
          <w:rFonts w:ascii="Garamond" w:hAnsi="Garamond" w:cs="David"/>
          <w:sz w:val="20"/>
          <w:szCs w:val="20"/>
          <w:rtl/>
        </w:rPr>
        <w:t>, לפיהם הסתה לגזענות היא "ליבוי היצרים השיטתי על יסוד לאומי-אתני המביא איבה ומדנים ומעמיק תהום, קריאה לשלילה אלימה של זכויות, לביזוי שיטתי ומכוון של חלקי אוכלוסייה מוגדרים, המאובחנים לפי יסוד לאומי-אתני" (שם, בעמוד 197)."</w:t>
      </w:r>
    </w:p>
  </w:footnote>
  <w:footnote w:id="12">
    <w:p w:rsidR="003F150D" w:rsidRPr="00F36AC6" w:rsidRDefault="003F150D" w:rsidP="00F36AC6">
      <w:pPr>
        <w:spacing w:after="0" w:line="240" w:lineRule="auto"/>
        <w:ind w:left="-1"/>
        <w:contextualSpacing/>
        <w:jc w:val="both"/>
        <w:rPr>
          <w:rFonts w:ascii="Garamond" w:hAnsi="Garamond" w:cs="David"/>
          <w:sz w:val="20"/>
          <w:szCs w:val="20"/>
          <w:rtl/>
        </w:rPr>
      </w:pPr>
      <w:r w:rsidRPr="00F36AC6">
        <w:rPr>
          <w:rStyle w:val="FootnoteReference"/>
          <w:rFonts w:ascii="Garamond" w:hAnsi="Garamond" w:cs="David"/>
          <w:sz w:val="20"/>
          <w:szCs w:val="20"/>
        </w:rPr>
        <w:footnoteRef/>
      </w:r>
      <w:r w:rsidRPr="00F36AC6">
        <w:rPr>
          <w:rFonts w:ascii="Garamond" w:hAnsi="Garamond" w:cs="David"/>
          <w:sz w:val="20"/>
          <w:szCs w:val="20"/>
          <w:rtl/>
        </w:rPr>
        <w:t xml:space="preserve"> </w:t>
      </w:r>
      <w:r w:rsidRPr="00F36AC6">
        <w:rPr>
          <w:rFonts w:ascii="Garamond" w:hAnsi="Garamond" w:cs="David"/>
          <w:sz w:val="20"/>
          <w:szCs w:val="20"/>
          <w:rtl/>
        </w:rPr>
        <w:t xml:space="preserve">שם: " 69.בעניין </w:t>
      </w:r>
      <w:r w:rsidRPr="00F36AC6">
        <w:rPr>
          <w:rFonts w:ascii="Garamond" w:hAnsi="Garamond" w:cs="David"/>
          <w:b/>
          <w:sz w:val="20"/>
          <w:szCs w:val="20"/>
          <w:rtl/>
        </w:rPr>
        <w:t xml:space="preserve">טיבי </w:t>
      </w:r>
      <w:r w:rsidRPr="00F36AC6">
        <w:rPr>
          <w:rFonts w:ascii="Garamond" w:hAnsi="Garamond" w:cs="David"/>
          <w:sz w:val="20"/>
          <w:szCs w:val="20"/>
          <w:rtl/>
        </w:rPr>
        <w:t>ציין הנשיא ברק בקשר לעילה זו כי: "הדמוקרטיה רשאית למנוע את השתתפותן של רשימות מועמדים אשר נוקטות אלימות או תומכות באלימות כמכשיר לשינוי פני המשטר" (שם, בעמוד 26). לעניין זה הובהר, כי מובן שניתן למנוע את התמודדותם בבחירות של מועמד או רשימה שלוקחים בעצמם חלק במאבק מזוין נגד המדינה, או של רשימה או מועמד התומכים במאבק זה באמצעות תמיכה חומרית, פוליטית או אחרת. כאמור, על מאפיין זה להיות דומיננטי בשאיפותיה של הרשימה או המועמד, והוא נדרש לפעול להגשמתו באופן משמעותי ונשנה."</w:t>
      </w:r>
    </w:p>
  </w:footnote>
  <w:footnote w:id="13">
    <w:p w:rsidR="003F150D" w:rsidRPr="00F36AC6" w:rsidRDefault="003F150D" w:rsidP="00F36AC6">
      <w:pPr>
        <w:pStyle w:val="FootnoteText"/>
        <w:rPr>
          <w:rFonts w:ascii="Garamond" w:hAnsi="Garamond" w:cs="David"/>
        </w:rPr>
      </w:pPr>
      <w:r w:rsidRPr="00F36AC6">
        <w:rPr>
          <w:rStyle w:val="FootnoteReference"/>
          <w:rFonts w:ascii="Garamond" w:hAnsi="Garamond" w:cs="David"/>
        </w:rPr>
        <w:footnoteRef/>
      </w:r>
      <w:r w:rsidRPr="00F36AC6">
        <w:rPr>
          <w:rFonts w:ascii="Garamond" w:hAnsi="Garamond" w:cs="David"/>
          <w:rtl/>
        </w:rPr>
        <w:t xml:space="preserve"> </w:t>
      </w:r>
      <w:r w:rsidRPr="00F36AC6">
        <w:rPr>
          <w:rFonts w:ascii="Garamond" w:hAnsi="Garamond" w:cs="David"/>
          <w:rtl/>
        </w:rPr>
        <w:t xml:space="preserve">לתהייה בעניין זה, ר' פסק דינו של השופט מלצר בפרשת </w:t>
      </w:r>
      <w:proofErr w:type="spellStart"/>
      <w:r w:rsidRPr="00F36AC6">
        <w:rPr>
          <w:rFonts w:ascii="Garamond" w:hAnsi="Garamond" w:cs="David"/>
          <w:b/>
          <w:bCs/>
          <w:rtl/>
        </w:rPr>
        <w:t>זועבי</w:t>
      </w:r>
      <w:proofErr w:type="spellEnd"/>
      <w:r w:rsidRPr="00F36AC6">
        <w:rPr>
          <w:rFonts w:ascii="Garamond" w:hAnsi="Garamond" w:cs="David"/>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90C2A"/>
    <w:multiLevelType w:val="hybridMultilevel"/>
    <w:tmpl w:val="B9A6AF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E08D3"/>
    <w:multiLevelType w:val="hybridMultilevel"/>
    <w:tmpl w:val="D2E66B3C"/>
    <w:lvl w:ilvl="0" w:tplc="4A10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A0046"/>
    <w:multiLevelType w:val="hybridMultilevel"/>
    <w:tmpl w:val="B25634CE"/>
    <w:lvl w:ilvl="0" w:tplc="CD3037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09431B"/>
    <w:multiLevelType w:val="hybridMultilevel"/>
    <w:tmpl w:val="17AC9414"/>
    <w:lvl w:ilvl="0" w:tplc="CD3037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B2FB7"/>
    <w:multiLevelType w:val="hybridMultilevel"/>
    <w:tmpl w:val="4A2274CC"/>
    <w:lvl w:ilvl="0" w:tplc="CD3037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23451B"/>
    <w:multiLevelType w:val="hybridMultilevel"/>
    <w:tmpl w:val="B25634CE"/>
    <w:lvl w:ilvl="0" w:tplc="CD3037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AD7408"/>
    <w:multiLevelType w:val="hybridMultilevel"/>
    <w:tmpl w:val="E9CE0706"/>
    <w:lvl w:ilvl="0" w:tplc="DB1AF3D6">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E5"/>
    <w:rsid w:val="00034190"/>
    <w:rsid w:val="00035C45"/>
    <w:rsid w:val="00071E68"/>
    <w:rsid w:val="000768FF"/>
    <w:rsid w:val="000A2404"/>
    <w:rsid w:val="000F0216"/>
    <w:rsid w:val="001418E7"/>
    <w:rsid w:val="00144674"/>
    <w:rsid w:val="00167376"/>
    <w:rsid w:val="00177EAF"/>
    <w:rsid w:val="00197223"/>
    <w:rsid w:val="001B0AC1"/>
    <w:rsid w:val="001B5012"/>
    <w:rsid w:val="00253114"/>
    <w:rsid w:val="00275168"/>
    <w:rsid w:val="00280D65"/>
    <w:rsid w:val="002819F4"/>
    <w:rsid w:val="00287539"/>
    <w:rsid w:val="002C74DF"/>
    <w:rsid w:val="002D2C13"/>
    <w:rsid w:val="002E5D69"/>
    <w:rsid w:val="002F1083"/>
    <w:rsid w:val="00334491"/>
    <w:rsid w:val="003346E1"/>
    <w:rsid w:val="0033668B"/>
    <w:rsid w:val="003C6A2D"/>
    <w:rsid w:val="003F150D"/>
    <w:rsid w:val="00403F24"/>
    <w:rsid w:val="0041114E"/>
    <w:rsid w:val="00412C28"/>
    <w:rsid w:val="00414D76"/>
    <w:rsid w:val="00426EFB"/>
    <w:rsid w:val="00443ED8"/>
    <w:rsid w:val="00451E6A"/>
    <w:rsid w:val="00474717"/>
    <w:rsid w:val="00477431"/>
    <w:rsid w:val="004956AE"/>
    <w:rsid w:val="00495DE2"/>
    <w:rsid w:val="004B5107"/>
    <w:rsid w:val="004D62E9"/>
    <w:rsid w:val="00503200"/>
    <w:rsid w:val="0051121B"/>
    <w:rsid w:val="00515A13"/>
    <w:rsid w:val="00527E32"/>
    <w:rsid w:val="005613BE"/>
    <w:rsid w:val="005A4182"/>
    <w:rsid w:val="005A51A3"/>
    <w:rsid w:val="005B1AAC"/>
    <w:rsid w:val="005C0308"/>
    <w:rsid w:val="005D344D"/>
    <w:rsid w:val="00620AE1"/>
    <w:rsid w:val="00636839"/>
    <w:rsid w:val="006661B9"/>
    <w:rsid w:val="00670B76"/>
    <w:rsid w:val="006909AB"/>
    <w:rsid w:val="006A2E2D"/>
    <w:rsid w:val="006A4837"/>
    <w:rsid w:val="006F2683"/>
    <w:rsid w:val="006F2E78"/>
    <w:rsid w:val="007131AC"/>
    <w:rsid w:val="00743355"/>
    <w:rsid w:val="00753E99"/>
    <w:rsid w:val="007C56CF"/>
    <w:rsid w:val="00842827"/>
    <w:rsid w:val="008800BA"/>
    <w:rsid w:val="008830CE"/>
    <w:rsid w:val="008D3601"/>
    <w:rsid w:val="008E6BC2"/>
    <w:rsid w:val="00906B9D"/>
    <w:rsid w:val="00926EC0"/>
    <w:rsid w:val="009409FA"/>
    <w:rsid w:val="0095013B"/>
    <w:rsid w:val="009512FA"/>
    <w:rsid w:val="009530D6"/>
    <w:rsid w:val="00986A2A"/>
    <w:rsid w:val="00994C45"/>
    <w:rsid w:val="00995C44"/>
    <w:rsid w:val="009B7939"/>
    <w:rsid w:val="009D196B"/>
    <w:rsid w:val="009D3B0B"/>
    <w:rsid w:val="009F0CD6"/>
    <w:rsid w:val="00A30451"/>
    <w:rsid w:val="00A45FEF"/>
    <w:rsid w:val="00A84627"/>
    <w:rsid w:val="00A90C32"/>
    <w:rsid w:val="00AB136E"/>
    <w:rsid w:val="00AD0685"/>
    <w:rsid w:val="00AD0D5E"/>
    <w:rsid w:val="00AE7356"/>
    <w:rsid w:val="00B06290"/>
    <w:rsid w:val="00B11951"/>
    <w:rsid w:val="00B12467"/>
    <w:rsid w:val="00B43987"/>
    <w:rsid w:val="00B43BDA"/>
    <w:rsid w:val="00B60A49"/>
    <w:rsid w:val="00B817E5"/>
    <w:rsid w:val="00BB7E4E"/>
    <w:rsid w:val="00BC42F8"/>
    <w:rsid w:val="00BD29CB"/>
    <w:rsid w:val="00C22B65"/>
    <w:rsid w:val="00C606CF"/>
    <w:rsid w:val="00C76890"/>
    <w:rsid w:val="00C80DD0"/>
    <w:rsid w:val="00C82B4B"/>
    <w:rsid w:val="00C92B92"/>
    <w:rsid w:val="00CA31AC"/>
    <w:rsid w:val="00CA6EB7"/>
    <w:rsid w:val="00CC48E1"/>
    <w:rsid w:val="00CC6C05"/>
    <w:rsid w:val="00D2155E"/>
    <w:rsid w:val="00D5231E"/>
    <w:rsid w:val="00D60834"/>
    <w:rsid w:val="00D61CFA"/>
    <w:rsid w:val="00D80164"/>
    <w:rsid w:val="00D97AC9"/>
    <w:rsid w:val="00DB239A"/>
    <w:rsid w:val="00DE50F2"/>
    <w:rsid w:val="00DE6134"/>
    <w:rsid w:val="00E4576B"/>
    <w:rsid w:val="00E67FD3"/>
    <w:rsid w:val="00EA421A"/>
    <w:rsid w:val="00EC48D4"/>
    <w:rsid w:val="00EC5491"/>
    <w:rsid w:val="00F173AE"/>
    <w:rsid w:val="00F24938"/>
    <w:rsid w:val="00F36AC6"/>
    <w:rsid w:val="00F52220"/>
    <w:rsid w:val="00F64D74"/>
    <w:rsid w:val="00F8765D"/>
    <w:rsid w:val="00FD0107"/>
    <w:rsid w:val="00FD488D"/>
    <w:rsid w:val="00FD4A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15DFB-0EDE-4101-A5F1-2559D3EE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Normal"/>
    <w:rsid w:val="00A3045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DefaultParagraphFont"/>
    <w:rsid w:val="00A30451"/>
  </w:style>
  <w:style w:type="character" w:customStyle="1" w:styleId="apple-converted-space">
    <w:name w:val="apple-converted-space"/>
    <w:basedOn w:val="DefaultParagraphFont"/>
    <w:rsid w:val="00A30451"/>
  </w:style>
  <w:style w:type="paragraph" w:styleId="ListParagraph">
    <w:name w:val="List Paragraph"/>
    <w:basedOn w:val="Normal"/>
    <w:uiPriority w:val="34"/>
    <w:qFormat/>
    <w:rsid w:val="00A45FEF"/>
    <w:pPr>
      <w:ind w:left="720"/>
      <w:contextualSpacing/>
    </w:pPr>
  </w:style>
  <w:style w:type="paragraph" w:styleId="Header">
    <w:name w:val="header"/>
    <w:basedOn w:val="Normal"/>
    <w:link w:val="HeaderChar"/>
    <w:uiPriority w:val="99"/>
    <w:unhideWhenUsed/>
    <w:rsid w:val="00C22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B65"/>
  </w:style>
  <w:style w:type="paragraph" w:styleId="Footer">
    <w:name w:val="footer"/>
    <w:basedOn w:val="Normal"/>
    <w:link w:val="FooterChar"/>
    <w:uiPriority w:val="99"/>
    <w:unhideWhenUsed/>
    <w:rsid w:val="00C22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B65"/>
  </w:style>
  <w:style w:type="paragraph" w:styleId="FootnoteText">
    <w:name w:val="footnote text"/>
    <w:basedOn w:val="Normal"/>
    <w:link w:val="FootnoteTextChar"/>
    <w:uiPriority w:val="99"/>
    <w:semiHidden/>
    <w:unhideWhenUsed/>
    <w:rsid w:val="00561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13BE"/>
    <w:rPr>
      <w:sz w:val="20"/>
      <w:szCs w:val="20"/>
    </w:rPr>
  </w:style>
  <w:style w:type="character" w:styleId="FootnoteReference">
    <w:name w:val="footnote reference"/>
    <w:basedOn w:val="DefaultParagraphFont"/>
    <w:uiPriority w:val="99"/>
    <w:semiHidden/>
    <w:unhideWhenUsed/>
    <w:rsid w:val="005613BE"/>
    <w:rPr>
      <w:vertAlign w:val="superscript"/>
    </w:rPr>
  </w:style>
  <w:style w:type="character" w:customStyle="1" w:styleId="big-number">
    <w:name w:val="big-number"/>
    <w:basedOn w:val="DefaultParagraphFont"/>
    <w:rsid w:val="00CC48E1"/>
  </w:style>
  <w:style w:type="paragraph" w:customStyle="1" w:styleId="p02">
    <w:name w:val="p02"/>
    <w:basedOn w:val="Normal"/>
    <w:rsid w:val="00CC48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CC48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
    <w:name w:val="Ruller4 אלפביתי"/>
    <w:basedOn w:val="Normal"/>
    <w:next w:val="Normal"/>
    <w:rsid w:val="006F2683"/>
    <w:pPr>
      <w:tabs>
        <w:tab w:val="left" w:pos="800"/>
        <w:tab w:val="num" w:pos="907"/>
      </w:tabs>
      <w:overflowPunct w:val="0"/>
      <w:autoSpaceDE w:val="0"/>
      <w:autoSpaceDN w:val="0"/>
      <w:adjustRightInd w:val="0"/>
      <w:spacing w:after="0" w:line="360" w:lineRule="auto"/>
      <w:jc w:val="both"/>
    </w:pPr>
    <w:rPr>
      <w:rFonts w:ascii="Arial TUR" w:eastAsia="Times New Roman" w:hAnsi="Arial TUR" w:cs="FrankRuehl"/>
      <w:spacing w:val="10"/>
      <w:szCs w:val="28"/>
    </w:rPr>
  </w:style>
  <w:style w:type="character" w:customStyle="1" w:styleId="Ruller40">
    <w:name w:val="Ruller4 תו"/>
    <w:link w:val="Ruller41"/>
    <w:locked/>
    <w:rsid w:val="00426EFB"/>
    <w:rPr>
      <w:rFonts w:ascii="Arial TUR" w:hAnsi="Arial TUR" w:cs="FrankRuehl"/>
      <w:spacing w:val="10"/>
      <w:szCs w:val="28"/>
    </w:rPr>
  </w:style>
  <w:style w:type="paragraph" w:customStyle="1" w:styleId="Ruller41">
    <w:name w:val="Ruller4"/>
    <w:basedOn w:val="Normal"/>
    <w:link w:val="Ruller40"/>
    <w:rsid w:val="00426EFB"/>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paragraph" w:customStyle="1" w:styleId="Ruller5">
    <w:name w:val="Ruller5"/>
    <w:basedOn w:val="Normal"/>
    <w:rsid w:val="00426EFB"/>
    <w:pPr>
      <w:overflowPunct w:val="0"/>
      <w:autoSpaceDE w:val="0"/>
      <w:autoSpaceDN w:val="0"/>
      <w:adjustRightInd w:val="0"/>
      <w:spacing w:after="0" w:line="240" w:lineRule="auto"/>
      <w:ind w:left="1642" w:right="1282"/>
      <w:jc w:val="both"/>
    </w:pPr>
    <w:rPr>
      <w:rFonts w:ascii="Arial TUR" w:eastAsia="Times New Roman" w:hAnsi="Arial TUR" w:cs="FrankRuehl"/>
      <w:spacing w:val="10"/>
      <w:szCs w:val="28"/>
    </w:rPr>
  </w:style>
  <w:style w:type="character" w:customStyle="1" w:styleId="speech">
    <w:name w:val="speech"/>
    <w:rsid w:val="00426EFB"/>
  </w:style>
  <w:style w:type="paragraph" w:customStyle="1" w:styleId="Ruller42">
    <w:name w:val="Ruller 4 ממוספר"/>
    <w:basedOn w:val="Ruller41"/>
    <w:next w:val="Ruller41"/>
    <w:rsid w:val="001418E7"/>
    <w:pPr>
      <w:tabs>
        <w:tab w:val="num" w:pos="907"/>
      </w:tabs>
    </w:pPr>
    <w:rPr>
      <w:rFonts w:ascii="Garamond" w:hAnsi="Garamond"/>
      <w:sz w:val="24"/>
    </w:rPr>
  </w:style>
  <w:style w:type="paragraph" w:customStyle="1" w:styleId="TableBlock">
    <w:name w:val="Table Block"/>
    <w:basedOn w:val="Normal"/>
    <w:rsid w:val="006A2E2D"/>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P000">
    <w:name w:val="P00"/>
    <w:rsid w:val="00412C28"/>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0">
    <w:name w:val="P22"/>
    <w:basedOn w:val="P000"/>
    <w:rsid w:val="00412C28"/>
    <w:pPr>
      <w:tabs>
        <w:tab w:val="clear" w:pos="624"/>
        <w:tab w:val="clear" w:pos="1021"/>
      </w:tabs>
      <w:ind w:right="1021"/>
    </w:pPr>
  </w:style>
  <w:style w:type="paragraph" w:styleId="BalloonText">
    <w:name w:val="Balloon Text"/>
    <w:basedOn w:val="Normal"/>
    <w:link w:val="BalloonTextChar"/>
    <w:uiPriority w:val="99"/>
    <w:semiHidden/>
    <w:unhideWhenUsed/>
    <w:rsid w:val="00034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190"/>
    <w:rPr>
      <w:rFonts w:ascii="Segoe UI" w:hAnsi="Segoe UI" w:cs="Segoe UI"/>
      <w:sz w:val="18"/>
      <w:szCs w:val="18"/>
    </w:rPr>
  </w:style>
  <w:style w:type="character" w:styleId="Hyperlink">
    <w:name w:val="Hyperlink"/>
    <w:basedOn w:val="DefaultParagraphFont"/>
    <w:uiPriority w:val="99"/>
    <w:unhideWhenUsed/>
    <w:rsid w:val="00F876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2445">
      <w:bodyDiv w:val="1"/>
      <w:marLeft w:val="0"/>
      <w:marRight w:val="0"/>
      <w:marTop w:val="0"/>
      <w:marBottom w:val="0"/>
      <w:divBdr>
        <w:top w:val="none" w:sz="0" w:space="0" w:color="auto"/>
        <w:left w:val="none" w:sz="0" w:space="0" w:color="auto"/>
        <w:bottom w:val="none" w:sz="0" w:space="0" w:color="auto"/>
        <w:right w:val="none" w:sz="0" w:space="0" w:color="auto"/>
      </w:divBdr>
    </w:div>
    <w:div w:id="539559650">
      <w:bodyDiv w:val="1"/>
      <w:marLeft w:val="0"/>
      <w:marRight w:val="0"/>
      <w:marTop w:val="0"/>
      <w:marBottom w:val="0"/>
      <w:divBdr>
        <w:top w:val="none" w:sz="0" w:space="0" w:color="auto"/>
        <w:left w:val="none" w:sz="0" w:space="0" w:color="auto"/>
        <w:bottom w:val="none" w:sz="0" w:space="0" w:color="auto"/>
        <w:right w:val="none" w:sz="0" w:space="0" w:color="auto"/>
      </w:divBdr>
    </w:div>
    <w:div w:id="575941187">
      <w:bodyDiv w:val="1"/>
      <w:marLeft w:val="0"/>
      <w:marRight w:val="0"/>
      <w:marTop w:val="0"/>
      <w:marBottom w:val="0"/>
      <w:divBdr>
        <w:top w:val="none" w:sz="0" w:space="0" w:color="auto"/>
        <w:left w:val="none" w:sz="0" w:space="0" w:color="auto"/>
        <w:bottom w:val="none" w:sz="0" w:space="0" w:color="auto"/>
        <w:right w:val="none" w:sz="0" w:space="0" w:color="auto"/>
      </w:divBdr>
    </w:div>
    <w:div w:id="606425750">
      <w:bodyDiv w:val="1"/>
      <w:marLeft w:val="0"/>
      <w:marRight w:val="0"/>
      <w:marTop w:val="0"/>
      <w:marBottom w:val="0"/>
      <w:divBdr>
        <w:top w:val="none" w:sz="0" w:space="0" w:color="auto"/>
        <w:left w:val="none" w:sz="0" w:space="0" w:color="auto"/>
        <w:bottom w:val="none" w:sz="0" w:space="0" w:color="auto"/>
        <w:right w:val="none" w:sz="0" w:space="0" w:color="auto"/>
      </w:divBdr>
    </w:div>
    <w:div w:id="634142758">
      <w:bodyDiv w:val="1"/>
      <w:marLeft w:val="0"/>
      <w:marRight w:val="0"/>
      <w:marTop w:val="0"/>
      <w:marBottom w:val="0"/>
      <w:divBdr>
        <w:top w:val="none" w:sz="0" w:space="0" w:color="auto"/>
        <w:left w:val="none" w:sz="0" w:space="0" w:color="auto"/>
        <w:bottom w:val="none" w:sz="0" w:space="0" w:color="auto"/>
        <w:right w:val="none" w:sz="0" w:space="0" w:color="auto"/>
      </w:divBdr>
    </w:div>
    <w:div w:id="818040642">
      <w:bodyDiv w:val="1"/>
      <w:marLeft w:val="0"/>
      <w:marRight w:val="0"/>
      <w:marTop w:val="0"/>
      <w:marBottom w:val="0"/>
      <w:divBdr>
        <w:top w:val="none" w:sz="0" w:space="0" w:color="auto"/>
        <w:left w:val="none" w:sz="0" w:space="0" w:color="auto"/>
        <w:bottom w:val="none" w:sz="0" w:space="0" w:color="auto"/>
        <w:right w:val="none" w:sz="0" w:space="0" w:color="auto"/>
      </w:divBdr>
    </w:div>
    <w:div w:id="1208643585">
      <w:bodyDiv w:val="1"/>
      <w:marLeft w:val="0"/>
      <w:marRight w:val="0"/>
      <w:marTop w:val="0"/>
      <w:marBottom w:val="0"/>
      <w:divBdr>
        <w:top w:val="none" w:sz="0" w:space="0" w:color="auto"/>
        <w:left w:val="none" w:sz="0" w:space="0" w:color="auto"/>
        <w:bottom w:val="none" w:sz="0" w:space="0" w:color="auto"/>
        <w:right w:val="none" w:sz="0" w:space="0" w:color="auto"/>
      </w:divBdr>
    </w:div>
    <w:div w:id="1505169166">
      <w:bodyDiv w:val="1"/>
      <w:marLeft w:val="0"/>
      <w:marRight w:val="0"/>
      <w:marTop w:val="0"/>
      <w:marBottom w:val="0"/>
      <w:divBdr>
        <w:top w:val="none" w:sz="0" w:space="0" w:color="auto"/>
        <w:left w:val="none" w:sz="0" w:space="0" w:color="auto"/>
        <w:bottom w:val="none" w:sz="0" w:space="0" w:color="auto"/>
        <w:right w:val="none" w:sz="0" w:space="0" w:color="auto"/>
      </w:divBdr>
    </w:div>
    <w:div w:id="1834448558">
      <w:bodyDiv w:val="1"/>
      <w:marLeft w:val="0"/>
      <w:marRight w:val="0"/>
      <w:marTop w:val="0"/>
      <w:marBottom w:val="0"/>
      <w:divBdr>
        <w:top w:val="none" w:sz="0" w:space="0" w:color="auto"/>
        <w:left w:val="none" w:sz="0" w:space="0" w:color="auto"/>
        <w:bottom w:val="none" w:sz="0" w:space="0" w:color="auto"/>
        <w:right w:val="none" w:sz="0" w:space="0" w:color="auto"/>
      </w:divBdr>
    </w:div>
    <w:div w:id="2045862807">
      <w:bodyDiv w:val="1"/>
      <w:marLeft w:val="0"/>
      <w:marRight w:val="0"/>
      <w:marTop w:val="0"/>
      <w:marBottom w:val="0"/>
      <w:divBdr>
        <w:top w:val="none" w:sz="0" w:space="0" w:color="auto"/>
        <w:left w:val="none" w:sz="0" w:space="0" w:color="auto"/>
        <w:bottom w:val="none" w:sz="0" w:space="0" w:color="auto"/>
        <w:right w:val="none" w:sz="0" w:space="0" w:color="auto"/>
      </w:divBdr>
    </w:div>
    <w:div w:id="21097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venice.coe.int/webforms/documents/default.aspx?pdffile=CDL-INF(2000)001-e" TargetMode="External"/><Relationship Id="rId1" Type="http://schemas.openxmlformats.org/officeDocument/2006/relationships/hyperlink" Target="https://knesset.gov.il/committees/heb/material/data/H09-02-2016_15-04-05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1342D-3020-47D1-9B0B-D9EFF725AA52}"/>
</file>

<file path=customXml/itemProps2.xml><?xml version="1.0" encoding="utf-8"?>
<ds:datastoreItem xmlns:ds="http://schemas.openxmlformats.org/officeDocument/2006/customXml" ds:itemID="{A8A08CBA-ADD8-4E28-AD97-413469CB4BBB}"/>
</file>

<file path=customXml/itemProps3.xml><?xml version="1.0" encoding="utf-8"?>
<ds:datastoreItem xmlns:ds="http://schemas.openxmlformats.org/officeDocument/2006/customXml" ds:itemID="{EC654EEF-2F53-4A3C-AA7E-D05E1C328D37}"/>
</file>

<file path=customXml/itemProps4.xml><?xml version="1.0" encoding="utf-8"?>
<ds:datastoreItem xmlns:ds="http://schemas.openxmlformats.org/officeDocument/2006/customXml" ds:itemID="{9C36056D-E02C-4AF9-A92B-EB4850C17215}"/>
</file>

<file path=docProps/app.xml><?xml version="1.0" encoding="utf-8"?>
<Properties xmlns="http://schemas.openxmlformats.org/officeDocument/2006/extended-properties" xmlns:vt="http://schemas.openxmlformats.org/officeDocument/2006/docPropsVTypes">
  <Template>Normal</Template>
  <TotalTime>196</TotalTime>
  <Pages>1</Pages>
  <Words>2066</Words>
  <Characters>10333</Characters>
  <Application>Microsoft Office Word</Application>
  <DocSecurity>0</DocSecurity>
  <Lines>86</Lines>
  <Paragraphs>24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Knesset</Company>
  <LinksUpToDate>false</LinksUpToDate>
  <CharactersWithSpaces>12375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אפרת חקאק</dc:creator>
  <cp:lastModifiedBy>אפרת חקאק</cp:lastModifiedBy>
  <cp:revision>31</cp:revision>
  <cp:lastPrinted>2016-02-15T13:14:00Z</cp:lastPrinted>
  <dcterms:created xsi:type="dcterms:W3CDTF">2016-02-15T08:41:00Z</dcterms:created>
  <dcterms:modified xsi:type="dcterms:W3CDTF">2016-02-15T13:13:00Z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