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F41" w:rsidRPr="00DA7FBB" w:rsidRDefault="000A0F41" w:rsidP="000A0F41">
      <w:pPr>
        <w:spacing w:after="0" w:line="240" w:lineRule="auto"/>
        <w:jc w:val="both"/>
        <w:rPr>
          <w:rFonts w:cs="David"/>
          <w:sz w:val="24"/>
          <w:szCs w:val="24"/>
          <w:rtl/>
        </w:rPr>
      </w:pPr>
      <w:bookmarkStart w:id="0" w:name="_GoBack"/>
      <w:bookmarkEnd w:id="0"/>
      <w:r w:rsidRPr="00E74892">
        <w:rPr>
          <w:rFonts w:cs="David" w:hint="cs"/>
          <w:sz w:val="24"/>
          <w:szCs w:val="24"/>
          <w:rtl/>
        </w:rPr>
        <w:tab/>
      </w:r>
      <w:r w:rsidRPr="00E74892">
        <w:rPr>
          <w:rFonts w:cs="David" w:hint="cs"/>
          <w:sz w:val="24"/>
          <w:szCs w:val="24"/>
          <w:rtl/>
        </w:rPr>
        <w:tab/>
      </w:r>
      <w:r w:rsidRPr="00E74892">
        <w:rPr>
          <w:rFonts w:cs="David" w:hint="cs"/>
          <w:sz w:val="24"/>
          <w:szCs w:val="24"/>
          <w:rtl/>
        </w:rPr>
        <w:tab/>
      </w:r>
      <w:r w:rsidRPr="00E74892">
        <w:rPr>
          <w:rFonts w:cs="David" w:hint="cs"/>
          <w:sz w:val="24"/>
          <w:szCs w:val="24"/>
          <w:rtl/>
        </w:rPr>
        <w:tab/>
      </w:r>
      <w:r w:rsidRPr="00E74892">
        <w:rPr>
          <w:rFonts w:cs="David" w:hint="cs"/>
          <w:sz w:val="24"/>
          <w:szCs w:val="24"/>
          <w:rtl/>
        </w:rPr>
        <w:tab/>
      </w:r>
      <w:r w:rsidRPr="00E74892">
        <w:rPr>
          <w:rFonts w:cs="David" w:hint="cs"/>
          <w:sz w:val="24"/>
          <w:szCs w:val="24"/>
          <w:rtl/>
        </w:rPr>
        <w:tab/>
      </w:r>
      <w:r w:rsidRPr="00E74892">
        <w:rPr>
          <w:rFonts w:cs="David"/>
          <w:sz w:val="24"/>
          <w:szCs w:val="24"/>
          <w:rtl/>
        </w:rPr>
        <w:tab/>
      </w:r>
      <w:r w:rsidRPr="00E74892">
        <w:rPr>
          <w:rFonts w:cs="David"/>
          <w:sz w:val="24"/>
          <w:szCs w:val="24"/>
          <w:rtl/>
        </w:rPr>
        <w:tab/>
      </w:r>
      <w:r w:rsidRPr="00E74892">
        <w:rPr>
          <w:rFonts w:cs="David"/>
          <w:sz w:val="24"/>
          <w:szCs w:val="24"/>
          <w:rtl/>
        </w:rPr>
        <w:tab/>
      </w:r>
      <w:proofErr w:type="spellStart"/>
      <w:r w:rsidRPr="00DA7FBB">
        <w:rPr>
          <w:rFonts w:cs="David" w:hint="cs"/>
          <w:sz w:val="24"/>
          <w:szCs w:val="24"/>
          <w:rtl/>
        </w:rPr>
        <w:t>יט</w:t>
      </w:r>
      <w:proofErr w:type="spellEnd"/>
      <w:r w:rsidRPr="00DA7FBB">
        <w:rPr>
          <w:rFonts w:cs="David" w:hint="cs"/>
          <w:sz w:val="24"/>
          <w:szCs w:val="24"/>
          <w:rtl/>
        </w:rPr>
        <w:t xml:space="preserve">' בכסלו </w:t>
      </w:r>
      <w:proofErr w:type="spellStart"/>
      <w:r w:rsidRPr="00DA7FBB">
        <w:rPr>
          <w:rFonts w:cs="David" w:hint="cs"/>
          <w:sz w:val="24"/>
          <w:szCs w:val="24"/>
          <w:rtl/>
        </w:rPr>
        <w:t>התשע"ו</w:t>
      </w:r>
      <w:proofErr w:type="spellEnd"/>
    </w:p>
    <w:p w:rsidR="000A0F41" w:rsidRPr="00DA7FBB" w:rsidRDefault="000A0F41" w:rsidP="000A0F41">
      <w:pPr>
        <w:spacing w:after="0" w:line="240" w:lineRule="auto"/>
        <w:jc w:val="both"/>
        <w:rPr>
          <w:rFonts w:cs="David"/>
          <w:sz w:val="24"/>
          <w:szCs w:val="24"/>
          <w:rtl/>
        </w:rPr>
      </w:pPr>
      <w:r w:rsidRPr="00DA7FBB">
        <w:rPr>
          <w:rFonts w:cs="David"/>
          <w:sz w:val="24"/>
          <w:szCs w:val="24"/>
          <w:rtl/>
        </w:rPr>
        <w:tab/>
      </w:r>
      <w:r w:rsidRPr="00DA7FBB">
        <w:rPr>
          <w:rFonts w:cs="David"/>
          <w:sz w:val="24"/>
          <w:szCs w:val="24"/>
          <w:rtl/>
        </w:rPr>
        <w:tab/>
      </w:r>
      <w:r w:rsidRPr="00DA7FBB">
        <w:rPr>
          <w:rFonts w:cs="David" w:hint="cs"/>
          <w:sz w:val="24"/>
          <w:szCs w:val="24"/>
          <w:rtl/>
        </w:rPr>
        <w:t xml:space="preserve">  </w:t>
      </w:r>
      <w:r w:rsidRPr="00DA7FBB">
        <w:rPr>
          <w:rFonts w:cs="David" w:hint="cs"/>
          <w:sz w:val="24"/>
          <w:szCs w:val="24"/>
          <w:rtl/>
        </w:rPr>
        <w:tab/>
      </w:r>
      <w:r w:rsidRPr="00DA7FBB">
        <w:rPr>
          <w:rFonts w:cs="David" w:hint="cs"/>
          <w:sz w:val="24"/>
          <w:szCs w:val="24"/>
          <w:rtl/>
        </w:rPr>
        <w:tab/>
      </w:r>
      <w:r w:rsidRPr="00DA7FBB">
        <w:rPr>
          <w:rFonts w:cs="David" w:hint="cs"/>
          <w:sz w:val="24"/>
          <w:szCs w:val="24"/>
          <w:rtl/>
        </w:rPr>
        <w:tab/>
      </w:r>
      <w:r w:rsidRPr="00DA7FBB">
        <w:rPr>
          <w:rFonts w:cs="David" w:hint="cs"/>
          <w:sz w:val="24"/>
          <w:szCs w:val="24"/>
          <w:rtl/>
        </w:rPr>
        <w:tab/>
      </w:r>
      <w:r w:rsidRPr="00DA7FBB">
        <w:rPr>
          <w:rFonts w:cs="David" w:hint="cs"/>
          <w:sz w:val="24"/>
          <w:szCs w:val="24"/>
          <w:rtl/>
        </w:rPr>
        <w:tab/>
      </w:r>
      <w:r w:rsidRPr="00DA7FBB">
        <w:rPr>
          <w:rFonts w:cs="David" w:hint="cs"/>
          <w:sz w:val="24"/>
          <w:szCs w:val="24"/>
          <w:rtl/>
        </w:rPr>
        <w:tab/>
      </w:r>
      <w:r w:rsidRPr="00DA7FBB">
        <w:rPr>
          <w:rFonts w:cs="David" w:hint="cs"/>
          <w:sz w:val="24"/>
          <w:szCs w:val="24"/>
          <w:rtl/>
        </w:rPr>
        <w:tab/>
        <w:t>1 בדצמבר   2015</w:t>
      </w:r>
    </w:p>
    <w:p w:rsidR="000A0F41" w:rsidRPr="00DA7FBB" w:rsidRDefault="000A0F41" w:rsidP="000A0F41">
      <w:pPr>
        <w:spacing w:after="0" w:line="240" w:lineRule="auto"/>
        <w:jc w:val="both"/>
        <w:rPr>
          <w:rFonts w:cs="David"/>
          <w:sz w:val="24"/>
          <w:szCs w:val="24"/>
          <w:rtl/>
        </w:rPr>
      </w:pPr>
      <w:r w:rsidRPr="00DA7FBB">
        <w:rPr>
          <w:rFonts w:cs="David" w:hint="cs"/>
          <w:sz w:val="24"/>
          <w:szCs w:val="24"/>
          <w:rtl/>
        </w:rPr>
        <w:t>אל: חברי ועדת החוקה חוק ומשפט</w:t>
      </w:r>
    </w:p>
    <w:p w:rsidR="000A0F41" w:rsidRPr="00DA7FBB" w:rsidRDefault="000A0F41" w:rsidP="000A0F41">
      <w:pPr>
        <w:spacing w:after="0" w:line="240" w:lineRule="auto"/>
        <w:jc w:val="both"/>
        <w:rPr>
          <w:rFonts w:cs="David"/>
          <w:sz w:val="24"/>
          <w:szCs w:val="24"/>
          <w:rtl/>
        </w:rPr>
      </w:pPr>
      <w:r w:rsidRPr="00DA7FBB">
        <w:rPr>
          <w:rFonts w:cs="David" w:hint="cs"/>
          <w:sz w:val="24"/>
          <w:szCs w:val="24"/>
          <w:rtl/>
        </w:rPr>
        <w:t>מאת: הייעוץ המשפטי לוועדה</w:t>
      </w:r>
    </w:p>
    <w:p w:rsidR="000A0F41" w:rsidRPr="00DA7FBB" w:rsidRDefault="000A0F41" w:rsidP="000A0F41">
      <w:pPr>
        <w:spacing w:after="0" w:line="240" w:lineRule="auto"/>
        <w:jc w:val="both"/>
        <w:rPr>
          <w:rFonts w:cs="David"/>
          <w:sz w:val="24"/>
          <w:szCs w:val="24"/>
          <w:rtl/>
        </w:rPr>
      </w:pPr>
    </w:p>
    <w:p w:rsidR="000A0F41" w:rsidRPr="00DA7FBB" w:rsidRDefault="000A0F41" w:rsidP="000A0F41">
      <w:pPr>
        <w:spacing w:before="240" w:after="0" w:line="360" w:lineRule="auto"/>
        <w:jc w:val="center"/>
        <w:rPr>
          <w:rFonts w:cs="David"/>
          <w:b/>
          <w:bCs/>
          <w:sz w:val="24"/>
          <w:szCs w:val="24"/>
          <w:u w:val="single"/>
          <w:rtl/>
        </w:rPr>
      </w:pPr>
      <w:r w:rsidRPr="00DA7FBB">
        <w:rPr>
          <w:rFonts w:cs="David" w:hint="cs"/>
          <w:b/>
          <w:bCs/>
          <w:sz w:val="24"/>
          <w:szCs w:val="24"/>
          <w:u w:val="single"/>
          <w:rtl/>
        </w:rPr>
        <w:t>מסמך רקע לקראת דיון הוועדה ביום 7.12.15 בנושא הצעת חוק לתיקון פקודת הראיות (עדות קרובים), התשע"ד-2013</w:t>
      </w:r>
    </w:p>
    <w:p w:rsidR="000A0F41" w:rsidRPr="00DA7FBB" w:rsidRDefault="000A0F41" w:rsidP="000A0F41">
      <w:pPr>
        <w:spacing w:line="360" w:lineRule="auto"/>
        <w:rPr>
          <w:rFonts w:cs="David"/>
          <w:sz w:val="24"/>
          <w:szCs w:val="24"/>
          <w:rtl/>
        </w:rPr>
      </w:pPr>
    </w:p>
    <w:p w:rsidR="000A0F41" w:rsidRPr="00DA7FBB" w:rsidRDefault="000A0F41" w:rsidP="000A0F41">
      <w:pPr>
        <w:spacing w:line="360" w:lineRule="auto"/>
        <w:jc w:val="both"/>
        <w:rPr>
          <w:rFonts w:cs="David"/>
          <w:sz w:val="24"/>
          <w:szCs w:val="24"/>
          <w:rtl/>
        </w:rPr>
      </w:pPr>
      <w:r w:rsidRPr="00DA7FBB">
        <w:rPr>
          <w:rFonts w:cs="David" w:hint="cs"/>
          <w:sz w:val="24"/>
          <w:szCs w:val="24"/>
          <w:rtl/>
        </w:rPr>
        <w:t xml:space="preserve">הצעת חוק ממשלתית זו נועדה להרחיב את החריגים לכלל השולל את כשרותם של קרובים להעיד זה לחובת זה, כך שבמקרה שהקרוב הוא שהתלונן במשטרה הוא יהיה כשר ואף חייב להעיד, ללא הבחנה לעניין סוג העבירה, </w:t>
      </w:r>
      <w:proofErr w:type="spellStart"/>
      <w:r w:rsidRPr="00DA7FBB">
        <w:rPr>
          <w:rFonts w:cs="David" w:hint="cs"/>
          <w:sz w:val="24"/>
          <w:szCs w:val="24"/>
          <w:rtl/>
        </w:rPr>
        <w:t>הכל</w:t>
      </w:r>
      <w:proofErr w:type="spellEnd"/>
      <w:r w:rsidRPr="00DA7FBB">
        <w:rPr>
          <w:rFonts w:cs="David" w:hint="cs"/>
          <w:sz w:val="24"/>
          <w:szCs w:val="24"/>
          <w:rtl/>
        </w:rPr>
        <w:t xml:space="preserve"> כפי שיפורט להלן.</w:t>
      </w:r>
    </w:p>
    <w:p w:rsidR="000A0F41" w:rsidRPr="00DA7FBB" w:rsidRDefault="000A0F41" w:rsidP="000A0F41">
      <w:pPr>
        <w:spacing w:line="360" w:lineRule="auto"/>
        <w:jc w:val="both"/>
        <w:rPr>
          <w:rFonts w:cs="David"/>
          <w:sz w:val="24"/>
          <w:szCs w:val="24"/>
          <w:rtl/>
        </w:rPr>
      </w:pPr>
      <w:r w:rsidRPr="00DA7FBB">
        <w:rPr>
          <w:rFonts w:cs="David" w:hint="cs"/>
          <w:sz w:val="24"/>
          <w:szCs w:val="24"/>
          <w:rtl/>
        </w:rPr>
        <w:t xml:space="preserve">סימן א' בפקודת הראיות [נוסח חדש], התשל"א-1971 (להלן </w:t>
      </w:r>
      <w:r w:rsidRPr="00DA7FBB">
        <w:rPr>
          <w:rFonts w:cs="David"/>
          <w:sz w:val="24"/>
          <w:szCs w:val="24"/>
          <w:rtl/>
        </w:rPr>
        <w:t>–</w:t>
      </w:r>
      <w:r w:rsidRPr="00DA7FBB">
        <w:rPr>
          <w:rFonts w:cs="David" w:hint="cs"/>
          <w:sz w:val="24"/>
          <w:szCs w:val="24"/>
          <w:rtl/>
        </w:rPr>
        <w:t xml:space="preserve"> הפקודה), עוסק בכשרותם של עדים. סעיף 2 לפקודה קובע את כשרותו של כל אדם להעיד בכל משפט: </w:t>
      </w:r>
    </w:p>
    <w:tbl>
      <w:tblPr>
        <w:tblStyle w:val="a4"/>
        <w:bidiVisual/>
        <w:tblW w:w="0" w:type="auto"/>
        <w:tblLook w:val="04A0" w:firstRow="1" w:lastRow="0" w:firstColumn="1" w:lastColumn="0" w:noHBand="0" w:noVBand="1"/>
      </w:tblPr>
      <w:tblGrid>
        <w:gridCol w:w="8296"/>
      </w:tblGrid>
      <w:tr w:rsidR="000A0F41" w:rsidRPr="00DA7FBB" w:rsidTr="00277FE9">
        <w:tc>
          <w:tcPr>
            <w:tcW w:w="8296" w:type="dxa"/>
          </w:tcPr>
          <w:p w:rsidR="000A0F41" w:rsidRPr="00DA7FBB" w:rsidRDefault="000A0F41" w:rsidP="00277FE9">
            <w:pPr>
              <w:pStyle w:val="P00"/>
              <w:spacing w:before="72" w:line="360" w:lineRule="auto"/>
              <w:ind w:left="0" w:right="1134"/>
              <w:rPr>
                <w:rStyle w:val="default"/>
                <w:rFonts w:cs="David"/>
                <w:b/>
                <w:bCs/>
                <w:sz w:val="24"/>
                <w:szCs w:val="24"/>
                <w:rtl/>
              </w:rPr>
            </w:pPr>
            <w:r w:rsidRPr="00DA7FBB">
              <w:rPr>
                <w:rStyle w:val="default"/>
                <w:rFonts w:cs="David" w:hint="cs"/>
                <w:b/>
                <w:bCs/>
                <w:sz w:val="24"/>
                <w:szCs w:val="24"/>
                <w:rtl/>
              </w:rPr>
              <w:t>"2. הכל כשרים להעיד</w:t>
            </w:r>
          </w:p>
          <w:p w:rsidR="000A0F41" w:rsidRPr="00DA7FBB" w:rsidRDefault="000A0F41" w:rsidP="00277FE9">
            <w:pPr>
              <w:pStyle w:val="P00"/>
              <w:spacing w:before="72" w:line="360" w:lineRule="auto"/>
              <w:ind w:left="0" w:right="1134"/>
              <w:rPr>
                <w:rFonts w:cs="David"/>
                <w:sz w:val="24"/>
                <w:szCs w:val="24"/>
                <w:rtl/>
              </w:rPr>
            </w:pPr>
            <w:r w:rsidRPr="00DA7FBB">
              <w:rPr>
                <w:rStyle w:val="default"/>
                <w:rFonts w:cs="David"/>
                <w:b/>
                <w:bCs/>
                <w:sz w:val="24"/>
                <w:szCs w:val="24"/>
                <w:rtl/>
              </w:rPr>
              <w:t>ה</w:t>
            </w:r>
            <w:r w:rsidRPr="00DA7FBB">
              <w:rPr>
                <w:rStyle w:val="default"/>
                <w:rFonts w:cs="David" w:hint="cs"/>
                <w:b/>
                <w:bCs/>
                <w:sz w:val="24"/>
                <w:szCs w:val="24"/>
                <w:rtl/>
              </w:rPr>
              <w:t>כל כשרים להעיד בכל משפט, בכפוף לאמור בסעיפים 3 ו-4, ואין אדם פסול להעיד מפני שהוא בעל דין בתובענה אזרחית, או מתלונן או נאשם במשפט פלילי, או מפני שהוא מעבידו, עובדו, בן זוגו או קרובו של התובע, המתלונן, הנ</w:t>
            </w:r>
            <w:r w:rsidRPr="00DA7FBB">
              <w:rPr>
                <w:rStyle w:val="default"/>
                <w:rFonts w:cs="David"/>
                <w:b/>
                <w:bCs/>
                <w:sz w:val="24"/>
                <w:szCs w:val="24"/>
                <w:rtl/>
              </w:rPr>
              <w:t>ת</w:t>
            </w:r>
            <w:r w:rsidRPr="00DA7FBB">
              <w:rPr>
                <w:rStyle w:val="default"/>
                <w:rFonts w:cs="David" w:hint="cs"/>
                <w:b/>
                <w:bCs/>
                <w:sz w:val="24"/>
                <w:szCs w:val="24"/>
                <w:rtl/>
              </w:rPr>
              <w:t>בע או הנאשם, או מפני שהורשע או נושא עונש על עבירה. "</w:t>
            </w:r>
          </w:p>
        </w:tc>
      </w:tr>
    </w:tbl>
    <w:p w:rsidR="000A0F41" w:rsidRPr="00DA7FBB" w:rsidRDefault="000A0F41" w:rsidP="000A0F41">
      <w:pPr>
        <w:spacing w:line="360" w:lineRule="auto"/>
        <w:jc w:val="both"/>
        <w:rPr>
          <w:rFonts w:cs="David"/>
          <w:sz w:val="24"/>
          <w:szCs w:val="24"/>
          <w:rtl/>
        </w:rPr>
      </w:pPr>
    </w:p>
    <w:p w:rsidR="000A0F41" w:rsidRPr="00DA7FBB" w:rsidRDefault="000A0F41" w:rsidP="000A0F41">
      <w:pPr>
        <w:spacing w:line="360" w:lineRule="auto"/>
        <w:jc w:val="both"/>
        <w:rPr>
          <w:rFonts w:cs="David"/>
          <w:sz w:val="24"/>
          <w:szCs w:val="24"/>
          <w:rtl/>
        </w:rPr>
      </w:pPr>
      <w:r w:rsidRPr="00DA7FBB">
        <w:rPr>
          <w:rFonts w:cs="David" w:hint="cs"/>
          <w:sz w:val="24"/>
          <w:szCs w:val="24"/>
          <w:rtl/>
        </w:rPr>
        <w:t xml:space="preserve">סעיפים 3 ו- 4 לפקודה קובעים סייגים לכלל זה: </w:t>
      </w:r>
    </w:p>
    <w:tbl>
      <w:tblPr>
        <w:tblStyle w:val="a4"/>
        <w:bidiVisual/>
        <w:tblW w:w="0" w:type="auto"/>
        <w:tblLook w:val="04A0" w:firstRow="1" w:lastRow="0" w:firstColumn="1" w:lastColumn="0" w:noHBand="0" w:noVBand="1"/>
      </w:tblPr>
      <w:tblGrid>
        <w:gridCol w:w="8296"/>
      </w:tblGrid>
      <w:tr w:rsidR="000A0F41" w:rsidRPr="00DA7FBB" w:rsidTr="00277FE9">
        <w:tc>
          <w:tcPr>
            <w:tcW w:w="8296" w:type="dxa"/>
          </w:tcPr>
          <w:p w:rsidR="000A0F41" w:rsidRPr="00DA7FBB" w:rsidRDefault="000A0F41" w:rsidP="00277FE9">
            <w:pPr>
              <w:spacing w:line="360" w:lineRule="auto"/>
              <w:jc w:val="both"/>
              <w:rPr>
                <w:rStyle w:val="default"/>
                <w:rFonts w:cs="David"/>
                <w:b/>
                <w:bCs/>
                <w:sz w:val="24"/>
                <w:szCs w:val="24"/>
                <w:rtl/>
              </w:rPr>
            </w:pPr>
            <w:r w:rsidRPr="00DA7FBB">
              <w:rPr>
                <w:rStyle w:val="default"/>
                <w:rFonts w:cs="David" w:hint="cs"/>
                <w:b/>
                <w:bCs/>
                <w:sz w:val="24"/>
                <w:szCs w:val="24"/>
                <w:rtl/>
              </w:rPr>
              <w:t>"3. סייג לעדותם של בני זוג</w:t>
            </w:r>
          </w:p>
          <w:p w:rsidR="000A0F41" w:rsidRPr="00DA7FBB" w:rsidRDefault="000A0F41" w:rsidP="00277FE9">
            <w:pPr>
              <w:spacing w:line="360" w:lineRule="auto"/>
              <w:jc w:val="both"/>
              <w:rPr>
                <w:rFonts w:cs="David"/>
                <w:sz w:val="24"/>
                <w:szCs w:val="24"/>
                <w:rtl/>
              </w:rPr>
            </w:pPr>
            <w:r w:rsidRPr="00DA7FBB">
              <w:rPr>
                <w:rStyle w:val="default"/>
                <w:rFonts w:cs="David"/>
                <w:b/>
                <w:bCs/>
                <w:sz w:val="24"/>
                <w:szCs w:val="24"/>
                <w:rtl/>
              </w:rPr>
              <w:t>ב</w:t>
            </w:r>
            <w:r w:rsidRPr="00DA7FBB">
              <w:rPr>
                <w:rStyle w:val="default"/>
                <w:rFonts w:cs="David" w:hint="cs"/>
                <w:b/>
                <w:bCs/>
                <w:sz w:val="24"/>
                <w:szCs w:val="24"/>
                <w:rtl/>
              </w:rPr>
              <w:t>משפט פלילי אין בן זוג כשר להעיד לחובת בן זוגו, ואין כופים אותו להעיד לחובת אדם המואשם יחד עם בן זוגו בכתב אישום אחד.</w:t>
            </w:r>
          </w:p>
        </w:tc>
      </w:tr>
      <w:tr w:rsidR="000A0F41" w:rsidRPr="00DA7FBB" w:rsidTr="00277FE9">
        <w:tc>
          <w:tcPr>
            <w:tcW w:w="8296" w:type="dxa"/>
          </w:tcPr>
          <w:p w:rsidR="000A0F41" w:rsidRPr="00DA7FBB" w:rsidRDefault="000A0F41" w:rsidP="00277FE9">
            <w:pPr>
              <w:spacing w:line="360" w:lineRule="auto"/>
              <w:jc w:val="both"/>
              <w:rPr>
                <w:rFonts w:cs="David"/>
                <w:sz w:val="24"/>
                <w:szCs w:val="24"/>
                <w:rtl/>
              </w:rPr>
            </w:pPr>
            <w:r w:rsidRPr="00DA7FBB">
              <w:rPr>
                <w:rStyle w:val="default"/>
                <w:rFonts w:cs="David" w:hint="cs"/>
                <w:b/>
                <w:bCs/>
                <w:sz w:val="24"/>
                <w:szCs w:val="24"/>
                <w:rtl/>
              </w:rPr>
              <w:t>4. סייג לעדותם של הורה וילד</w:t>
            </w:r>
          </w:p>
          <w:p w:rsidR="000A0F41" w:rsidRPr="00DA7FBB" w:rsidRDefault="000A0F41" w:rsidP="00277FE9">
            <w:pPr>
              <w:spacing w:line="360" w:lineRule="auto"/>
              <w:jc w:val="both"/>
              <w:rPr>
                <w:rFonts w:cs="David"/>
                <w:sz w:val="24"/>
                <w:szCs w:val="24"/>
                <w:rtl/>
              </w:rPr>
            </w:pPr>
            <w:r w:rsidRPr="00DA7FBB">
              <w:rPr>
                <w:rStyle w:val="default"/>
                <w:rFonts w:cs="David"/>
                <w:b/>
                <w:bCs/>
                <w:sz w:val="24"/>
                <w:szCs w:val="24"/>
                <w:rtl/>
              </w:rPr>
              <w:t>ב</w:t>
            </w:r>
            <w:r w:rsidRPr="00DA7FBB">
              <w:rPr>
                <w:rStyle w:val="default"/>
                <w:rFonts w:cs="David" w:hint="cs"/>
                <w:b/>
                <w:bCs/>
                <w:sz w:val="24"/>
                <w:szCs w:val="24"/>
                <w:rtl/>
              </w:rPr>
              <w:t>משפט פלילי אין הורה וילד כשרים להעיד האחד לחובת משנהו, ואין כופים אחד מהם ל</w:t>
            </w:r>
            <w:r w:rsidRPr="00DA7FBB">
              <w:rPr>
                <w:rStyle w:val="default"/>
                <w:rFonts w:cs="David"/>
                <w:b/>
                <w:bCs/>
                <w:sz w:val="24"/>
                <w:szCs w:val="24"/>
                <w:rtl/>
              </w:rPr>
              <w:t>ה</w:t>
            </w:r>
            <w:r w:rsidRPr="00DA7FBB">
              <w:rPr>
                <w:rStyle w:val="default"/>
                <w:rFonts w:cs="David" w:hint="cs"/>
                <w:b/>
                <w:bCs/>
                <w:sz w:val="24"/>
                <w:szCs w:val="24"/>
                <w:rtl/>
              </w:rPr>
              <w:t>עיד לחובת אדם המואשם יחד עם משנהו בכתב-אישום אחד."</w:t>
            </w:r>
          </w:p>
        </w:tc>
      </w:tr>
    </w:tbl>
    <w:p w:rsidR="000A0F41" w:rsidRPr="00DA7FBB" w:rsidRDefault="000A0F41" w:rsidP="000A0F41">
      <w:pPr>
        <w:spacing w:line="360" w:lineRule="auto"/>
        <w:jc w:val="both"/>
        <w:rPr>
          <w:rFonts w:cs="David"/>
          <w:sz w:val="24"/>
          <w:szCs w:val="24"/>
          <w:u w:val="single"/>
          <w:rtl/>
        </w:rPr>
      </w:pPr>
    </w:p>
    <w:p w:rsidR="000A0F41" w:rsidRPr="00DA7FBB" w:rsidRDefault="000A0F41" w:rsidP="000A0F41">
      <w:pPr>
        <w:spacing w:line="360" w:lineRule="auto"/>
        <w:jc w:val="both"/>
        <w:rPr>
          <w:rFonts w:cs="David"/>
          <w:sz w:val="24"/>
          <w:szCs w:val="24"/>
          <w:rtl/>
        </w:rPr>
      </w:pPr>
      <w:r w:rsidRPr="00DA7FBB">
        <w:rPr>
          <w:rFonts w:cs="David" w:hint="cs"/>
          <w:sz w:val="24"/>
          <w:szCs w:val="24"/>
          <w:rtl/>
        </w:rPr>
        <w:t>לפי סעיפים 3 ו-4,</w:t>
      </w:r>
      <w:r w:rsidRPr="00DA7FBB">
        <w:rPr>
          <w:rFonts w:cs="David" w:hint="cs"/>
          <w:sz w:val="24"/>
          <w:szCs w:val="24"/>
          <w:u w:val="single"/>
          <w:rtl/>
        </w:rPr>
        <w:t xml:space="preserve"> במשפט פלילי</w:t>
      </w:r>
      <w:r w:rsidRPr="00DA7FBB">
        <w:rPr>
          <w:rFonts w:cs="David" w:hint="cs"/>
          <w:sz w:val="24"/>
          <w:szCs w:val="24"/>
          <w:rtl/>
        </w:rPr>
        <w:t xml:space="preserve"> בן זוג והורה וילד (להלן </w:t>
      </w:r>
      <w:r w:rsidRPr="00DA7FBB">
        <w:rPr>
          <w:rFonts w:cs="David"/>
          <w:sz w:val="24"/>
          <w:szCs w:val="24"/>
          <w:rtl/>
        </w:rPr>
        <w:t>–</w:t>
      </w:r>
      <w:r w:rsidRPr="00DA7FBB">
        <w:rPr>
          <w:rFonts w:cs="David" w:hint="cs"/>
          <w:sz w:val="24"/>
          <w:szCs w:val="24"/>
          <w:rtl/>
        </w:rPr>
        <w:t xml:space="preserve"> קרובים) אינם כשרים להעיד האחד </w:t>
      </w:r>
      <w:r w:rsidRPr="00DA7FBB">
        <w:rPr>
          <w:rFonts w:cs="David" w:hint="cs"/>
          <w:sz w:val="24"/>
          <w:szCs w:val="24"/>
          <w:u w:val="single"/>
          <w:rtl/>
        </w:rPr>
        <w:t xml:space="preserve">לחובת </w:t>
      </w:r>
      <w:r w:rsidRPr="00DA7FBB">
        <w:rPr>
          <w:rFonts w:cs="David" w:hint="cs"/>
          <w:sz w:val="24"/>
          <w:szCs w:val="24"/>
          <w:rtl/>
        </w:rPr>
        <w:t xml:space="preserve">משנהו. תכלית הסייג היא למנוע פגיעה בתא המשפחתי והעמדת אדם במצב בו הוא נאלץ לפגוע בקרוב משפחתו. </w:t>
      </w:r>
    </w:p>
    <w:p w:rsidR="000A0F41" w:rsidRPr="00DA7FBB" w:rsidRDefault="000A0F41" w:rsidP="000A0F41">
      <w:pPr>
        <w:spacing w:line="360" w:lineRule="auto"/>
        <w:jc w:val="both"/>
        <w:rPr>
          <w:rFonts w:cs="David"/>
          <w:sz w:val="24"/>
          <w:szCs w:val="24"/>
          <w:rtl/>
        </w:rPr>
      </w:pPr>
      <w:r w:rsidRPr="00DA7FBB">
        <w:rPr>
          <w:noProof/>
        </w:rPr>
        <mc:AlternateContent>
          <mc:Choice Requires="wps">
            <w:drawing>
              <wp:anchor distT="0" distB="0" distL="114300" distR="114300" simplePos="0" relativeHeight="251659264" behindDoc="0" locked="1" layoutInCell="0" allowOverlap="1" wp14:anchorId="157250F3" wp14:editId="5D983219">
                <wp:simplePos x="0" y="0"/>
                <wp:positionH relativeFrom="column">
                  <wp:posOffset>5899150</wp:posOffset>
                </wp:positionH>
                <wp:positionV relativeFrom="paragraph">
                  <wp:posOffset>102235</wp:posOffset>
                </wp:positionV>
                <wp:extent cx="953135" cy="203200"/>
                <wp:effectExtent l="1270" t="0" r="0" b="0"/>
                <wp:wrapNone/>
                <wp:docPr id="16" name="מלבן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0A0F41" w:rsidRDefault="000A0F41" w:rsidP="000A0F41">
                            <w:pPr>
                              <w:spacing w:line="160" w:lineRule="exact"/>
                              <w:rPr>
                                <w:rFonts w:cs="Miriam"/>
                                <w:noProof/>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250F3" id="מלבן 16" o:spid="_x0000_s1026" style="position:absolute;left:0;text-align:left;margin-left:464.5pt;margin-top:8.05pt;width:75.05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" o:allowincell="f" filled="f" stroked="f" strokecolor="lime" strokeweight=".25pt">
                <v:textbox inset="0,0,0,0">
                  <w:txbxContent>
                    <w:p w:rsidR="000A0F41" w:rsidRDefault="000A0F41" w:rsidP="000A0F41">
                      <w:pPr>
                        <w:spacing w:line="160" w:lineRule="exact"/>
                        <w:rPr>
                          <w:rFonts w:cs="Miriam"/>
                          <w:noProof/>
                          <w:szCs w:val="18"/>
                          <w:rtl/>
                        </w:rPr>
                      </w:pPr>
                    </w:p>
                  </w:txbxContent>
                </v:textbox>
                <w10:anchorlock/>
              </v:rect>
            </w:pict>
          </mc:Fallback>
        </mc:AlternateContent>
      </w:r>
      <w:r w:rsidRPr="00DA7FBB">
        <w:rPr>
          <w:rFonts w:cs="David" w:hint="cs"/>
          <w:sz w:val="24"/>
          <w:szCs w:val="24"/>
          <w:rtl/>
        </w:rPr>
        <w:t xml:space="preserve">יחד עם זאת, לסייגים אלה נקבעו מספר </w:t>
      </w:r>
      <w:r w:rsidRPr="00DA7FBB">
        <w:rPr>
          <w:rFonts w:cs="David" w:hint="cs"/>
          <w:sz w:val="24"/>
          <w:szCs w:val="24"/>
          <w:u w:val="single"/>
          <w:rtl/>
        </w:rPr>
        <w:t xml:space="preserve">חריגים </w:t>
      </w:r>
      <w:r w:rsidRPr="00DA7FBB">
        <w:rPr>
          <w:rFonts w:cs="David" w:hint="cs"/>
          <w:sz w:val="24"/>
          <w:szCs w:val="24"/>
          <w:rtl/>
        </w:rPr>
        <w:t xml:space="preserve">המפורטים בסעיף 5 לפקודה, ובהם הקרובים </w:t>
      </w:r>
      <w:r w:rsidRPr="00DA7FBB">
        <w:rPr>
          <w:rFonts w:cs="David" w:hint="cs"/>
          <w:sz w:val="24"/>
          <w:szCs w:val="24"/>
          <w:u w:val="single"/>
          <w:rtl/>
        </w:rPr>
        <w:t>כשרים וחייבים להעיד</w:t>
      </w:r>
      <w:r w:rsidRPr="00DA7FBB">
        <w:rPr>
          <w:rFonts w:cs="David" w:hint="cs"/>
          <w:sz w:val="24"/>
          <w:szCs w:val="24"/>
          <w:rtl/>
        </w:rPr>
        <w:t xml:space="preserve"> ככל אדם:</w:t>
      </w:r>
    </w:p>
    <w:tbl>
      <w:tblPr>
        <w:tblStyle w:val="a4"/>
        <w:bidiVisual/>
        <w:tblW w:w="0" w:type="auto"/>
        <w:tblLook w:val="04A0" w:firstRow="1" w:lastRow="0" w:firstColumn="1" w:lastColumn="0" w:noHBand="0" w:noVBand="1"/>
      </w:tblPr>
      <w:tblGrid>
        <w:gridCol w:w="8296"/>
      </w:tblGrid>
      <w:tr w:rsidR="000A0F41" w:rsidRPr="00DA7FBB" w:rsidTr="00277FE9">
        <w:tc>
          <w:tcPr>
            <w:tcW w:w="8296" w:type="dxa"/>
          </w:tcPr>
          <w:p w:rsidR="000A0F41" w:rsidRPr="00DA7FBB" w:rsidRDefault="000A0F41" w:rsidP="00277FE9">
            <w:pPr>
              <w:pStyle w:val="P00"/>
              <w:spacing w:before="0" w:after="120" w:line="360" w:lineRule="auto"/>
              <w:ind w:left="0" w:right="1134"/>
              <w:rPr>
                <w:rStyle w:val="default"/>
                <w:rFonts w:cs="David"/>
                <w:b/>
                <w:bCs/>
                <w:sz w:val="24"/>
                <w:szCs w:val="24"/>
                <w:rtl/>
              </w:rPr>
            </w:pPr>
            <w:r w:rsidRPr="00DA7FBB">
              <w:rPr>
                <w:rStyle w:val="default"/>
                <w:rFonts w:cs="David" w:hint="cs"/>
                <w:b/>
                <w:bCs/>
                <w:sz w:val="24"/>
                <w:szCs w:val="24"/>
                <w:rtl/>
              </w:rPr>
              <w:lastRenderedPageBreak/>
              <w:t>"5.עדות מותרת</w:t>
            </w:r>
          </w:p>
          <w:p w:rsidR="000A0F41" w:rsidRPr="00DA7FBB" w:rsidRDefault="000A0F41" w:rsidP="00277FE9">
            <w:pPr>
              <w:pStyle w:val="P00"/>
              <w:spacing w:before="0" w:after="120" w:line="360" w:lineRule="auto"/>
              <w:ind w:left="0" w:right="1134"/>
              <w:rPr>
                <w:rStyle w:val="default"/>
                <w:rFonts w:cs="David"/>
                <w:b/>
                <w:bCs/>
                <w:sz w:val="24"/>
                <w:szCs w:val="24"/>
                <w:rtl/>
              </w:rPr>
            </w:pPr>
            <w:r w:rsidRPr="00DA7FBB">
              <w:rPr>
                <w:rStyle w:val="default"/>
                <w:rFonts w:cs="David"/>
                <w:b/>
                <w:bCs/>
                <w:sz w:val="24"/>
                <w:szCs w:val="24"/>
                <w:rtl/>
              </w:rPr>
              <w:t>ה</w:t>
            </w:r>
            <w:r w:rsidRPr="00DA7FBB">
              <w:rPr>
                <w:rStyle w:val="default"/>
                <w:rFonts w:cs="David" w:hint="cs"/>
                <w:b/>
                <w:bCs/>
                <w:sz w:val="24"/>
                <w:szCs w:val="24"/>
                <w:rtl/>
              </w:rPr>
              <w:t>סייגים שבסעיפים 3 ו-4 לא יחולו במשפט פלילי בשל אחד מאלה:</w:t>
            </w:r>
          </w:p>
          <w:p w:rsidR="000A0F41" w:rsidRPr="00DA7FBB" w:rsidRDefault="000A0F41" w:rsidP="00277FE9">
            <w:pPr>
              <w:pStyle w:val="P11"/>
              <w:spacing w:before="0" w:after="120" w:line="360" w:lineRule="auto"/>
              <w:ind w:left="624" w:right="1134"/>
              <w:rPr>
                <w:rStyle w:val="default"/>
                <w:rFonts w:cs="David"/>
                <w:b/>
                <w:bCs/>
                <w:sz w:val="24"/>
                <w:szCs w:val="24"/>
                <w:rtl/>
              </w:rPr>
            </w:pPr>
            <w:r w:rsidRPr="00DA7FBB">
              <w:rPr>
                <w:rStyle w:val="default"/>
                <w:rFonts w:cs="David"/>
                <w:b/>
                <w:bCs/>
                <w:sz w:val="24"/>
                <w:szCs w:val="24"/>
                <w:rtl/>
              </w:rPr>
              <w:t>(1)</w:t>
            </w:r>
            <w:r w:rsidRPr="00DA7FBB">
              <w:rPr>
                <w:rStyle w:val="default"/>
                <w:rFonts w:cs="David"/>
                <w:b/>
                <w:bCs/>
                <w:sz w:val="24"/>
                <w:szCs w:val="24"/>
                <w:rtl/>
              </w:rPr>
              <w:tab/>
            </w:r>
            <w:r w:rsidRPr="00DA7FBB">
              <w:rPr>
                <w:rStyle w:val="default"/>
                <w:rFonts w:cs="David" w:hint="cs"/>
                <w:b/>
                <w:bCs/>
                <w:sz w:val="24"/>
                <w:szCs w:val="24"/>
                <w:rtl/>
              </w:rPr>
              <w:t>חבלת גוף או אלימות או איום באחד מאלה;</w:t>
            </w:r>
          </w:p>
          <w:p w:rsidR="000A0F41" w:rsidRPr="00DA7FBB" w:rsidRDefault="000A0F41" w:rsidP="00277FE9">
            <w:pPr>
              <w:pStyle w:val="P11"/>
              <w:spacing w:before="0" w:after="120" w:line="360" w:lineRule="auto"/>
              <w:ind w:left="624" w:right="1134"/>
              <w:rPr>
                <w:rFonts w:cs="David"/>
                <w:b/>
                <w:bCs/>
                <w:sz w:val="24"/>
                <w:szCs w:val="24"/>
                <w:rtl/>
              </w:rPr>
            </w:pPr>
            <w:r w:rsidRPr="00DA7FBB">
              <w:rPr>
                <w:rStyle w:val="default"/>
                <w:rFonts w:cs="David" w:hint="cs"/>
                <w:b/>
                <w:bCs/>
                <w:sz w:val="24"/>
                <w:szCs w:val="24"/>
                <w:rtl/>
              </w:rPr>
              <w:t>(2)</w:t>
            </w:r>
            <w:r w:rsidRPr="00DA7FBB">
              <w:rPr>
                <w:rStyle w:val="default"/>
                <w:rFonts w:cs="David"/>
                <w:b/>
                <w:bCs/>
                <w:sz w:val="24"/>
                <w:szCs w:val="24"/>
                <w:rtl/>
              </w:rPr>
              <w:tab/>
            </w:r>
            <w:r w:rsidRPr="00DA7FBB">
              <w:rPr>
                <w:rStyle w:val="default"/>
                <w:rFonts w:cs="David" w:hint="cs"/>
                <w:b/>
                <w:bCs/>
                <w:sz w:val="24"/>
                <w:szCs w:val="24"/>
                <w:rtl/>
              </w:rPr>
              <w:t xml:space="preserve">עבירה לפי סעיפים 337 </w:t>
            </w:r>
            <w:r w:rsidRPr="00DA7FBB">
              <w:rPr>
                <w:rStyle w:val="default"/>
                <w:rFonts w:cs="David" w:hint="cs"/>
                <w:sz w:val="24"/>
                <w:szCs w:val="24"/>
                <w:rtl/>
              </w:rPr>
              <w:t>(הפרת חובה של הורה או אחראי)</w:t>
            </w:r>
            <w:r w:rsidRPr="00DA7FBB">
              <w:rPr>
                <w:rStyle w:val="default"/>
                <w:rFonts w:cs="David" w:hint="cs"/>
                <w:b/>
                <w:bCs/>
                <w:sz w:val="24"/>
                <w:szCs w:val="24"/>
                <w:rtl/>
              </w:rPr>
              <w:t xml:space="preserve"> או 362 </w:t>
            </w:r>
            <w:r w:rsidRPr="00DA7FBB">
              <w:rPr>
                <w:rStyle w:val="default"/>
                <w:rFonts w:cs="David" w:hint="cs"/>
                <w:sz w:val="24"/>
                <w:szCs w:val="24"/>
                <w:rtl/>
              </w:rPr>
              <w:t>(הזנחת ילדים או מושגחים אחרים)</w:t>
            </w:r>
            <w:r w:rsidRPr="00DA7FBB">
              <w:rPr>
                <w:rStyle w:val="default"/>
                <w:rFonts w:cs="David" w:hint="cs"/>
                <w:b/>
                <w:bCs/>
                <w:sz w:val="24"/>
                <w:szCs w:val="24"/>
                <w:rtl/>
              </w:rPr>
              <w:t xml:space="preserve"> לחוק העונשין, תשל"ז</w:t>
            </w:r>
            <w:r w:rsidRPr="00DA7FBB">
              <w:rPr>
                <w:rStyle w:val="default"/>
                <w:rFonts w:cs="David"/>
                <w:b/>
                <w:bCs/>
                <w:sz w:val="24"/>
                <w:szCs w:val="24"/>
                <w:rtl/>
              </w:rPr>
              <w:t>–</w:t>
            </w:r>
            <w:r w:rsidRPr="00DA7FBB">
              <w:rPr>
                <w:rStyle w:val="default"/>
                <w:rFonts w:cs="David" w:hint="cs"/>
                <w:b/>
                <w:bCs/>
                <w:sz w:val="24"/>
                <w:szCs w:val="24"/>
                <w:rtl/>
              </w:rPr>
              <w:t xml:space="preserve">1977 (להלן </w:t>
            </w:r>
            <w:r w:rsidRPr="00DA7FBB">
              <w:rPr>
                <w:rStyle w:val="default"/>
                <w:rFonts w:cs="David"/>
                <w:b/>
                <w:bCs/>
                <w:sz w:val="24"/>
                <w:szCs w:val="24"/>
                <w:rtl/>
              </w:rPr>
              <w:t>—</w:t>
            </w:r>
            <w:r w:rsidRPr="00DA7FBB">
              <w:rPr>
                <w:rStyle w:val="default"/>
                <w:rFonts w:cs="David" w:hint="cs"/>
                <w:b/>
                <w:bCs/>
                <w:sz w:val="24"/>
                <w:szCs w:val="24"/>
                <w:rtl/>
              </w:rPr>
              <w:t xml:space="preserve"> חוק העונשין), או לפי סימן י' בפרק </w:t>
            </w:r>
            <w:r w:rsidRPr="00DA7FBB">
              <w:rPr>
                <w:rStyle w:val="default"/>
                <w:rFonts w:cs="David"/>
                <w:b/>
                <w:bCs/>
                <w:sz w:val="24"/>
                <w:szCs w:val="24"/>
                <w:rtl/>
              </w:rPr>
              <w:t>ח</w:t>
            </w:r>
            <w:r w:rsidRPr="00DA7FBB">
              <w:rPr>
                <w:rStyle w:val="default"/>
                <w:rFonts w:cs="David" w:hint="cs"/>
                <w:b/>
                <w:bCs/>
                <w:sz w:val="24"/>
                <w:szCs w:val="24"/>
                <w:rtl/>
              </w:rPr>
              <w:t xml:space="preserve">' </w:t>
            </w:r>
            <w:r w:rsidRPr="00DA7FBB">
              <w:rPr>
                <w:rStyle w:val="default"/>
                <w:rFonts w:cs="David" w:hint="cs"/>
                <w:sz w:val="24"/>
                <w:szCs w:val="24"/>
                <w:rtl/>
              </w:rPr>
              <w:t>(עבירות זנות ותועבה)</w:t>
            </w:r>
            <w:r w:rsidRPr="00DA7FBB">
              <w:rPr>
                <w:rStyle w:val="default"/>
                <w:rFonts w:cs="David" w:hint="cs"/>
                <w:b/>
                <w:bCs/>
                <w:sz w:val="24"/>
                <w:szCs w:val="24"/>
                <w:rtl/>
              </w:rPr>
              <w:t xml:space="preserve"> ולפי סימנים ה' </w:t>
            </w:r>
            <w:r w:rsidRPr="00DA7FBB">
              <w:rPr>
                <w:rStyle w:val="default"/>
                <w:rFonts w:cs="David" w:hint="cs"/>
                <w:sz w:val="24"/>
                <w:szCs w:val="24"/>
                <w:rtl/>
              </w:rPr>
              <w:t xml:space="preserve">(עבירות מין) </w:t>
            </w:r>
            <w:r w:rsidRPr="00DA7FBB">
              <w:rPr>
                <w:rStyle w:val="default"/>
                <w:rFonts w:cs="David" w:hint="cs"/>
                <w:b/>
                <w:bCs/>
                <w:sz w:val="24"/>
                <w:szCs w:val="24"/>
                <w:rtl/>
              </w:rPr>
              <w:t xml:space="preserve">או ו'1 בפרק י' לחוק העונשין </w:t>
            </w:r>
            <w:r w:rsidRPr="00DA7FBB">
              <w:rPr>
                <w:rStyle w:val="default"/>
                <w:rFonts w:cs="David" w:hint="cs"/>
                <w:sz w:val="24"/>
                <w:szCs w:val="24"/>
                <w:rtl/>
              </w:rPr>
              <w:t>(פגיעה בקטינים וחסרי ישע)</w:t>
            </w:r>
            <w:r w:rsidRPr="00DA7FBB">
              <w:rPr>
                <w:rStyle w:val="default"/>
                <w:rFonts w:cs="David" w:hint="cs"/>
                <w:b/>
                <w:bCs/>
                <w:sz w:val="24"/>
                <w:szCs w:val="24"/>
                <w:rtl/>
              </w:rPr>
              <w:t>, שעבר בן זוג נגד בן זוגו, הורה נגד ילדו או ילד נגד הורהו;</w:t>
            </w:r>
          </w:p>
          <w:p w:rsidR="000A0F41" w:rsidRPr="00DA7FBB" w:rsidRDefault="000A0F41" w:rsidP="00277FE9">
            <w:pPr>
              <w:pStyle w:val="P11"/>
              <w:spacing w:before="0" w:after="120" w:line="360" w:lineRule="auto"/>
              <w:ind w:left="624" w:right="1134"/>
              <w:rPr>
                <w:rFonts w:cs="David"/>
                <w:b/>
                <w:bCs/>
                <w:sz w:val="24"/>
                <w:szCs w:val="24"/>
                <w:rtl/>
              </w:rPr>
            </w:pPr>
            <w:r w:rsidRPr="00DA7FBB">
              <w:rPr>
                <w:rStyle w:val="default"/>
                <w:rFonts w:cs="David" w:hint="cs"/>
                <w:b/>
                <w:bCs/>
                <w:sz w:val="24"/>
                <w:szCs w:val="24"/>
                <w:rtl/>
              </w:rPr>
              <w:t>(2א) עבירה לפי סעיף 287 לחוק העונשין, לעניין הפרת צו הגנה לפי חוק למניעת אלימות במשפחה, תשנ"א</w:t>
            </w:r>
            <w:r w:rsidRPr="00DA7FBB">
              <w:rPr>
                <w:rStyle w:val="default"/>
                <w:rFonts w:cs="David"/>
                <w:b/>
                <w:bCs/>
                <w:sz w:val="24"/>
                <w:szCs w:val="24"/>
                <w:rtl/>
              </w:rPr>
              <w:t>–</w:t>
            </w:r>
            <w:r w:rsidRPr="00DA7FBB">
              <w:rPr>
                <w:rStyle w:val="default"/>
                <w:rFonts w:cs="David" w:hint="cs"/>
                <w:b/>
                <w:bCs/>
                <w:sz w:val="24"/>
                <w:szCs w:val="24"/>
                <w:rtl/>
              </w:rPr>
              <w:t>1991, או לעניין הפרת צו שיפוטי אחר לפי כל דין, שעניינו הג</w:t>
            </w:r>
            <w:r w:rsidRPr="00DA7FBB">
              <w:rPr>
                <w:rStyle w:val="default"/>
                <w:rFonts w:cs="David"/>
                <w:b/>
                <w:bCs/>
                <w:sz w:val="24"/>
                <w:szCs w:val="24"/>
                <w:rtl/>
              </w:rPr>
              <w:t>נ</w:t>
            </w:r>
            <w:r w:rsidRPr="00DA7FBB">
              <w:rPr>
                <w:rStyle w:val="default"/>
                <w:rFonts w:cs="David" w:hint="cs"/>
                <w:b/>
                <w:bCs/>
                <w:sz w:val="24"/>
                <w:szCs w:val="24"/>
                <w:rtl/>
              </w:rPr>
              <w:t>ת בן זוגו, ילדו או הורהו של המפר, מפניו;</w:t>
            </w:r>
          </w:p>
          <w:p w:rsidR="000A0F41" w:rsidRPr="00DA7FBB" w:rsidRDefault="000A0F41" w:rsidP="00277FE9">
            <w:pPr>
              <w:pStyle w:val="P11"/>
              <w:spacing w:before="0" w:after="120" w:line="360" w:lineRule="auto"/>
              <w:ind w:left="624" w:right="1134"/>
              <w:rPr>
                <w:rFonts w:cs="David"/>
                <w:b/>
                <w:bCs/>
                <w:sz w:val="24"/>
                <w:szCs w:val="24"/>
                <w:rtl/>
              </w:rPr>
            </w:pPr>
            <w:r w:rsidRPr="00DA7FBB">
              <w:rPr>
                <w:rStyle w:val="default"/>
                <w:rFonts w:cs="David" w:hint="cs"/>
                <w:b/>
                <w:bCs/>
                <w:sz w:val="24"/>
                <w:szCs w:val="24"/>
                <w:rtl/>
              </w:rPr>
              <w:t xml:space="preserve">(3) עבירה לפי סעיפים 244 עד 246, 249 ו-249א </w:t>
            </w:r>
            <w:r w:rsidRPr="00DA7FBB">
              <w:rPr>
                <w:rStyle w:val="default"/>
                <w:rFonts w:cs="David" w:hint="cs"/>
                <w:sz w:val="24"/>
                <w:szCs w:val="24"/>
                <w:rtl/>
              </w:rPr>
              <w:t xml:space="preserve">(עבירות שיבוש הליכי משפט, הדחת עדים ועוד) </w:t>
            </w:r>
            <w:r w:rsidRPr="00DA7FBB">
              <w:rPr>
                <w:rStyle w:val="default"/>
                <w:rFonts w:cs="David" w:hint="cs"/>
                <w:b/>
                <w:bCs/>
                <w:sz w:val="24"/>
                <w:szCs w:val="24"/>
                <w:rtl/>
              </w:rPr>
              <w:t>לחוק העונשין, שנעברה בקשר לאחת העבירות המפורטות בסעיף זה;</w:t>
            </w:r>
          </w:p>
          <w:p w:rsidR="000A0F41" w:rsidRPr="00DA7FBB" w:rsidRDefault="000A0F41" w:rsidP="00277FE9">
            <w:pPr>
              <w:pStyle w:val="P11"/>
              <w:spacing w:before="0" w:after="120" w:line="360" w:lineRule="auto"/>
              <w:ind w:left="624" w:right="1134"/>
              <w:rPr>
                <w:rFonts w:cs="David"/>
                <w:b/>
                <w:bCs/>
                <w:sz w:val="24"/>
                <w:szCs w:val="24"/>
                <w:rtl/>
              </w:rPr>
            </w:pPr>
            <w:r w:rsidRPr="00DA7FBB">
              <w:rPr>
                <w:rStyle w:val="default"/>
                <w:rFonts w:cs="David"/>
                <w:b/>
                <w:bCs/>
                <w:sz w:val="24"/>
                <w:szCs w:val="24"/>
                <w:rtl/>
              </w:rPr>
              <w:t>(4)</w:t>
            </w:r>
            <w:r w:rsidRPr="00DA7FBB">
              <w:rPr>
                <w:rStyle w:val="default"/>
                <w:rFonts w:cs="David"/>
                <w:b/>
                <w:bCs/>
                <w:sz w:val="24"/>
                <w:szCs w:val="24"/>
                <w:rtl/>
              </w:rPr>
              <w:tab/>
            </w:r>
            <w:r w:rsidRPr="00DA7FBB">
              <w:rPr>
                <w:rStyle w:val="default"/>
                <w:rFonts w:cs="David" w:hint="cs"/>
                <w:b/>
                <w:bCs/>
                <w:sz w:val="24"/>
                <w:szCs w:val="24"/>
                <w:rtl/>
              </w:rPr>
              <w:t>נסיון לעבור אחת העבירות המפורטות בסעיף זה. "</w:t>
            </w:r>
          </w:p>
          <w:p w:rsidR="000A0F41" w:rsidRPr="00DA7FBB" w:rsidRDefault="000A0F41" w:rsidP="00277FE9">
            <w:pPr>
              <w:pStyle w:val="P11"/>
              <w:spacing w:before="72"/>
              <w:ind w:left="624" w:right="1134"/>
              <w:rPr>
                <w:rFonts w:cs="David"/>
                <w:sz w:val="24"/>
                <w:szCs w:val="24"/>
                <w:rtl/>
              </w:rPr>
            </w:pPr>
          </w:p>
        </w:tc>
      </w:tr>
    </w:tbl>
    <w:p w:rsidR="000A0F41" w:rsidRPr="00DA7FBB" w:rsidRDefault="000A0F41" w:rsidP="000A0F41">
      <w:pPr>
        <w:spacing w:line="360" w:lineRule="auto"/>
        <w:rPr>
          <w:rFonts w:cs="David"/>
          <w:sz w:val="24"/>
          <w:szCs w:val="24"/>
          <w:rtl/>
        </w:rPr>
      </w:pPr>
    </w:p>
    <w:p w:rsidR="000A0F41" w:rsidRPr="00DA7FBB" w:rsidRDefault="000A0F41" w:rsidP="000A0F41">
      <w:pPr>
        <w:spacing w:line="360" w:lineRule="auto"/>
        <w:jc w:val="both"/>
        <w:rPr>
          <w:rFonts w:cs="David"/>
          <w:sz w:val="24"/>
          <w:szCs w:val="24"/>
          <w:rtl/>
        </w:rPr>
      </w:pPr>
      <w:r w:rsidRPr="00DA7FBB">
        <w:rPr>
          <w:rFonts w:cs="David" w:hint="cs"/>
          <w:sz w:val="24"/>
          <w:szCs w:val="24"/>
          <w:rtl/>
        </w:rPr>
        <w:t>יובהר כי לפי הפקודה אין הבחנה בין הכשירות והחובה להעיד. דהיינו, בעבירות המנויות בסעיף 5, חובה על הקרוב למסור את עדותו בעניין והוא אינו יכול לסרב לעשות כן.</w:t>
      </w:r>
    </w:p>
    <w:p w:rsidR="000A0F41" w:rsidRPr="00DA7FBB" w:rsidRDefault="000A0F41" w:rsidP="000A0F41">
      <w:pPr>
        <w:spacing w:line="360" w:lineRule="auto"/>
        <w:jc w:val="both"/>
        <w:rPr>
          <w:rFonts w:cs="David"/>
          <w:sz w:val="24"/>
          <w:szCs w:val="24"/>
          <w:rtl/>
        </w:rPr>
      </w:pPr>
      <w:r w:rsidRPr="00DA7FBB">
        <w:rPr>
          <w:rFonts w:cs="David" w:hint="cs"/>
          <w:sz w:val="24"/>
          <w:szCs w:val="24"/>
          <w:rtl/>
        </w:rPr>
        <w:t>ההצדקה לחריגים נעוצה בחלקה בחומרת העבירה ובאיזון שנעשה עם האינטרס הציבורי בהעמדה לדין של העבריין, ובחלקה בכך שמדובר בעבירה בתוך המשפחה בה יש צורך להגן על הקרוב הנפגע, במצב בו ממילא התא המשפחתי בדרך כלל כבר התערער.</w:t>
      </w:r>
    </w:p>
    <w:p w:rsidR="000A0F41" w:rsidRPr="00DA7FBB" w:rsidRDefault="000A0F41" w:rsidP="00660ACF">
      <w:pPr>
        <w:spacing w:line="360" w:lineRule="auto"/>
        <w:jc w:val="both"/>
        <w:rPr>
          <w:rFonts w:cs="David"/>
          <w:sz w:val="24"/>
          <w:szCs w:val="24"/>
          <w:rtl/>
        </w:rPr>
      </w:pPr>
      <w:r w:rsidRPr="00DA7FBB">
        <w:rPr>
          <w:rFonts w:cs="David" w:hint="cs"/>
          <w:sz w:val="24"/>
          <w:szCs w:val="24"/>
          <w:rtl/>
        </w:rPr>
        <w:t>הצעת חוק ממשלתית משנת 2006 ביקשה להרחיב את רשימת העבירות בהן קרובים יהיו כשרים להעיד. בדיון שנערך בוועדת החוקה ב-31.7.07 התעוררו שאלות שונות וההצעה לא קודמה לאחר מכן. במסגרת סקירה משווה שנערכה לקראת אותו דיון על ידי מרכז המידע והמחקר של הכנסת (סקירה מיום 30.7.07)</w:t>
      </w:r>
      <w:r w:rsidRPr="00DA7FBB">
        <w:rPr>
          <w:rStyle w:val="a7"/>
          <w:rFonts w:cs="David"/>
          <w:sz w:val="24"/>
          <w:szCs w:val="24"/>
          <w:rtl/>
        </w:rPr>
        <w:footnoteReference w:id="1"/>
      </w:r>
      <w:r w:rsidRPr="00DA7FBB">
        <w:rPr>
          <w:rFonts w:cs="David" w:hint="cs"/>
          <w:sz w:val="24"/>
          <w:szCs w:val="24"/>
          <w:rtl/>
        </w:rPr>
        <w:t>, נמצא כי  ברוב המדינות שנסקרו דיני הראיות מבחינים בין הכשרות להעיד לחובה להעיד. ישנן מדינות בהן בעבירות מסוימות חובה על הקרוב להעיד (לדוגמה בקנדה בעבירות חמורות מסוימות), אולם ברוב המדינות שנבדקו עדים כשרים להעיד נגד קרוביהם אך החוק לא כופה עליהם לעשות כן. נמצא כי לעיתים הדבר נתון לחלוטין להחלטתו של העד הקרוב (למשל בפינלנד, שבדיה, גרמניה, בארה"ב לעניין חילופי דברים בין בני זוג) ולעיתים נתון לשיקול דעת בית המשפט (באוסטרליה (למעט בע</w:t>
      </w:r>
      <w:r w:rsidR="00660ACF" w:rsidRPr="00DA7FBB">
        <w:rPr>
          <w:rFonts w:cs="David" w:hint="cs"/>
          <w:sz w:val="24"/>
          <w:szCs w:val="24"/>
          <w:rtl/>
        </w:rPr>
        <w:t>בי</w:t>
      </w:r>
      <w:r w:rsidRPr="00DA7FBB">
        <w:rPr>
          <w:rFonts w:cs="David" w:hint="cs"/>
          <w:sz w:val="24"/>
          <w:szCs w:val="24"/>
          <w:rtl/>
        </w:rPr>
        <w:t>רות מאד מסוימות בהן יש חובה</w:t>
      </w:r>
      <w:r w:rsidR="00660ACF" w:rsidRPr="00DA7FBB">
        <w:rPr>
          <w:rFonts w:cs="David" w:hint="cs"/>
          <w:sz w:val="24"/>
          <w:szCs w:val="24"/>
          <w:rtl/>
        </w:rPr>
        <w:t xml:space="preserve"> להעיד</w:t>
      </w:r>
      <w:r w:rsidRPr="00DA7FBB">
        <w:rPr>
          <w:rFonts w:cs="David" w:hint="cs"/>
          <w:sz w:val="24"/>
          <w:szCs w:val="24"/>
          <w:rtl/>
        </w:rPr>
        <w:t>) ובאופן חלקי בדנמרק).</w:t>
      </w:r>
    </w:p>
    <w:p w:rsidR="000A0F41" w:rsidRPr="00DA7FBB" w:rsidRDefault="000A0F41" w:rsidP="000A0F41">
      <w:pPr>
        <w:spacing w:line="360" w:lineRule="auto"/>
        <w:jc w:val="both"/>
        <w:rPr>
          <w:rFonts w:cs="David"/>
          <w:sz w:val="24"/>
          <w:szCs w:val="24"/>
          <w:rtl/>
        </w:rPr>
      </w:pPr>
    </w:p>
    <w:p w:rsidR="000A0F41" w:rsidRPr="00DA7FBB" w:rsidRDefault="000A0F41" w:rsidP="000A0F41">
      <w:pPr>
        <w:spacing w:line="360" w:lineRule="auto"/>
        <w:rPr>
          <w:rFonts w:cs="David"/>
          <w:sz w:val="24"/>
          <w:szCs w:val="24"/>
          <w:rtl/>
        </w:rPr>
      </w:pPr>
    </w:p>
    <w:p w:rsidR="000A0F41" w:rsidRPr="00DA7FBB" w:rsidRDefault="000A0F41" w:rsidP="000A0F41">
      <w:pPr>
        <w:spacing w:line="360" w:lineRule="auto"/>
        <w:rPr>
          <w:rFonts w:cs="David"/>
          <w:b/>
          <w:bCs/>
          <w:sz w:val="24"/>
          <w:szCs w:val="24"/>
          <w:rtl/>
        </w:rPr>
      </w:pPr>
      <w:r w:rsidRPr="00DA7FBB">
        <w:rPr>
          <w:rFonts w:cs="David" w:hint="cs"/>
          <w:b/>
          <w:bCs/>
          <w:sz w:val="24"/>
          <w:szCs w:val="24"/>
          <w:rtl/>
        </w:rPr>
        <w:t xml:space="preserve">הצעת החוק הממשלתית </w:t>
      </w:r>
    </w:p>
    <w:p w:rsidR="000A0F41" w:rsidRPr="00DA7FBB" w:rsidRDefault="000A0F41" w:rsidP="000A0F41">
      <w:pPr>
        <w:spacing w:line="360" w:lineRule="auto"/>
        <w:jc w:val="both"/>
        <w:rPr>
          <w:rFonts w:cs="David"/>
          <w:sz w:val="24"/>
          <w:szCs w:val="24"/>
          <w:rtl/>
        </w:rPr>
      </w:pPr>
      <w:r w:rsidRPr="00DA7FBB">
        <w:rPr>
          <w:rFonts w:cs="David" w:hint="cs"/>
          <w:sz w:val="24"/>
          <w:szCs w:val="24"/>
          <w:rtl/>
        </w:rPr>
        <w:t>הצעת החוק הממשלתית שלפנינו מצומצמת יותר מההצעה שהובאה בפני הוועדה בשנת 2007 ומבקשת לערוך מספר תיקונים בפקודה הנוגעים לכשרותם וחובתם של עדים קרובים להעיד, כדלקמן:</w:t>
      </w:r>
    </w:p>
    <w:p w:rsidR="000A0F41" w:rsidRPr="00DA7FBB" w:rsidRDefault="000A0F41" w:rsidP="000118FE">
      <w:pPr>
        <w:pStyle w:val="a3"/>
        <w:numPr>
          <w:ilvl w:val="0"/>
          <w:numId w:val="2"/>
        </w:numPr>
        <w:spacing w:line="360" w:lineRule="auto"/>
        <w:jc w:val="both"/>
        <w:rPr>
          <w:rFonts w:cs="David"/>
          <w:sz w:val="24"/>
          <w:szCs w:val="24"/>
        </w:rPr>
      </w:pPr>
      <w:r w:rsidRPr="00DA7FBB">
        <w:rPr>
          <w:rFonts w:cs="David" w:hint="cs"/>
          <w:sz w:val="24"/>
          <w:szCs w:val="24"/>
          <w:rtl/>
        </w:rPr>
        <w:t xml:space="preserve">תכליתה העיקרית של </w:t>
      </w:r>
      <w:r w:rsidR="00660ACF" w:rsidRPr="00DA7FBB">
        <w:rPr>
          <w:rFonts w:cs="David" w:hint="cs"/>
          <w:sz w:val="24"/>
          <w:szCs w:val="24"/>
          <w:rtl/>
        </w:rPr>
        <w:t xml:space="preserve">ההצעה </w:t>
      </w:r>
      <w:r w:rsidRPr="00DA7FBB">
        <w:rPr>
          <w:rFonts w:cs="David" w:hint="cs"/>
          <w:sz w:val="24"/>
          <w:szCs w:val="24"/>
          <w:rtl/>
        </w:rPr>
        <w:t>היא לאפשר לאדם שהגיש בעצמו תלונה במשטרה נגד קרובו, להעיד נגדו, בין אם הוא הנפגע ובין אם לא, ללא הבחנה לעניין סוג וחומרת העבירה</w:t>
      </w:r>
      <w:r w:rsidR="000118FE">
        <w:rPr>
          <w:rFonts w:cs="David" w:hint="cs"/>
          <w:sz w:val="24"/>
          <w:szCs w:val="24"/>
          <w:rtl/>
        </w:rPr>
        <w:t>.</w:t>
      </w:r>
      <w:r w:rsidRPr="00DA7FBB">
        <w:rPr>
          <w:rFonts w:cs="David" w:hint="cs"/>
          <w:sz w:val="24"/>
          <w:szCs w:val="24"/>
          <w:rtl/>
        </w:rPr>
        <w:t xml:space="preserve"> </w:t>
      </w:r>
      <w:r w:rsidR="00660ACF" w:rsidRPr="00DA7FBB">
        <w:rPr>
          <w:rFonts w:cs="David" w:hint="cs"/>
          <w:sz w:val="24"/>
          <w:szCs w:val="24"/>
          <w:rtl/>
        </w:rPr>
        <w:t xml:space="preserve">לפי דברי </w:t>
      </w:r>
      <w:r w:rsidRPr="00DA7FBB">
        <w:rPr>
          <w:rFonts w:cs="David" w:hint="cs"/>
          <w:sz w:val="24"/>
          <w:szCs w:val="24"/>
          <w:rtl/>
        </w:rPr>
        <w:t>ההסבר</w:t>
      </w:r>
      <w:r w:rsidR="00660ACF" w:rsidRPr="00DA7FBB">
        <w:rPr>
          <w:rFonts w:cs="David" w:hint="cs"/>
          <w:sz w:val="24"/>
          <w:szCs w:val="24"/>
          <w:rtl/>
        </w:rPr>
        <w:t xml:space="preserve">, הצורך בתיקון נעוץ </w:t>
      </w:r>
      <w:r w:rsidRPr="00DA7FBB">
        <w:rPr>
          <w:rFonts w:cs="David" w:hint="cs"/>
          <w:sz w:val="24"/>
          <w:szCs w:val="24"/>
          <w:rtl/>
        </w:rPr>
        <w:t xml:space="preserve">במקרים בהם אדם מתלונן כנגד קרובו על עבירה שביצע שאינה מנויה בחריגים </w:t>
      </w:r>
      <w:r w:rsidR="00725221">
        <w:rPr>
          <w:rFonts w:cs="David" w:hint="cs"/>
          <w:sz w:val="24"/>
          <w:szCs w:val="24"/>
          <w:rtl/>
        </w:rPr>
        <w:t>ו</w:t>
      </w:r>
      <w:r w:rsidRPr="00DA7FBB">
        <w:rPr>
          <w:rFonts w:cs="David" w:hint="cs"/>
          <w:sz w:val="24"/>
          <w:szCs w:val="24"/>
          <w:rtl/>
        </w:rPr>
        <w:t>הוא לא יכול להעיד נגדו אף אם הוא מעוניין בכך.  לעיתים אף לא ניתן בשל כך להעמיד את קרובו לדין כי אין ראיות נוספות. לפי דברי ההסבר להצעה, ניתן לראות הצדקה נוספת לחריג המוצע בכך שכשאדם בוחר להתלונן נגד קרובו הוא מגלה את דעתו כי התא המשפחתי התערער ופוחתת ההצדקה למנוע את עדותו בשם שלמות התא המשפחתי. בהתאם להצעה, אדם שהגיש תלונה כאמור נגד קרובו, לא יוכל מאוחר יותר לסרב להעיד בעניין. עוד מוצע לקבוע כי החריג יחול בין אם הקרוב הוא שהגיש ראשון את התלונה בעניין ובין אם לאו.</w:t>
      </w:r>
    </w:p>
    <w:p w:rsidR="000A0F41" w:rsidRPr="00DA7FBB" w:rsidRDefault="000A0F41" w:rsidP="000A0F41">
      <w:pPr>
        <w:pStyle w:val="a3"/>
        <w:spacing w:line="360" w:lineRule="auto"/>
        <w:ind w:left="360"/>
        <w:jc w:val="both"/>
        <w:rPr>
          <w:rFonts w:cs="David"/>
          <w:sz w:val="24"/>
          <w:szCs w:val="24"/>
          <w:rtl/>
        </w:rPr>
      </w:pPr>
      <w:r w:rsidRPr="00DA7FBB">
        <w:rPr>
          <w:rFonts w:cs="David" w:hint="cs"/>
          <w:sz w:val="24"/>
          <w:szCs w:val="24"/>
          <w:rtl/>
        </w:rPr>
        <w:t>יובהר כי החריג יחול בין אם הקרוב הוא הנפגע בעצמו ובין אם לא</w:t>
      </w:r>
      <w:r w:rsidR="00660ACF" w:rsidRPr="00DA7FBB">
        <w:rPr>
          <w:rFonts w:cs="David" w:hint="cs"/>
          <w:sz w:val="24"/>
          <w:szCs w:val="24"/>
          <w:rtl/>
        </w:rPr>
        <w:t>,</w:t>
      </w:r>
      <w:r w:rsidRPr="00DA7FBB">
        <w:rPr>
          <w:rFonts w:cs="David" w:hint="cs"/>
          <w:sz w:val="24"/>
          <w:szCs w:val="24"/>
          <w:rtl/>
        </w:rPr>
        <w:t xml:space="preserve"> וכי אין הבחנה לעניין סוג וחומרת העבירה או כלפי מי היא בוצעה. דהיינו, החריג יכול לחול גם על עבירות רכוש, עבירות מין שלא בתוך המשפחה, עבירות סמים ועוד. </w:t>
      </w:r>
    </w:p>
    <w:p w:rsidR="000A0F41" w:rsidRPr="00DA7FBB" w:rsidRDefault="000A0F41" w:rsidP="000A0F41">
      <w:pPr>
        <w:pStyle w:val="a3"/>
        <w:numPr>
          <w:ilvl w:val="0"/>
          <w:numId w:val="2"/>
        </w:numPr>
        <w:spacing w:line="360" w:lineRule="auto"/>
        <w:jc w:val="both"/>
        <w:rPr>
          <w:rFonts w:cs="David"/>
          <w:sz w:val="24"/>
          <w:szCs w:val="24"/>
        </w:rPr>
      </w:pPr>
      <w:r w:rsidRPr="00DA7FBB">
        <w:rPr>
          <w:rFonts w:cs="David" w:hint="cs"/>
          <w:sz w:val="24"/>
          <w:szCs w:val="24"/>
          <w:rtl/>
        </w:rPr>
        <w:t>מוצע לקבוע לעניין כלל החריגים (אלה שמעוגנים כבר בחוק וגם בחריג החדש המוצע) שהחריג יחול בין אם הקרוב הוא נפגע העבירה בעצמו ובין אם לא.</w:t>
      </w:r>
    </w:p>
    <w:p w:rsidR="000A0F41" w:rsidRPr="00DA7FBB" w:rsidRDefault="000A0F41" w:rsidP="000118FE">
      <w:pPr>
        <w:pStyle w:val="a3"/>
        <w:numPr>
          <w:ilvl w:val="0"/>
          <w:numId w:val="2"/>
        </w:numPr>
        <w:spacing w:line="360" w:lineRule="auto"/>
        <w:jc w:val="both"/>
        <w:rPr>
          <w:rFonts w:cs="David"/>
          <w:sz w:val="24"/>
          <w:szCs w:val="24"/>
        </w:rPr>
      </w:pPr>
      <w:r w:rsidRPr="00DA7FBB">
        <w:rPr>
          <w:rFonts w:cs="David" w:hint="cs"/>
          <w:sz w:val="24"/>
          <w:szCs w:val="24"/>
          <w:rtl/>
        </w:rPr>
        <w:t>מוצע לבטל את ההוראה בדבר החלת החריגים גם על ניסיון לעבור את העבירה (מוצע לבטל את סעיף 5(4) לפקודה)</w:t>
      </w:r>
      <w:r w:rsidR="00660ACF" w:rsidRPr="00DA7FBB">
        <w:rPr>
          <w:rFonts w:cs="David" w:hint="cs"/>
          <w:sz w:val="24"/>
          <w:szCs w:val="24"/>
          <w:rtl/>
        </w:rPr>
        <w:t xml:space="preserve">. ההסבר </w:t>
      </w:r>
      <w:r w:rsidR="000118FE">
        <w:rPr>
          <w:rFonts w:cs="David" w:hint="cs"/>
          <w:sz w:val="24"/>
          <w:szCs w:val="24"/>
          <w:rtl/>
        </w:rPr>
        <w:t>ש</w:t>
      </w:r>
      <w:r w:rsidR="00660ACF" w:rsidRPr="00DA7FBB">
        <w:rPr>
          <w:rFonts w:cs="David" w:hint="cs"/>
          <w:sz w:val="24"/>
          <w:szCs w:val="24"/>
          <w:rtl/>
        </w:rPr>
        <w:t xml:space="preserve">ניתן לכך הוא שאין צורך בהוראה מפורשת בעניין זה מאחר </w:t>
      </w:r>
      <w:r w:rsidRPr="00DA7FBB">
        <w:rPr>
          <w:rFonts w:cs="David" w:hint="cs"/>
          <w:sz w:val="24"/>
          <w:szCs w:val="24"/>
          <w:rtl/>
        </w:rPr>
        <w:t>שלפי חוק העונשין כל דין החל על ביצוע העבירה חל גם על ניסיון, שידול, ניסיון לשידול וסיוע.</w:t>
      </w:r>
    </w:p>
    <w:p w:rsidR="000A0F41" w:rsidRPr="00DA7FBB" w:rsidRDefault="000A0F41" w:rsidP="000A0F41">
      <w:pPr>
        <w:pStyle w:val="a3"/>
        <w:numPr>
          <w:ilvl w:val="0"/>
          <w:numId w:val="2"/>
        </w:numPr>
        <w:spacing w:line="360" w:lineRule="auto"/>
        <w:jc w:val="both"/>
        <w:rPr>
          <w:rFonts w:cs="David"/>
          <w:sz w:val="24"/>
          <w:szCs w:val="24"/>
          <w:rtl/>
        </w:rPr>
      </w:pPr>
      <w:r w:rsidRPr="00DA7FBB">
        <w:rPr>
          <w:rFonts w:cs="David" w:hint="cs"/>
          <w:sz w:val="24"/>
          <w:szCs w:val="24"/>
          <w:rtl/>
        </w:rPr>
        <w:t>הגדרת בן זוג- כיום אין הגדרה בפקודה מי יחשב כבן זוג. מוצע להוסיף הגדרה מ</w:t>
      </w:r>
      <w:r w:rsidR="00660ACF" w:rsidRPr="00DA7FBB">
        <w:rPr>
          <w:rFonts w:cs="David" w:hint="cs"/>
          <w:sz w:val="24"/>
          <w:szCs w:val="24"/>
          <w:rtl/>
        </w:rPr>
        <w:t>י</w:t>
      </w:r>
      <w:r w:rsidRPr="00DA7FBB">
        <w:rPr>
          <w:rFonts w:cs="David" w:hint="cs"/>
          <w:sz w:val="24"/>
          <w:szCs w:val="24"/>
          <w:rtl/>
        </w:rPr>
        <w:t xml:space="preserve">הו בן זוג ולכלול בה גם ידוע בציבור, ומאידך לקבוע שלא </w:t>
      </w:r>
      <w:proofErr w:type="spellStart"/>
      <w:r w:rsidRPr="00DA7FBB">
        <w:rPr>
          <w:rFonts w:cs="David" w:hint="cs"/>
          <w:sz w:val="24"/>
          <w:szCs w:val="24"/>
          <w:rtl/>
        </w:rPr>
        <w:t>יכלל</w:t>
      </w:r>
      <w:proofErr w:type="spellEnd"/>
      <w:r w:rsidRPr="00DA7FBB">
        <w:rPr>
          <w:rFonts w:cs="David" w:hint="cs"/>
          <w:sz w:val="24"/>
          <w:szCs w:val="24"/>
          <w:rtl/>
        </w:rPr>
        <w:t xml:space="preserve"> בה אדם שהיה בן זוגו של החשוד/נאשם והוא כבר פרוד ממנו. </w:t>
      </w:r>
    </w:p>
    <w:p w:rsidR="000A0F41" w:rsidRPr="00DA7FBB" w:rsidRDefault="000A0F41" w:rsidP="000A0F41">
      <w:pPr>
        <w:spacing w:before="240" w:after="0" w:line="360" w:lineRule="auto"/>
        <w:rPr>
          <w:rFonts w:cs="David"/>
          <w:b/>
          <w:bCs/>
          <w:sz w:val="24"/>
          <w:szCs w:val="24"/>
          <w:rtl/>
        </w:rPr>
      </w:pPr>
      <w:r w:rsidRPr="00DA7FBB">
        <w:rPr>
          <w:rFonts w:cs="David" w:hint="cs"/>
          <w:b/>
          <w:bCs/>
          <w:sz w:val="24"/>
          <w:szCs w:val="24"/>
          <w:rtl/>
        </w:rPr>
        <w:t>סוגיות לדיון</w:t>
      </w:r>
    </w:p>
    <w:p w:rsidR="000A0F41" w:rsidRPr="00DA7FBB" w:rsidRDefault="000A0F41" w:rsidP="000A0F41">
      <w:pPr>
        <w:pStyle w:val="a3"/>
        <w:numPr>
          <w:ilvl w:val="0"/>
          <w:numId w:val="1"/>
        </w:numPr>
        <w:spacing w:line="360" w:lineRule="auto"/>
        <w:jc w:val="both"/>
        <w:rPr>
          <w:rFonts w:cs="David"/>
          <w:sz w:val="24"/>
          <w:szCs w:val="24"/>
        </w:rPr>
      </w:pPr>
      <w:r w:rsidRPr="00DA7FBB">
        <w:rPr>
          <w:rFonts w:cs="David" w:hint="cs"/>
          <w:sz w:val="24"/>
          <w:szCs w:val="24"/>
          <w:rtl/>
        </w:rPr>
        <w:t>מוצע לבקש נתונים על תלונות המוגשות כיום על ידי קרובי משפחה בעבירות שאינן מנויות בחריגים -  סוגי העבירות, סוג הקרבה (בני זוג, הורים וילדים- האם התלונות מוגשות על ידי בגירים בלבד או גם על ידי קטינים, האם תלונות של הורים הן רק על ילדיהם הבגירים או גם על קטינים).</w:t>
      </w:r>
    </w:p>
    <w:p w:rsidR="000A0F41" w:rsidRPr="00DA7FBB" w:rsidRDefault="000A0F41" w:rsidP="00660ACF">
      <w:pPr>
        <w:pStyle w:val="a3"/>
        <w:numPr>
          <w:ilvl w:val="0"/>
          <w:numId w:val="1"/>
        </w:numPr>
        <w:spacing w:line="360" w:lineRule="auto"/>
        <w:jc w:val="both"/>
        <w:rPr>
          <w:rFonts w:cs="David"/>
          <w:sz w:val="24"/>
          <w:szCs w:val="24"/>
        </w:rPr>
      </w:pPr>
      <w:r w:rsidRPr="00DA7FBB">
        <w:rPr>
          <w:rFonts w:cs="David" w:hint="cs"/>
          <w:sz w:val="24"/>
          <w:szCs w:val="24"/>
          <w:rtl/>
        </w:rPr>
        <w:t xml:space="preserve">מוצע לדון בהשלכות </w:t>
      </w:r>
      <w:r w:rsidR="00660ACF" w:rsidRPr="00DA7FBB">
        <w:rPr>
          <w:rFonts w:cs="David" w:hint="cs"/>
          <w:sz w:val="24"/>
          <w:szCs w:val="24"/>
          <w:rtl/>
        </w:rPr>
        <w:t xml:space="preserve">קביעת החריג </w:t>
      </w:r>
      <w:r w:rsidRPr="00DA7FBB">
        <w:rPr>
          <w:rFonts w:cs="David" w:hint="cs"/>
          <w:sz w:val="24"/>
          <w:szCs w:val="24"/>
          <w:rtl/>
        </w:rPr>
        <w:t xml:space="preserve">המוצע </w:t>
      </w:r>
      <w:r w:rsidRPr="00DA7FBB">
        <w:rPr>
          <w:rFonts w:cs="David"/>
          <w:sz w:val="24"/>
          <w:szCs w:val="24"/>
          <w:rtl/>
        </w:rPr>
        <w:t>–</w:t>
      </w:r>
      <w:r w:rsidRPr="00DA7FBB">
        <w:rPr>
          <w:rFonts w:cs="David" w:hint="cs"/>
          <w:sz w:val="24"/>
          <w:szCs w:val="24"/>
          <w:rtl/>
        </w:rPr>
        <w:t xml:space="preserve">  גם אם קיים הצורך לקבוע את כשרותו של אדם להעיד נגד קרובו כאשר הוא זה שהגיש את התלונה, כדי להפסיק את הפגיעה ולאפשר להעמיד לדין את הקרוב שפגע בו, מתעוררת שאלה בדבר ההצדקה </w:t>
      </w:r>
      <w:r w:rsidRPr="00DA7FBB">
        <w:rPr>
          <w:rFonts w:cs="David" w:hint="cs"/>
          <w:sz w:val="24"/>
          <w:szCs w:val="24"/>
          <w:u w:val="single"/>
          <w:rtl/>
        </w:rPr>
        <w:t xml:space="preserve">לחייב </w:t>
      </w:r>
      <w:r w:rsidRPr="00DA7FBB">
        <w:rPr>
          <w:rFonts w:cs="David" w:hint="cs"/>
          <w:sz w:val="24"/>
          <w:szCs w:val="24"/>
          <w:rtl/>
        </w:rPr>
        <w:t xml:space="preserve">את הקרוב להעיד במצב זה, על כל הקשיים וההשלכות הכרוכים בכך. מחד, ישנו חשש כי אם לא תהיה חובה להעיד הקרוב עלול להיות חשוף ללחצים מצד הנאשם ולעיתים אף מבני משפחה נוספים </w:t>
      </w:r>
      <w:r w:rsidRPr="00DA7FBB">
        <w:rPr>
          <w:rFonts w:cs="David" w:hint="cs"/>
          <w:sz w:val="24"/>
          <w:szCs w:val="24"/>
          <w:rtl/>
        </w:rPr>
        <w:lastRenderedPageBreak/>
        <w:t xml:space="preserve">לבל יעיד. מאידך, יתכן שבחלק מהמקרים הקרוב מגיש את התלונה כדי להפסיק את הפגיעה בלבד, אך אינו מעוניין במתן העדות, התא המשפחתי לא מתערער באותה מידה מעצם הגשת התלונה כמו ממסירת העדות, וכך גם מסירת העדות מול קרוב המשפחה בבית המשפט יכולה להיות סיטואציה קשה יותר ממעמד הגשת התלונה במשטרה. יתכן אף </w:t>
      </w:r>
      <w:r w:rsidR="00660ACF" w:rsidRPr="00DA7FBB">
        <w:rPr>
          <w:rFonts w:cs="David" w:hint="cs"/>
          <w:sz w:val="24"/>
          <w:szCs w:val="24"/>
          <w:rtl/>
        </w:rPr>
        <w:t>שבקביעת חובה</w:t>
      </w:r>
      <w:r w:rsidRPr="00DA7FBB">
        <w:rPr>
          <w:rFonts w:cs="David" w:hint="cs"/>
          <w:sz w:val="24"/>
          <w:szCs w:val="24"/>
          <w:rtl/>
        </w:rPr>
        <w:t xml:space="preserve"> להעיד יהיו קרובי משפחה שלא יגישו תלונה במשטרה מלכתחילה.</w:t>
      </w:r>
    </w:p>
    <w:p w:rsidR="000A0F41" w:rsidRPr="00DA7FBB" w:rsidRDefault="000A0F41" w:rsidP="000118FE">
      <w:pPr>
        <w:pStyle w:val="a3"/>
        <w:numPr>
          <w:ilvl w:val="0"/>
          <w:numId w:val="1"/>
        </w:numPr>
        <w:spacing w:line="360" w:lineRule="auto"/>
        <w:jc w:val="both"/>
        <w:rPr>
          <w:rFonts w:cs="David"/>
          <w:sz w:val="24"/>
          <w:szCs w:val="24"/>
        </w:rPr>
      </w:pPr>
      <w:r w:rsidRPr="00DA7FBB">
        <w:rPr>
          <w:rFonts w:cs="David" w:hint="cs"/>
          <w:sz w:val="24"/>
          <w:szCs w:val="24"/>
          <w:rtl/>
        </w:rPr>
        <w:t xml:space="preserve">מוצע לדון בהוספת הוראה בחוק לתיקון סדרי הדין (חקירת עדים), התשי"ח-1957, לעניין הסמכת בית המשפט לקבוע שהקרוב המתלונן ימסור את עדותו שלא בנוכחות הנאשם, אלא בנוכחות סנגורו, אם נוכח </w:t>
      </w:r>
      <w:r w:rsidR="00660ACF" w:rsidRPr="00DA7FBB">
        <w:rPr>
          <w:rFonts w:cs="David" w:hint="cs"/>
          <w:sz w:val="24"/>
          <w:szCs w:val="24"/>
          <w:rtl/>
        </w:rPr>
        <w:t xml:space="preserve">בית המשפט </w:t>
      </w:r>
      <w:r w:rsidRPr="00DA7FBB">
        <w:rPr>
          <w:rFonts w:cs="David" w:hint="cs"/>
          <w:sz w:val="24"/>
          <w:szCs w:val="24"/>
          <w:rtl/>
        </w:rPr>
        <w:t>שמסירת העדות בנוכחותו עלולה לפגוע במתלונן או בעדות, בדומה להוראות הקיימות לעניין מסירת עדות בעבירות מין ו</w:t>
      </w:r>
      <w:r w:rsidR="000118FE">
        <w:rPr>
          <w:rFonts w:cs="David" w:hint="cs"/>
          <w:sz w:val="24"/>
          <w:szCs w:val="24"/>
          <w:rtl/>
        </w:rPr>
        <w:t>לעניין עדות קטין ב</w:t>
      </w:r>
      <w:r w:rsidRPr="00DA7FBB">
        <w:rPr>
          <w:rFonts w:cs="David" w:hint="cs"/>
          <w:sz w:val="24"/>
          <w:szCs w:val="24"/>
          <w:rtl/>
        </w:rPr>
        <w:t xml:space="preserve">עבירות חמורות (יובהר כי הנאשם אמור </w:t>
      </w:r>
      <w:r w:rsidR="00660ACF" w:rsidRPr="00DA7FBB">
        <w:rPr>
          <w:rFonts w:cs="David" w:hint="cs"/>
          <w:sz w:val="24"/>
          <w:szCs w:val="24"/>
          <w:rtl/>
        </w:rPr>
        <w:t>לצפות</w:t>
      </w:r>
      <w:r w:rsidRPr="00DA7FBB">
        <w:rPr>
          <w:rFonts w:cs="David" w:hint="cs"/>
          <w:sz w:val="24"/>
          <w:szCs w:val="24"/>
          <w:rtl/>
        </w:rPr>
        <w:t xml:space="preserve"> </w:t>
      </w:r>
      <w:r w:rsidR="00660ACF" w:rsidRPr="00DA7FBB">
        <w:rPr>
          <w:rFonts w:cs="David" w:hint="cs"/>
          <w:sz w:val="24"/>
          <w:szCs w:val="24"/>
          <w:rtl/>
        </w:rPr>
        <w:t>ב</w:t>
      </w:r>
      <w:r w:rsidRPr="00DA7FBB">
        <w:rPr>
          <w:rFonts w:cs="David" w:hint="cs"/>
          <w:sz w:val="24"/>
          <w:szCs w:val="24"/>
          <w:rtl/>
        </w:rPr>
        <w:t xml:space="preserve">דיון בטלוויזיה במעגל סגור מתוך חדר אחר בבית המשפט). </w:t>
      </w:r>
    </w:p>
    <w:p w:rsidR="000A0F41" w:rsidRPr="00DA7FBB" w:rsidRDefault="000A0F41" w:rsidP="000118FE">
      <w:pPr>
        <w:pStyle w:val="a3"/>
        <w:numPr>
          <w:ilvl w:val="0"/>
          <w:numId w:val="1"/>
        </w:numPr>
        <w:spacing w:line="360" w:lineRule="auto"/>
        <w:jc w:val="both"/>
        <w:rPr>
          <w:rFonts w:cs="David"/>
          <w:sz w:val="24"/>
          <w:szCs w:val="24"/>
        </w:rPr>
      </w:pPr>
      <w:r w:rsidRPr="00DA7FBB">
        <w:rPr>
          <w:rFonts w:cs="David" w:hint="cs"/>
          <w:sz w:val="24"/>
          <w:szCs w:val="24"/>
          <w:rtl/>
        </w:rPr>
        <w:t xml:space="preserve">לעניין ההוראה המוצעת בדבר תחולת החריגים בין אם העד הקרוב הוא נפגע העבירה או אדם אחר- מוצע לדון בצורך לקבוע זאת לעניין כלל החריגים, דבר שעלול לעורר שאלות האם יש בכך משום שינוי הדין הקיים </w:t>
      </w:r>
      <w:r w:rsidR="00DA7FBB" w:rsidRPr="00DA7FBB">
        <w:rPr>
          <w:rFonts w:cs="David" w:hint="cs"/>
          <w:sz w:val="24"/>
          <w:szCs w:val="24"/>
          <w:rtl/>
        </w:rPr>
        <w:t xml:space="preserve">ובאפשרות לקבוע </w:t>
      </w:r>
      <w:r w:rsidRPr="00DA7FBB">
        <w:rPr>
          <w:rFonts w:cs="David" w:hint="cs"/>
          <w:sz w:val="24"/>
          <w:szCs w:val="24"/>
          <w:rtl/>
        </w:rPr>
        <w:t>הוראה זו לעניין החריג החדש המוצע בלבד.</w:t>
      </w:r>
    </w:p>
    <w:p w:rsidR="000A0F41" w:rsidRPr="00DA7FBB" w:rsidRDefault="000A0F41" w:rsidP="00DA7FBB">
      <w:pPr>
        <w:pStyle w:val="a3"/>
        <w:numPr>
          <w:ilvl w:val="0"/>
          <w:numId w:val="1"/>
        </w:numPr>
        <w:spacing w:line="360" w:lineRule="auto"/>
        <w:jc w:val="both"/>
        <w:rPr>
          <w:rFonts w:cs="David"/>
          <w:sz w:val="24"/>
          <w:szCs w:val="24"/>
        </w:rPr>
      </w:pPr>
      <w:r w:rsidRPr="00DA7FBB">
        <w:rPr>
          <w:rFonts w:cs="David" w:hint="cs"/>
          <w:sz w:val="24"/>
          <w:szCs w:val="24"/>
          <w:rtl/>
        </w:rPr>
        <w:t xml:space="preserve">לעניין מחיקת ההוראה בדבר תחולת החריגים על ניסיון לעבור את העבירה- מוצע לדון בהשלכות של תיקון זה ולהבהיר </w:t>
      </w:r>
      <w:r w:rsidR="00DA7FBB" w:rsidRPr="00DA7FBB">
        <w:rPr>
          <w:rFonts w:cs="David" w:hint="cs"/>
          <w:sz w:val="24"/>
          <w:szCs w:val="24"/>
          <w:rtl/>
        </w:rPr>
        <w:t>ש</w:t>
      </w:r>
      <w:r w:rsidRPr="00DA7FBB">
        <w:rPr>
          <w:rFonts w:cs="David" w:hint="cs"/>
          <w:sz w:val="24"/>
          <w:szCs w:val="24"/>
          <w:rtl/>
        </w:rPr>
        <w:t>הכוונה היא כי החריגים ימשיכו לחול על ניסיון לעבור את העבירה (לפי חוק העונשין) ויחולו גם על שידול וסיוע.</w:t>
      </w:r>
    </w:p>
    <w:p w:rsidR="000A0F41" w:rsidRPr="00DA7FBB" w:rsidRDefault="000A0F41" w:rsidP="000118FE">
      <w:pPr>
        <w:pStyle w:val="a3"/>
        <w:numPr>
          <w:ilvl w:val="0"/>
          <w:numId w:val="1"/>
        </w:numPr>
        <w:spacing w:line="360" w:lineRule="auto"/>
        <w:jc w:val="both"/>
        <w:rPr>
          <w:rFonts w:cs="David"/>
          <w:sz w:val="24"/>
          <w:szCs w:val="24"/>
          <w:rtl/>
        </w:rPr>
      </w:pPr>
      <w:r w:rsidRPr="00DA7FBB">
        <w:rPr>
          <w:rFonts w:cs="David" w:hint="cs"/>
          <w:sz w:val="24"/>
          <w:szCs w:val="24"/>
          <w:rtl/>
        </w:rPr>
        <w:t xml:space="preserve">מוצע לדון בהוראה המוצעת לעניין הגדרת בן זוג </w:t>
      </w:r>
      <w:r w:rsidRPr="00DA7FBB">
        <w:rPr>
          <w:rFonts w:cs="David"/>
          <w:sz w:val="24"/>
          <w:szCs w:val="24"/>
          <w:rtl/>
        </w:rPr>
        <w:t>–</w:t>
      </w:r>
      <w:r w:rsidRPr="00DA7FBB">
        <w:rPr>
          <w:rFonts w:cs="David" w:hint="cs"/>
          <w:sz w:val="24"/>
          <w:szCs w:val="24"/>
          <w:rtl/>
        </w:rPr>
        <w:t xml:space="preserve"> מוצע בהצעת החוק לקבוע כי בן זוג לא יכלול </w:t>
      </w:r>
      <w:r w:rsidR="00DA7FBB" w:rsidRPr="00DA7FBB">
        <w:rPr>
          <w:rFonts w:cs="David" w:hint="cs"/>
          <w:sz w:val="24"/>
          <w:szCs w:val="24"/>
          <w:rtl/>
        </w:rPr>
        <w:t>"</w:t>
      </w:r>
      <w:r w:rsidRPr="00DA7FBB">
        <w:rPr>
          <w:rFonts w:cs="David" w:hint="cs"/>
          <w:sz w:val="24"/>
          <w:szCs w:val="24"/>
          <w:rtl/>
        </w:rPr>
        <w:t>פרודים</w:t>
      </w:r>
      <w:r w:rsidR="00DA7FBB" w:rsidRPr="00DA7FBB">
        <w:rPr>
          <w:rFonts w:cs="David" w:hint="cs"/>
          <w:sz w:val="24"/>
          <w:szCs w:val="24"/>
          <w:rtl/>
        </w:rPr>
        <w:t>"</w:t>
      </w:r>
      <w:r w:rsidRPr="00DA7FBB">
        <w:rPr>
          <w:rFonts w:cs="David" w:hint="cs"/>
          <w:sz w:val="24"/>
          <w:szCs w:val="24"/>
          <w:rtl/>
        </w:rPr>
        <w:t xml:space="preserve">. אולם, המונח פרוד מעורר שאלות- האם די בפרידה שעוד לא ברור אם היא קבועה או זמנית? האם נדרש לשם כך </w:t>
      </w:r>
      <w:r w:rsidR="000118FE">
        <w:rPr>
          <w:rFonts w:cs="David" w:hint="cs"/>
          <w:sz w:val="24"/>
          <w:szCs w:val="24"/>
          <w:rtl/>
        </w:rPr>
        <w:t>פירוק</w:t>
      </w:r>
      <w:r w:rsidRPr="00DA7FBB">
        <w:rPr>
          <w:rFonts w:cs="David" w:hint="cs"/>
          <w:sz w:val="24"/>
          <w:szCs w:val="24"/>
          <w:rtl/>
        </w:rPr>
        <w:t xml:space="preserve"> משק הבית המשותף? מונח זה יכול להוביל לכך שיוחרגו מהגדרת בני זוג אנשים שזה עתה נפרדו ושעדיין לא ברור עתידם המשפחתי. לפיכך, מוצע ל</w:t>
      </w:r>
      <w:r w:rsidR="00DA7FBB" w:rsidRPr="00DA7FBB">
        <w:rPr>
          <w:rFonts w:cs="David" w:hint="cs"/>
          <w:sz w:val="24"/>
          <w:szCs w:val="24"/>
          <w:rtl/>
        </w:rPr>
        <w:t>קבוע</w:t>
      </w:r>
      <w:r w:rsidRPr="00DA7FBB">
        <w:rPr>
          <w:rFonts w:cs="David" w:hint="cs"/>
          <w:sz w:val="24"/>
          <w:szCs w:val="24"/>
          <w:rtl/>
        </w:rPr>
        <w:t xml:space="preserve"> הגדרה ברורה יותר, כגון בני זוג שהתגלע ביניהם </w:t>
      </w:r>
      <w:r w:rsidR="000118FE">
        <w:rPr>
          <w:rFonts w:cs="David" w:hint="cs"/>
          <w:sz w:val="24"/>
          <w:szCs w:val="24"/>
          <w:rtl/>
        </w:rPr>
        <w:t>קרע בלתי ניתן לאיחוי.</w:t>
      </w:r>
    </w:p>
    <w:p w:rsidR="000A0F41" w:rsidRPr="00E74892" w:rsidRDefault="000A0F41" w:rsidP="000A0F41">
      <w:pPr>
        <w:spacing w:line="360" w:lineRule="auto"/>
        <w:rPr>
          <w:rFonts w:cs="David"/>
          <w:sz w:val="24"/>
          <w:szCs w:val="24"/>
          <w:rtl/>
        </w:rPr>
      </w:pPr>
    </w:p>
    <w:p w:rsidR="000A0F41" w:rsidRPr="00E74892" w:rsidRDefault="000A0F41" w:rsidP="000A0F41">
      <w:pPr>
        <w:spacing w:line="360" w:lineRule="auto"/>
        <w:rPr>
          <w:rFonts w:cs="David"/>
          <w:sz w:val="24"/>
          <w:szCs w:val="24"/>
        </w:rPr>
      </w:pPr>
    </w:p>
    <w:p w:rsidR="00A214BC" w:rsidRPr="000A0F41" w:rsidRDefault="00A214BC"/>
    <w:sectPr w:rsidR="00A214BC" w:rsidRPr="000A0F41" w:rsidSect="00FD3A5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459" w:rsidRDefault="002F5459" w:rsidP="000A0F41">
      <w:pPr>
        <w:spacing w:after="0" w:line="240" w:lineRule="auto"/>
      </w:pPr>
      <w:r>
        <w:separator/>
      </w:r>
    </w:p>
  </w:endnote>
  <w:endnote w:type="continuationSeparator" w:id="0">
    <w:p w:rsidR="002F5459" w:rsidRDefault="002F5459" w:rsidP="000A0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459" w:rsidRDefault="002F5459" w:rsidP="000A0F41">
      <w:pPr>
        <w:spacing w:after="0" w:line="240" w:lineRule="auto"/>
      </w:pPr>
      <w:r>
        <w:separator/>
      </w:r>
    </w:p>
  </w:footnote>
  <w:footnote w:type="continuationSeparator" w:id="0">
    <w:p w:rsidR="002F5459" w:rsidRDefault="002F5459" w:rsidP="000A0F41">
      <w:pPr>
        <w:spacing w:after="0" w:line="240" w:lineRule="auto"/>
      </w:pPr>
      <w:r>
        <w:continuationSeparator/>
      </w:r>
    </w:p>
  </w:footnote>
  <w:footnote w:id="1">
    <w:p w:rsidR="000A0F41" w:rsidRDefault="000A0F41" w:rsidP="00E363D0">
      <w:pPr>
        <w:pStyle w:val="a5"/>
        <w:rPr>
          <w:rtl/>
        </w:rPr>
      </w:pPr>
      <w:r>
        <w:rPr>
          <w:rStyle w:val="a7"/>
        </w:rPr>
        <w:footnoteRef/>
      </w:r>
      <w:r>
        <w:rPr>
          <w:rtl/>
        </w:rPr>
        <w:t xml:space="preserve"> </w:t>
      </w:r>
      <w:r w:rsidR="00E363D0" w:rsidRPr="00E363D0">
        <w:rPr>
          <w:rFonts w:hint="cs"/>
          <w:rtl/>
        </w:rPr>
        <w:t>עו"ד אורלי פישמן וליאור בן דוד "</w:t>
      </w:r>
      <w:r w:rsidR="00E363D0" w:rsidRPr="00E363D0">
        <w:rPr>
          <w:rFonts w:hint="cs"/>
          <w:b/>
          <w:bCs/>
          <w:rtl/>
        </w:rPr>
        <w:t>עדות קרובים- סקירה משווה</w:t>
      </w:r>
      <w:r w:rsidR="00E363D0" w:rsidRPr="00E363D0">
        <w:rPr>
          <w:rFonts w:hint="cs"/>
          <w:rtl/>
        </w:rPr>
        <w:t>" מרכז המחקר והמידע</w:t>
      </w:r>
      <w:r w:rsidR="00E363D0">
        <w:rPr>
          <w:rFonts w:hint="cs"/>
          <w:rtl/>
        </w:rPr>
        <w:t xml:space="preserve"> של הכנסת.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30F0C"/>
    <w:multiLevelType w:val="hybridMultilevel"/>
    <w:tmpl w:val="C72A0DE0"/>
    <w:lvl w:ilvl="0" w:tplc="5EA2D82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EF5289"/>
    <w:multiLevelType w:val="hybridMultilevel"/>
    <w:tmpl w:val="55D8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41"/>
    <w:rsid w:val="000118FE"/>
    <w:rsid w:val="000A0F41"/>
    <w:rsid w:val="002F5459"/>
    <w:rsid w:val="002F5E2C"/>
    <w:rsid w:val="00660ACF"/>
    <w:rsid w:val="006D1E33"/>
    <w:rsid w:val="00725221"/>
    <w:rsid w:val="0088622B"/>
    <w:rsid w:val="008F3ADE"/>
    <w:rsid w:val="00995D40"/>
    <w:rsid w:val="00A214BC"/>
    <w:rsid w:val="00BB02AB"/>
    <w:rsid w:val="00DA7FBB"/>
    <w:rsid w:val="00E363D0"/>
    <w:rsid w:val="00FB401A"/>
    <w:rsid w:val="00FD3A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F1D30-EA1E-41CA-BD15-457D1285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F41"/>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F41"/>
    <w:pPr>
      <w:ind w:left="720"/>
      <w:contextualSpacing/>
    </w:pPr>
  </w:style>
  <w:style w:type="paragraph" w:customStyle="1" w:styleId="P00">
    <w:name w:val="P00"/>
    <w:rsid w:val="000A0F41"/>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11">
    <w:name w:val="P11"/>
    <w:basedOn w:val="P00"/>
    <w:rsid w:val="000A0F41"/>
    <w:pPr>
      <w:tabs>
        <w:tab w:val="clear" w:pos="624"/>
      </w:tabs>
      <w:ind w:right="624"/>
    </w:pPr>
  </w:style>
  <w:style w:type="character" w:customStyle="1" w:styleId="default">
    <w:name w:val="default"/>
    <w:rsid w:val="000A0F41"/>
    <w:rPr>
      <w:rFonts w:ascii="Times New Roman" w:hAnsi="Times New Roman" w:cs="Times New Roman"/>
      <w:sz w:val="20"/>
      <w:szCs w:val="26"/>
    </w:rPr>
  </w:style>
  <w:style w:type="table" w:styleId="a4">
    <w:name w:val="Table Grid"/>
    <w:basedOn w:val="a1"/>
    <w:uiPriority w:val="39"/>
    <w:rsid w:val="000A0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0A0F41"/>
    <w:pPr>
      <w:spacing w:after="0" w:line="240" w:lineRule="auto"/>
    </w:pPr>
    <w:rPr>
      <w:sz w:val="20"/>
      <w:szCs w:val="20"/>
    </w:rPr>
  </w:style>
  <w:style w:type="character" w:customStyle="1" w:styleId="a6">
    <w:name w:val="טקסט הערת שוליים תו"/>
    <w:basedOn w:val="a0"/>
    <w:link w:val="a5"/>
    <w:uiPriority w:val="99"/>
    <w:semiHidden/>
    <w:rsid w:val="000A0F41"/>
    <w:rPr>
      <w:sz w:val="20"/>
      <w:szCs w:val="20"/>
    </w:rPr>
  </w:style>
  <w:style w:type="character" w:styleId="a7">
    <w:name w:val="footnote reference"/>
    <w:basedOn w:val="a0"/>
    <w:uiPriority w:val="99"/>
    <w:semiHidden/>
    <w:unhideWhenUsed/>
    <w:rsid w:val="000A0F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17090-5656-4D38-86DD-1440A8A0A49E}"/>
</file>

<file path=customXml/itemProps2.xml><?xml version="1.0" encoding="utf-8"?>
<ds:datastoreItem xmlns:ds="http://schemas.openxmlformats.org/officeDocument/2006/customXml" ds:itemID="{651C3986-E4A4-4ED2-9B09-874E4B92FF26}"/>
</file>

<file path=customXml/itemProps3.xml><?xml version="1.0" encoding="utf-8"?>
<ds:datastoreItem xmlns:ds="http://schemas.openxmlformats.org/officeDocument/2006/customXml" ds:itemID="{D7553EA3-BE83-4DF4-836A-67957CA79BCF}"/>
</file>

<file path=customXml/itemProps4.xml><?xml version="1.0" encoding="utf-8"?>
<ds:datastoreItem xmlns:ds="http://schemas.openxmlformats.org/officeDocument/2006/customXml" ds:itemID="{E18791F9-C5D5-4A26-9DCB-13F9AC8930B6}"/>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6165</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נועה ברודסקי לוי</dc:creator>
  <cp:keywords/>
  <dc:description/>
  <cp:lastModifiedBy>נטלי שלף</cp:lastModifiedBy>
  <cp:revision>2</cp:revision>
  <cp:lastPrinted>2015-12-06T11:49:00Z</cp:lastPrinted>
  <dcterms:created xsi:type="dcterms:W3CDTF">2015-12-06T12:21:00Z</dcterms:created>
  <dcterms:modified xsi:type="dcterms:W3CDTF">2015-12-06T12:21:00Z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