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7B" w:rsidRDefault="00226351" w:rsidP="00226351">
      <w:pPr>
        <w:jc w:val="center"/>
        <w:rPr>
          <w:b/>
          <w:bCs/>
          <w:sz w:val="40"/>
          <w:szCs w:val="40"/>
          <w:u w:val="single"/>
          <w:rtl/>
        </w:rPr>
      </w:pPr>
      <w:bookmarkStart w:id="0" w:name="_GoBack"/>
      <w:bookmarkEnd w:id="0"/>
      <w:r>
        <w:rPr>
          <w:rFonts w:hint="cs"/>
          <w:b/>
          <w:bCs/>
          <w:sz w:val="40"/>
          <w:szCs w:val="40"/>
          <w:u w:val="single"/>
          <w:rtl/>
        </w:rPr>
        <w:t>נייר עמדה</w:t>
      </w:r>
    </w:p>
    <w:p w:rsidR="00226351" w:rsidRDefault="00226351" w:rsidP="00226351">
      <w:pPr>
        <w:jc w:val="center"/>
        <w:rPr>
          <w:b/>
          <w:bCs/>
          <w:sz w:val="40"/>
          <w:szCs w:val="40"/>
          <w:u w:val="single"/>
          <w:rtl/>
        </w:rPr>
      </w:pPr>
    </w:p>
    <w:p w:rsidR="00226351" w:rsidRPr="00226351" w:rsidRDefault="00226351" w:rsidP="00226351">
      <w:pPr>
        <w:jc w:val="center"/>
        <w:rPr>
          <w:b/>
          <w:bCs/>
          <w:sz w:val="36"/>
          <w:szCs w:val="36"/>
          <w:u w:val="single"/>
          <w:rtl/>
        </w:rPr>
      </w:pPr>
      <w:r w:rsidRPr="00226351">
        <w:rPr>
          <w:rFonts w:hint="cs"/>
          <w:b/>
          <w:bCs/>
          <w:sz w:val="36"/>
          <w:szCs w:val="36"/>
          <w:u w:val="single"/>
          <w:rtl/>
        </w:rPr>
        <w:t>הצעת חוק הכשרות המשפטית והאפוטרופסות</w:t>
      </w:r>
    </w:p>
    <w:p w:rsidR="00226351" w:rsidRPr="00226351" w:rsidRDefault="00226351" w:rsidP="00226351">
      <w:pPr>
        <w:jc w:val="center"/>
        <w:rPr>
          <w:b/>
          <w:bCs/>
          <w:sz w:val="36"/>
          <w:szCs w:val="36"/>
          <w:u w:val="single"/>
          <w:rtl/>
        </w:rPr>
      </w:pPr>
      <w:r w:rsidRPr="00226351">
        <w:rPr>
          <w:rFonts w:hint="cs"/>
          <w:b/>
          <w:bCs/>
          <w:sz w:val="36"/>
          <w:szCs w:val="36"/>
          <w:u w:val="single"/>
          <w:rtl/>
        </w:rPr>
        <w:t xml:space="preserve"> (תיקון מס' 19), התשע"ה-2014</w:t>
      </w:r>
      <w:r w:rsidR="003C415B">
        <w:rPr>
          <w:rFonts w:hint="cs"/>
          <w:b/>
          <w:bCs/>
          <w:sz w:val="36"/>
          <w:szCs w:val="36"/>
          <w:u w:val="single"/>
          <w:rtl/>
        </w:rPr>
        <w:t xml:space="preserve"> ה"ח 890</w:t>
      </w:r>
    </w:p>
    <w:p w:rsidR="00226351" w:rsidRPr="00226351" w:rsidRDefault="00226351" w:rsidP="00226351">
      <w:pPr>
        <w:jc w:val="center"/>
        <w:rPr>
          <w:b/>
          <w:bCs/>
          <w:sz w:val="36"/>
          <w:szCs w:val="36"/>
          <w:u w:val="single"/>
          <w:rtl/>
        </w:rPr>
      </w:pPr>
    </w:p>
    <w:p w:rsidR="00226351" w:rsidRDefault="00226351" w:rsidP="00226351">
      <w:pPr>
        <w:jc w:val="center"/>
        <w:rPr>
          <w:b/>
          <w:bCs/>
          <w:sz w:val="40"/>
          <w:szCs w:val="40"/>
          <w:u w:val="single"/>
          <w:rtl/>
        </w:rPr>
      </w:pPr>
      <w:r w:rsidRPr="00226351">
        <w:rPr>
          <w:rFonts w:hint="cs"/>
          <w:b/>
          <w:bCs/>
          <w:sz w:val="36"/>
          <w:szCs w:val="36"/>
          <w:u w:val="single"/>
          <w:rtl/>
        </w:rPr>
        <w:t>פיליפ מרכוס, שופט בית המשפט לענייני משפחה, ירושלים (בדימוס)</w:t>
      </w:r>
    </w:p>
    <w:p w:rsidR="00226351" w:rsidRDefault="00226351" w:rsidP="00226351">
      <w:pPr>
        <w:jc w:val="center"/>
        <w:rPr>
          <w:b/>
          <w:bCs/>
          <w:sz w:val="40"/>
          <w:szCs w:val="40"/>
          <w:u w:val="single"/>
          <w:rtl/>
        </w:rPr>
      </w:pPr>
    </w:p>
    <w:p w:rsidR="00226351" w:rsidRDefault="00226351" w:rsidP="00226351">
      <w:pPr>
        <w:rPr>
          <w:b/>
          <w:bCs/>
          <w:u w:val="single"/>
          <w:rtl/>
        </w:rPr>
      </w:pPr>
      <w:r>
        <w:rPr>
          <w:rFonts w:hint="cs"/>
          <w:b/>
          <w:bCs/>
          <w:u w:val="single"/>
          <w:rtl/>
        </w:rPr>
        <w:t>פתח דבר</w:t>
      </w:r>
    </w:p>
    <w:p w:rsidR="00226351" w:rsidRDefault="00226351" w:rsidP="00226351">
      <w:pPr>
        <w:rPr>
          <w:rtl/>
        </w:rPr>
      </w:pPr>
      <w:r>
        <w:rPr>
          <w:rFonts w:hint="cs"/>
          <w:rtl/>
        </w:rPr>
        <w:t>שימשתי שופט במשך 17 שנה בירושלים, ומאז פתיחת בית המשפט לענייני משפחה בירושלים בשנת 1997 ועד לפרישתי בשנת 2012, טיפלתי אך ורק בתיקי משפחה.</w:t>
      </w:r>
    </w:p>
    <w:p w:rsidR="00226351" w:rsidRDefault="00226351" w:rsidP="00226351">
      <w:pPr>
        <w:rPr>
          <w:rtl/>
        </w:rPr>
      </w:pPr>
    </w:p>
    <w:p w:rsidR="00226351" w:rsidRDefault="00226351" w:rsidP="00226351">
      <w:pPr>
        <w:rPr>
          <w:rtl/>
        </w:rPr>
      </w:pPr>
      <w:r>
        <w:rPr>
          <w:rFonts w:hint="cs"/>
          <w:rtl/>
        </w:rPr>
        <w:t>במסגרת זו, טיפלתי במאות , ואולי יותר מאלף, תיקי אפוטרופסות, ובכלל זה בקשות למינוי אפוטרופוס על גוף ו/או על רכוש, וכן בקשות להכריז על חסויים פסולי דין, בקשות של חסויים לבטל את האפוטרופסות עליהם, בקשות של אפוטרופסים למתן הוראות, בקשות בעניין שכר אפוטרופסות.</w:t>
      </w:r>
      <w:r w:rsidR="003C415B">
        <w:rPr>
          <w:rFonts w:hint="cs"/>
          <w:rtl/>
        </w:rPr>
        <w:t xml:space="preserve"> </w:t>
      </w:r>
      <w:r w:rsidR="009C6717">
        <w:rPr>
          <w:rFonts w:hint="cs"/>
          <w:rtl/>
        </w:rPr>
        <w:t>במקרים רבים</w:t>
      </w:r>
      <w:r w:rsidR="003C415B">
        <w:rPr>
          <w:rFonts w:hint="cs"/>
          <w:rtl/>
        </w:rPr>
        <w:t xml:space="preserve"> </w:t>
      </w:r>
      <w:r w:rsidR="009C6717">
        <w:rPr>
          <w:rFonts w:hint="cs"/>
          <w:rtl/>
        </w:rPr>
        <w:t>היה צורך לדון במחלוקת בין קרובי משפחת החסוי לחסוי, או בין בני משפחה אלה נגד אלה, בסוגיות השונות: אם מצבו של החסוי מצדיק מינוי אפוטרופוס, ואם כן מה היקף האפוטרופסות, כללי או מוגבל; וכן מה מחייבת טובתו של החסוי; וכן טענות של שימוש לרעה בסמכויות אפוטרופוס. ההערות שבנייר עמדה זה נובעים בין היתר מנסיון רב שנים בתחום.</w:t>
      </w:r>
    </w:p>
    <w:p w:rsidR="00335AD6" w:rsidRDefault="00335AD6" w:rsidP="00226351">
      <w:pPr>
        <w:rPr>
          <w:rtl/>
        </w:rPr>
      </w:pPr>
    </w:p>
    <w:p w:rsidR="00335AD6" w:rsidRDefault="00335AD6" w:rsidP="00012622">
      <w:pPr>
        <w:rPr>
          <w:rtl/>
        </w:rPr>
      </w:pPr>
      <w:r>
        <w:rPr>
          <w:rFonts w:hint="cs"/>
          <w:rtl/>
        </w:rPr>
        <w:t>במאמר שהתפרסם לאחרונה, אותו כתבתי יחד עם דר' אליעזר פרל, פסיכיאטר, ניתחנו את תהליכי קבלת החלטות והמצבים המנטליים שי</w:t>
      </w:r>
      <w:r w:rsidR="003C415B">
        <w:rPr>
          <w:rFonts w:hint="cs"/>
          <w:rtl/>
        </w:rPr>
        <w:t>ש</w:t>
      </w:r>
      <w:r>
        <w:rPr>
          <w:rFonts w:hint="cs"/>
          <w:rtl/>
        </w:rPr>
        <w:t xml:space="preserve"> בהם לפגוע ביכולת קבלת החלטות, בהקשר עם כשירות לעשות צוואה וליתן מתנה, תוך התייחסות גם לטעמות השפעה הבלתי הוגנת</w:t>
      </w:r>
      <w:r w:rsidR="002D2D2A">
        <w:rPr>
          <w:rStyle w:val="a8"/>
          <w:rtl/>
        </w:rPr>
        <w:footnoteReference w:id="1"/>
      </w:r>
      <w:r>
        <w:rPr>
          <w:rFonts w:hint="cs"/>
          <w:rtl/>
        </w:rPr>
        <w:t xml:space="preserve">. ניתוח זה רלוונטי </w:t>
      </w:r>
      <w:r w:rsidR="003C415B">
        <w:rPr>
          <w:rFonts w:hint="cs"/>
          <w:rtl/>
        </w:rPr>
        <w:t>גם בעניין</w:t>
      </w:r>
      <w:r>
        <w:rPr>
          <w:rFonts w:hint="cs"/>
          <w:rtl/>
        </w:rPr>
        <w:t xml:space="preserve"> מינוי אפוטרופוס והיקף סמכויות האפוטרופוס</w:t>
      </w:r>
      <w:r w:rsidR="003C415B">
        <w:rPr>
          <w:rFonts w:hint="cs"/>
          <w:rtl/>
        </w:rPr>
        <w:t xml:space="preserve">, וכן </w:t>
      </w:r>
      <w:r>
        <w:rPr>
          <w:rFonts w:hint="cs"/>
          <w:rtl/>
        </w:rPr>
        <w:t>היקף הגבלת סמכויות האדם שהאפוטרופוס נתמנה עבורו</w:t>
      </w:r>
      <w:r w:rsidR="003C415B">
        <w:rPr>
          <w:rStyle w:val="a8"/>
          <w:rtl/>
        </w:rPr>
        <w:footnoteReference w:id="2"/>
      </w:r>
      <w:r>
        <w:rPr>
          <w:rFonts w:hint="cs"/>
          <w:rtl/>
        </w:rPr>
        <w:t xml:space="preserve">. אנחנו שוקדים כעת על מאמר </w:t>
      </w:r>
      <w:r>
        <w:rPr>
          <w:rFonts w:hint="cs"/>
          <w:rtl/>
        </w:rPr>
        <w:lastRenderedPageBreak/>
        <w:t xml:space="preserve">נוסף, אשר יבחן את נושא האפוטרופסות, כמו במאמר על כשירות לצוות וליתן מתנה, על בסיס </w:t>
      </w:r>
      <w:r w:rsidR="00012622">
        <w:rPr>
          <w:rFonts w:hint="cs"/>
          <w:rtl/>
        </w:rPr>
        <w:t>התובנות של</w:t>
      </w:r>
      <w:r>
        <w:rPr>
          <w:rFonts w:hint="cs"/>
          <w:rtl/>
        </w:rPr>
        <w:t xml:space="preserve"> הרפואה, המשפט וההלכה</w:t>
      </w:r>
      <w:r w:rsidR="002D2D2A">
        <w:rPr>
          <w:rFonts w:hint="cs"/>
          <w:rtl/>
        </w:rPr>
        <w:t>.</w:t>
      </w:r>
    </w:p>
    <w:p w:rsidR="00226351" w:rsidRDefault="00226351" w:rsidP="00226351">
      <w:pPr>
        <w:rPr>
          <w:rtl/>
        </w:rPr>
      </w:pPr>
    </w:p>
    <w:p w:rsidR="00226351" w:rsidRDefault="00226351" w:rsidP="009C6717">
      <w:pPr>
        <w:rPr>
          <w:rtl/>
        </w:rPr>
      </w:pPr>
      <w:r>
        <w:rPr>
          <w:rFonts w:hint="cs"/>
          <w:rtl/>
        </w:rPr>
        <w:t>משום כ</w:t>
      </w:r>
      <w:r w:rsidR="009C6717">
        <w:rPr>
          <w:rFonts w:hint="cs"/>
          <w:rtl/>
        </w:rPr>
        <w:t>ל אלה</w:t>
      </w:r>
      <w:r>
        <w:rPr>
          <w:rFonts w:hint="cs"/>
          <w:rtl/>
        </w:rPr>
        <w:t>, אני רואה את עצמי מוסמך להציג נייר עמדה זה על הצעת החוק שפורס</w:t>
      </w:r>
      <w:r w:rsidR="009C6717">
        <w:rPr>
          <w:rFonts w:hint="cs"/>
          <w:rtl/>
        </w:rPr>
        <w:t>מה</w:t>
      </w:r>
      <w:r>
        <w:rPr>
          <w:rFonts w:hint="cs"/>
          <w:rtl/>
        </w:rPr>
        <w:t xml:space="preserve"> ביום ג' חשון התשע"ה </w:t>
      </w:r>
      <w:r>
        <w:rPr>
          <w:rtl/>
        </w:rPr>
        <w:t>–</w:t>
      </w:r>
      <w:r>
        <w:rPr>
          <w:rFonts w:hint="cs"/>
          <w:rtl/>
        </w:rPr>
        <w:t xml:space="preserve"> 27/10/14 (ה"ח 890).</w:t>
      </w:r>
    </w:p>
    <w:p w:rsidR="002D2D2A" w:rsidRDefault="002D2D2A" w:rsidP="00226351">
      <w:pPr>
        <w:rPr>
          <w:rtl/>
        </w:rPr>
      </w:pPr>
    </w:p>
    <w:p w:rsidR="00997B67" w:rsidRDefault="00997B67" w:rsidP="00226351">
      <w:pPr>
        <w:rPr>
          <w:rtl/>
        </w:rPr>
      </w:pPr>
    </w:p>
    <w:p w:rsidR="00997B67" w:rsidRDefault="00997B67" w:rsidP="00226351">
      <w:pPr>
        <w:rPr>
          <w:b/>
          <w:bCs/>
          <w:u w:val="single"/>
          <w:rtl/>
        </w:rPr>
      </w:pPr>
      <w:r>
        <w:rPr>
          <w:rFonts w:hint="cs"/>
          <w:b/>
          <w:bCs/>
          <w:u w:val="single"/>
          <w:rtl/>
        </w:rPr>
        <w:t>מטרות הצעת החוק</w:t>
      </w:r>
    </w:p>
    <w:p w:rsidR="00997B67" w:rsidRDefault="00997B67" w:rsidP="00226351">
      <w:pPr>
        <w:rPr>
          <w:b/>
          <w:bCs/>
          <w:u w:val="single"/>
          <w:rtl/>
        </w:rPr>
      </w:pPr>
    </w:p>
    <w:p w:rsidR="00997B67" w:rsidRDefault="00997B67" w:rsidP="00012622">
      <w:pPr>
        <w:rPr>
          <w:rtl/>
        </w:rPr>
      </w:pPr>
      <w:r>
        <w:rPr>
          <w:rFonts w:hint="cs"/>
          <w:rtl/>
        </w:rPr>
        <w:t xml:space="preserve">הצורך בתיקון חוק </w:t>
      </w:r>
      <w:r w:rsidRPr="00997B67">
        <w:rPr>
          <w:rFonts w:hint="cs"/>
          <w:rtl/>
        </w:rPr>
        <w:t>הכשרות המשפטית והאפוטרופסות</w:t>
      </w:r>
      <w:r>
        <w:rPr>
          <w:rFonts w:hint="cs"/>
          <w:rtl/>
        </w:rPr>
        <w:t xml:space="preserve">, התשכ"ב-1962 (להלן </w:t>
      </w:r>
      <w:r>
        <w:rPr>
          <w:rtl/>
        </w:rPr>
        <w:t>–</w:t>
      </w:r>
      <w:r>
        <w:rPr>
          <w:rFonts w:hint="cs"/>
          <w:rtl/>
        </w:rPr>
        <w:t xml:space="preserve"> החוק) נובע, לפי דברי ההסבר </w:t>
      </w:r>
      <w:r>
        <w:rPr>
          <w:rtl/>
        </w:rPr>
        <w:t>–</w:t>
      </w:r>
      <w:r>
        <w:rPr>
          <w:rFonts w:hint="cs"/>
          <w:rtl/>
        </w:rPr>
        <w:t xml:space="preserve"> כללי, מ"שינויים מרחיקי לכת בתפיסות החברתיות בארץ ובעולם" בנוגע לאנשים עם מוגבלויות וקשישים. שינויים אלה באים לידי ביטוי באמנות בינלאומיות ובחקיקה ישראלית, ונטען כי יש החלפת גישה פטרנליסטית בגישה המבוססת על זכויות אנשים אלה, זכויות האזרח הכלליים וזכויות הנובעות ממוגבלויותיהם. לצד זה, כ</w:t>
      </w:r>
      <w:r w:rsidR="00012622">
        <w:rPr>
          <w:rFonts w:hint="cs"/>
          <w:rtl/>
        </w:rPr>
        <w:t>ך</w:t>
      </w:r>
      <w:r>
        <w:rPr>
          <w:rFonts w:hint="cs"/>
          <w:rtl/>
        </w:rPr>
        <w:t xml:space="preserve"> נאמר, יש שאיפה להעצים את עצ</w:t>
      </w:r>
      <w:r w:rsidR="00012622">
        <w:rPr>
          <w:rFonts w:hint="cs"/>
          <w:rtl/>
        </w:rPr>
        <w:t>מ</w:t>
      </w:r>
      <w:r>
        <w:rPr>
          <w:rFonts w:hint="cs"/>
          <w:rtl/>
        </w:rPr>
        <w:t xml:space="preserve">אותם של אנשים אלה, והתייחסות מבדלת למוגבלויות השונות, וזאת בעמצאות </w:t>
      </w:r>
      <w:r w:rsidR="00075883">
        <w:rPr>
          <w:rFonts w:hint="cs"/>
          <w:rtl/>
        </w:rPr>
        <w:t>כיבוד רצונו של האדם ושיתופו בהחלטות לגביו.</w:t>
      </w:r>
    </w:p>
    <w:p w:rsidR="00012622" w:rsidRDefault="00012622" w:rsidP="00012622">
      <w:pPr>
        <w:rPr>
          <w:rtl/>
        </w:rPr>
      </w:pPr>
    </w:p>
    <w:p w:rsidR="00012622" w:rsidRDefault="00012622" w:rsidP="00012622">
      <w:pPr>
        <w:rPr>
          <w:rtl/>
        </w:rPr>
      </w:pPr>
      <w:r>
        <w:rPr>
          <w:rFonts w:hint="cs"/>
          <w:rtl/>
        </w:rPr>
        <w:t>להצעת החוק שני חלקים: הוספת פרק שני1 לחוק, בדבר מוסד משפטי חדש, ייפוי הכח המתמשך, והוספת פרק שלישי1, שיש בו בשלמה והבהרה של היבטים שונים של המוסד של אפוטרופסות הקיים.</w:t>
      </w:r>
    </w:p>
    <w:p w:rsidR="00012622" w:rsidRDefault="00012622" w:rsidP="00012622">
      <w:pPr>
        <w:rPr>
          <w:rtl/>
        </w:rPr>
      </w:pPr>
    </w:p>
    <w:p w:rsidR="00012622" w:rsidRDefault="00012622" w:rsidP="00012622">
      <w:pPr>
        <w:rPr>
          <w:rtl/>
        </w:rPr>
      </w:pPr>
      <w:r>
        <w:rPr>
          <w:rFonts w:hint="cs"/>
          <w:rtl/>
        </w:rPr>
        <w:t xml:space="preserve">כפי שיצויין להלן, מן הראוי להתייחס בזהירות לכלי משפטי חדיש; מאידך, השינויים המוצעים באפוטרופסות נובעים בעיקר מנסיון רב השנים עם כלי משפטי נחוץ ויעיל בעיקרו, והשאיפה להתאימו לגישות העכשביות, </w:t>
      </w:r>
      <w:r w:rsidR="00A441DD">
        <w:rPr>
          <w:rFonts w:hint="cs"/>
          <w:rtl/>
        </w:rPr>
        <w:t>ה</w:t>
      </w:r>
      <w:r>
        <w:rPr>
          <w:rFonts w:hint="cs"/>
          <w:rtl/>
        </w:rPr>
        <w:t xml:space="preserve">משפטיות, </w:t>
      </w:r>
      <w:r w:rsidR="00A441DD">
        <w:rPr>
          <w:rFonts w:hint="cs"/>
          <w:rtl/>
        </w:rPr>
        <w:t>ה</w:t>
      </w:r>
      <w:r>
        <w:rPr>
          <w:rFonts w:hint="cs"/>
          <w:rtl/>
        </w:rPr>
        <w:t>חברתיות ו</w:t>
      </w:r>
      <w:r w:rsidR="00A441DD">
        <w:rPr>
          <w:rFonts w:hint="cs"/>
          <w:rtl/>
        </w:rPr>
        <w:t>ה</w:t>
      </w:r>
      <w:r>
        <w:rPr>
          <w:rFonts w:hint="cs"/>
          <w:rtl/>
        </w:rPr>
        <w:t>אתיות.</w:t>
      </w:r>
    </w:p>
    <w:p w:rsidR="00075883" w:rsidRDefault="00075883" w:rsidP="00226351">
      <w:pPr>
        <w:rPr>
          <w:rtl/>
        </w:rPr>
      </w:pPr>
    </w:p>
    <w:p w:rsidR="007C379E" w:rsidRDefault="00075883" w:rsidP="00A441DD">
      <w:pPr>
        <w:rPr>
          <w:rtl/>
        </w:rPr>
      </w:pPr>
      <w:r>
        <w:rPr>
          <w:rFonts w:hint="cs"/>
          <w:rtl/>
        </w:rPr>
        <w:t xml:space="preserve">מבחינה עיונית, אני חולק על </w:t>
      </w:r>
      <w:r w:rsidR="00A441DD">
        <w:rPr>
          <w:rFonts w:hint="cs"/>
          <w:rtl/>
        </w:rPr>
        <w:t>השיח</w:t>
      </w:r>
      <w:r>
        <w:rPr>
          <w:rFonts w:hint="cs"/>
          <w:rtl/>
        </w:rPr>
        <w:t xml:space="preserve"> המבוססת על זכויות, כאשר ניתן, לעניות דעתי, לתת ביטוי לעקרונות הנחוצים על ידי שימוש בשיח המחוייבויות. בין היתר, עבודת הגמר שלי לתואר </w:t>
      </w:r>
      <w:r>
        <w:rPr>
          <w:rFonts w:hint="cs"/>
        </w:rPr>
        <w:t>LL.M</w:t>
      </w:r>
      <w:r>
        <w:rPr>
          <w:rFonts w:hint="cs"/>
          <w:rtl/>
        </w:rPr>
        <w:t xml:space="preserve"> באוניברסיטת חיפה</w:t>
      </w:r>
      <w:r>
        <w:rPr>
          <w:rStyle w:val="a8"/>
          <w:rtl/>
        </w:rPr>
        <w:footnoteReference w:id="3"/>
      </w:r>
      <w:r>
        <w:rPr>
          <w:rFonts w:hint="cs"/>
          <w:rtl/>
        </w:rPr>
        <w:t xml:space="preserve"> הניחה את הבסיס התיאורטי של הצורך לעבור משיח הזכויות, אשר פוגע בתחומים רבים ואינו נותן מענה לצרכים של החברה, </w:t>
      </w:r>
      <w:r w:rsidR="00A441DD">
        <w:rPr>
          <w:rFonts w:hint="cs"/>
          <w:rtl/>
        </w:rPr>
        <w:t>לשיח של מחוייבויות. ל</w:t>
      </w:r>
      <w:r>
        <w:rPr>
          <w:rFonts w:hint="cs"/>
          <w:rtl/>
        </w:rPr>
        <w:t xml:space="preserve">כן הצעתי </w:t>
      </w:r>
      <w:r w:rsidR="00A441DD">
        <w:rPr>
          <w:rFonts w:hint="cs"/>
          <w:rtl/>
        </w:rPr>
        <w:t xml:space="preserve">בין היתר </w:t>
      </w:r>
      <w:r>
        <w:rPr>
          <w:rFonts w:hint="cs"/>
          <w:rtl/>
        </w:rPr>
        <w:t xml:space="preserve">לשנות את ניסוח אמנות בינלאומיות, </w:t>
      </w:r>
      <w:r>
        <w:rPr>
          <w:rFonts w:hint="cs"/>
          <w:rtl/>
        </w:rPr>
        <w:lastRenderedPageBreak/>
        <w:t>ובכלל זה האמנה לזכויות הילד, על ידי החלפת זכויות של אנשים במחוייבויות אחרים כלפיהם</w:t>
      </w:r>
      <w:r w:rsidR="00414DD3">
        <w:rPr>
          <w:rStyle w:val="a8"/>
          <w:rtl/>
        </w:rPr>
        <w:footnoteReference w:id="4"/>
      </w:r>
      <w:r w:rsidR="00414DD3">
        <w:t>,</w:t>
      </w:r>
      <w:r w:rsidR="00414DD3">
        <w:rPr>
          <w:rStyle w:val="a8"/>
          <w:rtl/>
        </w:rPr>
        <w:footnoteReference w:id="5"/>
      </w:r>
      <w:r>
        <w:rPr>
          <w:rFonts w:hint="cs"/>
          <w:rtl/>
        </w:rPr>
        <w:t>.</w:t>
      </w:r>
      <w:r w:rsidR="00754D58">
        <w:t xml:space="preserve"> </w:t>
      </w:r>
      <w:r w:rsidR="00754D58">
        <w:rPr>
          <w:rFonts w:hint="cs"/>
          <w:rtl/>
        </w:rPr>
        <w:t xml:space="preserve"> כמו כן </w:t>
      </w:r>
      <w:r w:rsidR="00A441DD">
        <w:rPr>
          <w:rFonts w:hint="cs"/>
          <w:rtl/>
        </w:rPr>
        <w:t xml:space="preserve">עתיד להתפרסם </w:t>
      </w:r>
      <w:r w:rsidR="00754D58">
        <w:rPr>
          <w:rFonts w:hint="cs"/>
          <w:rtl/>
        </w:rPr>
        <w:t>מאמר</w:t>
      </w:r>
      <w:r w:rsidR="00A441DD">
        <w:rPr>
          <w:rFonts w:hint="cs"/>
          <w:rtl/>
        </w:rPr>
        <w:t xml:space="preserve">י, </w:t>
      </w:r>
      <w:r w:rsidR="00754D58">
        <w:rPr>
          <w:rFonts w:hint="cs"/>
          <w:rtl/>
        </w:rPr>
        <w:t>על החלפת מינוח של משמ</w:t>
      </w:r>
      <w:r w:rsidR="007C379E">
        <w:rPr>
          <w:rFonts w:hint="cs"/>
          <w:rtl/>
        </w:rPr>
        <w:t>ו</w:t>
      </w:r>
      <w:r w:rsidR="00754D58">
        <w:rPr>
          <w:rFonts w:hint="cs"/>
          <w:rtl/>
        </w:rPr>
        <w:t>רת וביקורים של ילדים במינוח של מחוייבויות</w:t>
      </w:r>
      <w:r w:rsidR="00A441DD">
        <w:rPr>
          <w:rFonts w:hint="cs"/>
          <w:rtl/>
        </w:rPr>
        <w:t xml:space="preserve"> הוריות,</w:t>
      </w:r>
      <w:r w:rsidR="00754D58">
        <w:rPr>
          <w:rFonts w:hint="cs"/>
          <w:rtl/>
        </w:rPr>
        <w:t xml:space="preserve"> ב"רפואה ומשפט"</w:t>
      </w:r>
      <w:r w:rsidR="00A441DD">
        <w:rPr>
          <w:rFonts w:hint="cs"/>
          <w:rtl/>
        </w:rPr>
        <w:t>,</w:t>
      </w:r>
      <w:r w:rsidR="00754D58">
        <w:rPr>
          <w:rFonts w:hint="cs"/>
          <w:rtl/>
        </w:rPr>
        <w:t xml:space="preserve"> בחודשים הקרובים</w:t>
      </w:r>
      <w:r w:rsidR="00754D58">
        <w:rPr>
          <w:rStyle w:val="a8"/>
          <w:rtl/>
        </w:rPr>
        <w:footnoteReference w:id="6"/>
      </w:r>
      <w:r w:rsidR="007C379E">
        <w:rPr>
          <w:rFonts w:hint="cs"/>
          <w:rtl/>
        </w:rPr>
        <w:t xml:space="preserve">. </w:t>
      </w:r>
    </w:p>
    <w:p w:rsidR="00A441DD" w:rsidRDefault="00A441DD" w:rsidP="00A441DD"/>
    <w:p w:rsidR="00075883" w:rsidRPr="00A441DD" w:rsidRDefault="00A441DD" w:rsidP="007C379E">
      <w:pPr>
        <w:rPr>
          <w:i/>
          <w:iCs/>
          <w:rtl/>
        </w:rPr>
      </w:pPr>
      <w:r>
        <w:rPr>
          <w:rFonts w:hint="cs"/>
          <w:i/>
          <w:iCs/>
          <w:rtl/>
        </w:rPr>
        <w:t>(</w:t>
      </w:r>
      <w:r w:rsidR="007C379E" w:rsidRPr="00A441DD">
        <w:rPr>
          <w:rFonts w:hint="cs"/>
          <w:i/>
          <w:iCs/>
          <w:rtl/>
        </w:rPr>
        <w:t>ניתן לעיין מאמרים באתר</w:t>
      </w:r>
      <w:r w:rsidR="007C379E" w:rsidRPr="00A441DD">
        <w:rPr>
          <w:i/>
          <w:iCs/>
          <w:sz w:val="28"/>
          <w:szCs w:val="28"/>
        </w:rPr>
        <w:t>www.philip-marcus.com</w:t>
      </w:r>
      <w:r w:rsidR="007C379E" w:rsidRPr="00A441DD">
        <w:rPr>
          <w:rFonts w:hint="cs"/>
          <w:i/>
          <w:iCs/>
          <w:rtl/>
        </w:rPr>
        <w:t>).</w:t>
      </w:r>
    </w:p>
    <w:p w:rsidR="00335AD6" w:rsidRDefault="00335AD6" w:rsidP="007C379E">
      <w:pPr>
        <w:rPr>
          <w:rtl/>
        </w:rPr>
      </w:pPr>
    </w:p>
    <w:p w:rsidR="00F1186C" w:rsidRDefault="007C379E" w:rsidP="007C379E">
      <w:pPr>
        <w:rPr>
          <w:rtl/>
        </w:rPr>
      </w:pPr>
      <w:r>
        <w:rPr>
          <w:rFonts w:hint="cs"/>
          <w:rtl/>
        </w:rPr>
        <w:t>אין כאן המקום להרחיב את הדיבור על ההבדלים בין שיח הזכויות לבין שיח המחוייבויות, אך העיקר הוא ש</w:t>
      </w:r>
      <w:r w:rsidR="00A441DD">
        <w:rPr>
          <w:rFonts w:hint="cs"/>
          <w:rtl/>
        </w:rPr>
        <w:t xml:space="preserve">באימוץ שיח המחוייבויות </w:t>
      </w:r>
      <w:r w:rsidR="00F1186C">
        <w:rPr>
          <w:rFonts w:hint="cs"/>
          <w:rtl/>
        </w:rPr>
        <w:t>נמנעת ההתנגשות בין זכויות הפרט לבין זכויות או חובות החברה.</w:t>
      </w:r>
    </w:p>
    <w:p w:rsidR="00F1186C" w:rsidRDefault="00F1186C" w:rsidP="007C379E">
      <w:pPr>
        <w:rPr>
          <w:rtl/>
        </w:rPr>
      </w:pPr>
    </w:p>
    <w:p w:rsidR="00A441DD" w:rsidRDefault="007C379E" w:rsidP="00A441DD">
      <w:pPr>
        <w:rPr>
          <w:rtl/>
        </w:rPr>
      </w:pPr>
      <w:r>
        <w:rPr>
          <w:rFonts w:hint="cs"/>
          <w:rtl/>
        </w:rPr>
        <w:t xml:space="preserve">לכן הבסיס לניתוח </w:t>
      </w:r>
      <w:r w:rsidR="00A441DD">
        <w:rPr>
          <w:rFonts w:hint="cs"/>
          <w:rtl/>
        </w:rPr>
        <w:t>של מחוייבויות, ב</w:t>
      </w:r>
      <w:r>
        <w:rPr>
          <w:rFonts w:hint="cs"/>
          <w:rtl/>
        </w:rPr>
        <w:t>ענייני אפוטרופסות צריך ל</w:t>
      </w:r>
      <w:r w:rsidR="00A441DD">
        <w:rPr>
          <w:rFonts w:hint="cs"/>
          <w:rtl/>
        </w:rPr>
        <w:t>התבסס</w:t>
      </w:r>
      <w:r>
        <w:rPr>
          <w:rFonts w:hint="cs"/>
          <w:rtl/>
        </w:rPr>
        <w:t xml:space="preserve"> על מחוייבויות אלה: </w:t>
      </w:r>
    </w:p>
    <w:p w:rsidR="00A441DD" w:rsidRDefault="007C379E" w:rsidP="00A441DD">
      <w:pPr>
        <w:rPr>
          <w:rtl/>
        </w:rPr>
      </w:pPr>
      <w:r>
        <w:rPr>
          <w:rFonts w:hint="cs"/>
          <w:rtl/>
        </w:rPr>
        <w:t xml:space="preserve">מחד, המחוייבות של החברה, והמדינה על כל שלוחותיה, </w:t>
      </w:r>
      <w:r w:rsidRPr="007C379E">
        <w:rPr>
          <w:rFonts w:hint="cs"/>
          <w:u w:val="single"/>
          <w:rtl/>
        </w:rPr>
        <w:t>להמנע מכל פגיעה</w:t>
      </w:r>
      <w:r>
        <w:rPr>
          <w:rFonts w:hint="cs"/>
          <w:rtl/>
        </w:rPr>
        <w:t xml:space="preserve"> באוטומומיה של הפרט, אלא על פי אמות מידה הקבועות בחוק </w:t>
      </w:r>
    </w:p>
    <w:p w:rsidR="00A441DD" w:rsidRDefault="007C379E" w:rsidP="00A441DD">
      <w:pPr>
        <w:rPr>
          <w:rtl/>
        </w:rPr>
      </w:pPr>
      <w:r>
        <w:rPr>
          <w:rFonts w:hint="cs"/>
          <w:rtl/>
        </w:rPr>
        <w:t xml:space="preserve">ולצד זה וכנובע ממנה, המחוייבות </w:t>
      </w:r>
      <w:r w:rsidRPr="00A441DD">
        <w:rPr>
          <w:rFonts w:hint="cs"/>
          <w:u w:val="single"/>
          <w:rtl/>
        </w:rPr>
        <w:t>להתערב רק במידה הנחוצה</w:t>
      </w:r>
      <w:r>
        <w:rPr>
          <w:rFonts w:hint="cs"/>
          <w:rtl/>
        </w:rPr>
        <w:t xml:space="preserve"> לשם השגת מטרות החוק; </w:t>
      </w:r>
    </w:p>
    <w:p w:rsidR="007C379E" w:rsidRDefault="007C379E" w:rsidP="00A441DD">
      <w:pPr>
        <w:rPr>
          <w:rtl/>
        </w:rPr>
      </w:pPr>
      <w:r>
        <w:rPr>
          <w:rFonts w:hint="cs"/>
          <w:rtl/>
        </w:rPr>
        <w:t xml:space="preserve">ומאידך, המחוייבות </w:t>
      </w:r>
      <w:r w:rsidRPr="007C379E">
        <w:rPr>
          <w:rFonts w:hint="cs"/>
          <w:u w:val="single"/>
          <w:rtl/>
        </w:rPr>
        <w:t>להתערב</w:t>
      </w:r>
      <w:r>
        <w:rPr>
          <w:rFonts w:hint="cs"/>
          <w:rtl/>
        </w:rPr>
        <w:t xml:space="preserve"> בכל מקרה שנקבע, על פי החוק, יש בכך צורך כדי  להגן על מי שזקוק להגנה.</w:t>
      </w:r>
    </w:p>
    <w:p w:rsidR="00F1186C" w:rsidRDefault="00F1186C" w:rsidP="007C379E">
      <w:pPr>
        <w:rPr>
          <w:rtl/>
        </w:rPr>
      </w:pPr>
    </w:p>
    <w:p w:rsidR="00F1186C" w:rsidRDefault="00F1186C" w:rsidP="007C379E">
      <w:pPr>
        <w:rPr>
          <w:rtl/>
        </w:rPr>
      </w:pPr>
      <w:r>
        <w:rPr>
          <w:rFonts w:hint="cs"/>
          <w:rtl/>
        </w:rPr>
        <w:t>מכאן, שאין מחלוקת על מטרות המקוריות של מוסד האפוטרופסות, כפי שהן מוגדרות בדברי ההסבר</w:t>
      </w:r>
      <w:r w:rsidR="00A441DD">
        <w:rPr>
          <w:rFonts w:hint="cs"/>
          <w:rtl/>
        </w:rPr>
        <w:t xml:space="preserve"> (עמ' 2)</w:t>
      </w:r>
      <w:r>
        <w:rPr>
          <w:rFonts w:hint="cs"/>
          <w:rtl/>
        </w:rPr>
        <w:t xml:space="preserve">: "לסייע לאנשים שאינם מסוגלים לדאוג לענייניהם ולהגן עליהם מפני ניצול או פגיעה באחרים או מפני פגיעה שלהם בעצמם." </w:t>
      </w:r>
    </w:p>
    <w:p w:rsidR="00F1186C" w:rsidRDefault="00F1186C" w:rsidP="007C379E">
      <w:pPr>
        <w:rPr>
          <w:rtl/>
        </w:rPr>
      </w:pPr>
    </w:p>
    <w:p w:rsidR="00F1186C" w:rsidRDefault="00F1186C" w:rsidP="00906628">
      <w:pPr>
        <w:rPr>
          <w:rtl/>
        </w:rPr>
      </w:pPr>
      <w:r>
        <w:rPr>
          <w:rFonts w:hint="cs"/>
          <w:rtl/>
        </w:rPr>
        <w:t xml:space="preserve">ואכן, יש מדינות בהם עצם מינוי אפוטרופוס שולל מהאדם שמתמנה לו אפוטרופוס את כל החירות לקבל החלטות, מבלי שנותרו בידיו הסמכויות להחליט בעניינים אשר הוא מסוגל, למרות מוגבלותו,  להפעילן. לא כך המצב בארץ, אלא אם בנוסף על מינוי אפוטרופוס האדם מוכרז פסול דין על </w:t>
      </w:r>
      <w:r>
        <w:rPr>
          <w:rFonts w:hint="cs"/>
          <w:rtl/>
        </w:rPr>
        <w:lastRenderedPageBreak/>
        <w:t xml:space="preserve">פי סעיף </w:t>
      </w:r>
      <w:r w:rsidR="00E92F50">
        <w:rPr>
          <w:rFonts w:hint="cs"/>
          <w:rtl/>
        </w:rPr>
        <w:t>8 לחוק. משום כך, התיקונים לחוק שנעשו במדינות אלו לאחרונה אינן בהכר</w:t>
      </w:r>
      <w:r w:rsidR="00906628">
        <w:rPr>
          <w:rFonts w:hint="cs"/>
          <w:rtl/>
        </w:rPr>
        <w:t>ח</w:t>
      </w:r>
      <w:r w:rsidR="00E92F50">
        <w:rPr>
          <w:rFonts w:hint="cs"/>
          <w:rtl/>
        </w:rPr>
        <w:t xml:space="preserve"> בסיס איתן לשינויים הנח</w:t>
      </w:r>
      <w:r w:rsidR="00A441DD">
        <w:rPr>
          <w:rFonts w:hint="cs"/>
          <w:rtl/>
        </w:rPr>
        <w:t>ו</w:t>
      </w:r>
      <w:r w:rsidR="00E92F50">
        <w:rPr>
          <w:rFonts w:hint="cs"/>
          <w:rtl/>
        </w:rPr>
        <w:t>צים בישראל.</w:t>
      </w:r>
    </w:p>
    <w:p w:rsidR="00E92F50" w:rsidRDefault="00E92F50" w:rsidP="00F1186C">
      <w:pPr>
        <w:rPr>
          <w:rtl/>
        </w:rPr>
      </w:pPr>
    </w:p>
    <w:p w:rsidR="00E92F50" w:rsidRDefault="00E92F50" w:rsidP="00335AD6">
      <w:pPr>
        <w:rPr>
          <w:rtl/>
        </w:rPr>
      </w:pPr>
      <w:r>
        <w:rPr>
          <w:rFonts w:hint="cs"/>
          <w:rtl/>
        </w:rPr>
        <w:t xml:space="preserve">לכן נראה שהחוק הישראלי הקיים, ככל שמפרשים אותו על בסיס שיח המחוייבויות, עונה על כל העקרונות המנויים שבדברי ההסבר (עמ' 2-3 להצעת החוק), </w:t>
      </w:r>
      <w:r w:rsidR="00335AD6">
        <w:rPr>
          <w:rFonts w:hint="cs"/>
          <w:rtl/>
        </w:rPr>
        <w:t>והעקרונות המצויים בפרק שלישי 1 המוצע אינם מהווים חידוש מרחיק לכת.</w:t>
      </w:r>
    </w:p>
    <w:p w:rsidR="00906628" w:rsidRDefault="00906628" w:rsidP="00335AD6">
      <w:pPr>
        <w:rPr>
          <w:rtl/>
        </w:rPr>
      </w:pPr>
    </w:p>
    <w:p w:rsidR="00906628" w:rsidRDefault="00906628" w:rsidP="0013246E">
      <w:pPr>
        <w:rPr>
          <w:rtl/>
        </w:rPr>
      </w:pPr>
      <w:r>
        <w:rPr>
          <w:rFonts w:hint="cs"/>
          <w:rtl/>
        </w:rPr>
        <w:t xml:space="preserve">אך יש להתפלא על כך שבפרק הראשון לדברי ההסבר נעדר </w:t>
      </w:r>
      <w:r w:rsidR="00492B24">
        <w:rPr>
          <w:rFonts w:hint="cs"/>
          <w:rtl/>
        </w:rPr>
        <w:t xml:space="preserve">מרשימת העקרונות, בעמ' 2-3, </w:t>
      </w:r>
      <w:r>
        <w:rPr>
          <w:rFonts w:hint="cs"/>
          <w:rtl/>
        </w:rPr>
        <w:t>עקרון לא פחות חשוב מאלה שצויינו</w:t>
      </w:r>
      <w:r w:rsidR="00492B24">
        <w:rPr>
          <w:rFonts w:hint="cs"/>
          <w:rtl/>
        </w:rPr>
        <w:t>, דהיינו</w:t>
      </w:r>
      <w:r>
        <w:rPr>
          <w:rFonts w:hint="cs"/>
          <w:rtl/>
        </w:rPr>
        <w:t>: "</w:t>
      </w:r>
      <w:r w:rsidRPr="00884D27">
        <w:rPr>
          <w:rFonts w:hint="cs"/>
          <w:u w:val="single"/>
          <w:rtl/>
        </w:rPr>
        <w:t>הצד התפקודי של האדם בתוך סביבתו</w:t>
      </w:r>
      <w:r>
        <w:rPr>
          <w:rFonts w:hint="cs"/>
          <w:rtl/>
        </w:rPr>
        <w:t>" (דברי הסבר</w:t>
      </w:r>
      <w:r w:rsidR="00492B24">
        <w:rPr>
          <w:rFonts w:hint="cs"/>
          <w:rtl/>
        </w:rPr>
        <w:t xml:space="preserve"> לסעיף מוצע 32יג</w:t>
      </w:r>
      <w:r>
        <w:rPr>
          <w:rFonts w:hint="cs"/>
          <w:rtl/>
        </w:rPr>
        <w:t xml:space="preserve">, עמ' 18). </w:t>
      </w:r>
      <w:r w:rsidR="00A441DD">
        <w:rPr>
          <w:rFonts w:hint="cs"/>
          <w:rtl/>
        </w:rPr>
        <w:t xml:space="preserve">עיקרון זה משקף את המעבר של הגדרת אדם עם מוגבלויות </w:t>
      </w:r>
      <w:r w:rsidR="00492B24">
        <w:rPr>
          <w:rFonts w:hint="cs"/>
          <w:rtl/>
        </w:rPr>
        <w:t>מדגם הרפואי</w:t>
      </w:r>
      <w:r w:rsidR="00A441DD">
        <w:rPr>
          <w:rFonts w:hint="cs"/>
          <w:rtl/>
        </w:rPr>
        <w:t xml:space="preserve">, המבוסס בעיקר על </w:t>
      </w:r>
      <w:r w:rsidR="0013246E">
        <w:rPr>
          <w:rFonts w:hint="cs"/>
          <w:rtl/>
        </w:rPr>
        <w:t xml:space="preserve">ראייתו כאדם חולה או לקוי, </w:t>
      </w:r>
      <w:r w:rsidR="00492B24">
        <w:rPr>
          <w:rFonts w:hint="cs"/>
          <w:rtl/>
        </w:rPr>
        <w:t>לשימת דגש על תחומים רחבים יותר</w:t>
      </w:r>
      <w:r w:rsidR="0013246E">
        <w:rPr>
          <w:rFonts w:hint="cs"/>
          <w:rtl/>
        </w:rPr>
        <w:t xml:space="preserve"> ויכולותיו התפקודיות תוך העזרות בזולת ככל שהדבר נחוץ </w:t>
      </w:r>
      <w:r w:rsidR="00492B24">
        <w:rPr>
          <w:rFonts w:hint="cs"/>
          <w:rtl/>
        </w:rPr>
        <w:t>.</w:t>
      </w:r>
    </w:p>
    <w:p w:rsidR="002D2D2A" w:rsidRDefault="002D2D2A" w:rsidP="00335AD6">
      <w:pPr>
        <w:rPr>
          <w:rtl/>
        </w:rPr>
      </w:pPr>
    </w:p>
    <w:p w:rsidR="000F36D3" w:rsidRDefault="000F36D3" w:rsidP="00335AD6">
      <w:pPr>
        <w:rPr>
          <w:b/>
          <w:bCs/>
          <w:u w:val="single"/>
        </w:rPr>
      </w:pPr>
    </w:p>
    <w:p w:rsidR="000F36D3" w:rsidRDefault="000F36D3" w:rsidP="00335AD6">
      <w:pPr>
        <w:rPr>
          <w:b/>
          <w:bCs/>
          <w:u w:val="single"/>
        </w:rPr>
      </w:pPr>
    </w:p>
    <w:p w:rsidR="000F36D3" w:rsidRDefault="000F36D3" w:rsidP="00335AD6">
      <w:pPr>
        <w:rPr>
          <w:b/>
          <w:bCs/>
          <w:u w:val="single"/>
        </w:rPr>
      </w:pPr>
    </w:p>
    <w:p w:rsidR="003C6F43" w:rsidRDefault="003C6F43" w:rsidP="00335AD6">
      <w:pPr>
        <w:rPr>
          <w:b/>
          <w:bCs/>
          <w:u w:val="single"/>
          <w:rtl/>
        </w:rPr>
      </w:pPr>
      <w:r>
        <w:rPr>
          <w:rFonts w:hint="cs"/>
          <w:b/>
          <w:bCs/>
          <w:u w:val="single"/>
          <w:rtl/>
        </w:rPr>
        <w:t xml:space="preserve">סעיף 2 להצעת החוק: </w:t>
      </w:r>
    </w:p>
    <w:p w:rsidR="003C6F43" w:rsidRDefault="003C6F43" w:rsidP="00335AD6">
      <w:pPr>
        <w:rPr>
          <w:b/>
          <w:bCs/>
          <w:u w:val="single"/>
          <w:rtl/>
        </w:rPr>
      </w:pPr>
    </w:p>
    <w:p w:rsidR="002D2D2A" w:rsidRDefault="002D2D2A" w:rsidP="00335AD6">
      <w:pPr>
        <w:rPr>
          <w:b/>
          <w:bCs/>
          <w:u w:val="single"/>
          <w:rtl/>
        </w:rPr>
      </w:pPr>
      <w:r>
        <w:rPr>
          <w:rFonts w:hint="cs"/>
          <w:b/>
          <w:bCs/>
          <w:u w:val="single"/>
          <w:rtl/>
        </w:rPr>
        <w:t>פרק שני 1 המוצע: יפוי כח מתמשך</w:t>
      </w:r>
    </w:p>
    <w:p w:rsidR="002D2D2A" w:rsidRDefault="002D2D2A" w:rsidP="00335AD6">
      <w:pPr>
        <w:rPr>
          <w:b/>
          <w:bCs/>
          <w:u w:val="single"/>
          <w:rtl/>
        </w:rPr>
      </w:pPr>
    </w:p>
    <w:p w:rsidR="002D2D2A" w:rsidRDefault="002D2D2A" w:rsidP="0013246E">
      <w:pPr>
        <w:rPr>
          <w:rtl/>
        </w:rPr>
      </w:pPr>
      <w:r w:rsidRPr="002D2D2A">
        <w:rPr>
          <w:rFonts w:hint="cs"/>
          <w:rtl/>
        </w:rPr>
        <w:t>לפני ניתוח סעיפי הצעת החוק בפרק זה,</w:t>
      </w:r>
      <w:r>
        <w:rPr>
          <w:rFonts w:hint="cs"/>
          <w:rtl/>
        </w:rPr>
        <w:t xml:space="preserve"> יש להעיר בדבר הכלי המוצע, הסיכוי שיעשו בו שימוש ויעילותו. אף כאן, ההפניה ל</w:t>
      </w:r>
      <w:r w:rsidR="0013246E">
        <w:rPr>
          <w:rFonts w:hint="cs"/>
          <w:rtl/>
        </w:rPr>
        <w:t>חק</w:t>
      </w:r>
      <w:r>
        <w:rPr>
          <w:rFonts w:hint="cs"/>
          <w:rtl/>
        </w:rPr>
        <w:t>יקה ונהלים שבמדינות אחרות איננה בהכר</w:t>
      </w:r>
      <w:r w:rsidR="0013246E">
        <w:rPr>
          <w:rFonts w:hint="cs"/>
          <w:rtl/>
        </w:rPr>
        <w:t>ח</w:t>
      </w:r>
      <w:r>
        <w:rPr>
          <w:rFonts w:hint="cs"/>
          <w:rtl/>
        </w:rPr>
        <w:t xml:space="preserve"> בסיס לשינויים בחוק הישראלי.</w:t>
      </w:r>
    </w:p>
    <w:p w:rsidR="002D2D2A" w:rsidRDefault="002D2D2A" w:rsidP="002D2D2A">
      <w:pPr>
        <w:rPr>
          <w:rtl/>
        </w:rPr>
      </w:pPr>
    </w:p>
    <w:p w:rsidR="002D2D2A" w:rsidRDefault="00514DA7" w:rsidP="0013246E">
      <w:pPr>
        <w:rPr>
          <w:rtl/>
        </w:rPr>
      </w:pPr>
      <w:r>
        <w:rPr>
          <w:rFonts w:hint="cs"/>
          <w:rtl/>
        </w:rPr>
        <w:t xml:space="preserve">נשאלת השאלה </w:t>
      </w:r>
      <w:r>
        <w:rPr>
          <w:rtl/>
        </w:rPr>
        <w:t>–</w:t>
      </w:r>
      <w:r>
        <w:rPr>
          <w:rFonts w:hint="cs"/>
          <w:rtl/>
        </w:rPr>
        <w:t xml:space="preserve"> באיזה נסיבות יעלה על דעתו של אדם לעשות יפוי כח מתמשך? אדם בריא ובעל כשירות מלאה אינו נוהג לחשוב על מינוי אדם שידאג ל</w:t>
      </w:r>
      <w:r w:rsidR="0013246E">
        <w:rPr>
          <w:rFonts w:hint="cs"/>
          <w:rtl/>
        </w:rPr>
        <w:t>ענייניו</w:t>
      </w:r>
      <w:r>
        <w:rPr>
          <w:rFonts w:hint="cs"/>
          <w:rtl/>
        </w:rPr>
        <w:t xml:space="preserve"> אם וכאשר הוא לא יהיה בעל כל הכשירויות. המצב שונה מעשיית צוואה; כל אדם יודע כי ימיו מוגבלים; ואף על פי כן, רבים האנשים אשר בכל זאת אינם עושים צוואה, בין </w:t>
      </w:r>
      <w:r w:rsidR="0055416A">
        <w:rPr>
          <w:rFonts w:hint="cs"/>
          <w:rtl/>
        </w:rPr>
        <w:t>אלה אשר</w:t>
      </w:r>
      <w:r>
        <w:rPr>
          <w:rFonts w:hint="cs"/>
          <w:rtl/>
        </w:rPr>
        <w:t xml:space="preserve"> מודעים להסדר הרכושי החקיקתי בדבר אדם אשר נפטר ללא צוואה, ו</w:t>
      </w:r>
      <w:r w:rsidR="0055416A">
        <w:rPr>
          <w:rFonts w:hint="cs"/>
          <w:rtl/>
        </w:rPr>
        <w:t xml:space="preserve">כן אלה </w:t>
      </w:r>
      <w:r>
        <w:rPr>
          <w:rFonts w:hint="cs"/>
          <w:rtl/>
        </w:rPr>
        <w:t>שאינם מודעים לו.</w:t>
      </w:r>
    </w:p>
    <w:p w:rsidR="00514DA7" w:rsidRDefault="00514DA7" w:rsidP="00514DA7">
      <w:pPr>
        <w:rPr>
          <w:rtl/>
        </w:rPr>
      </w:pPr>
    </w:p>
    <w:p w:rsidR="008260DA" w:rsidRDefault="00514DA7" w:rsidP="0013246E">
      <w:pPr>
        <w:rPr>
          <w:rtl/>
        </w:rPr>
      </w:pPr>
      <w:r>
        <w:rPr>
          <w:rFonts w:hint="cs"/>
          <w:rtl/>
        </w:rPr>
        <w:t>לכן יש להניח שרק אדם אשר מודע שהוא עומד מול אפשרות של ירידה בכשירותו בזמן הקרוב יהיה מעוניין ליתן יפ</w:t>
      </w:r>
      <w:r w:rsidR="008260DA">
        <w:rPr>
          <w:rFonts w:hint="cs"/>
          <w:rtl/>
        </w:rPr>
        <w:t>ו</w:t>
      </w:r>
      <w:r>
        <w:rPr>
          <w:rFonts w:hint="cs"/>
          <w:rtl/>
        </w:rPr>
        <w:t>י כח מתמשך</w:t>
      </w:r>
      <w:r w:rsidR="0055416A">
        <w:rPr>
          <w:rFonts w:hint="cs"/>
          <w:rtl/>
        </w:rPr>
        <w:t xml:space="preserve">. </w:t>
      </w:r>
      <w:r w:rsidR="008260DA">
        <w:rPr>
          <w:rFonts w:hint="cs"/>
          <w:rtl/>
        </w:rPr>
        <w:t xml:space="preserve">אם כך מצבו, הוא יזדקק ליעוץ משפטי לפני עשיית מסמך כאמור, וככל שהיקף רכושו </w:t>
      </w:r>
      <w:r w:rsidR="008260DA">
        <w:rPr>
          <w:rFonts w:hint="cs"/>
          <w:rtl/>
        </w:rPr>
        <w:lastRenderedPageBreak/>
        <w:t>גדול יותר, וככל שהמועמדים לשמש מיופה כח, כגון קרובי משפחה</w:t>
      </w:r>
      <w:r w:rsidR="0055416A">
        <w:rPr>
          <w:rFonts w:hint="cs"/>
          <w:rtl/>
        </w:rPr>
        <w:t>,</w:t>
      </w:r>
      <w:r w:rsidR="008260DA">
        <w:rPr>
          <w:rFonts w:hint="cs"/>
          <w:rtl/>
        </w:rPr>
        <w:t xml:space="preserve"> רבים יותר, כ</w:t>
      </w:r>
      <w:r w:rsidR="0055416A">
        <w:rPr>
          <w:rFonts w:hint="cs"/>
          <w:rtl/>
        </w:rPr>
        <w:t>ך</w:t>
      </w:r>
      <w:r w:rsidR="008260DA">
        <w:rPr>
          <w:rFonts w:hint="cs"/>
          <w:rtl/>
        </w:rPr>
        <w:t xml:space="preserve"> יזדקק ליעוץ משפטי מקצועי יותר.</w:t>
      </w:r>
    </w:p>
    <w:p w:rsidR="0013246E" w:rsidRDefault="0013246E" w:rsidP="0013246E">
      <w:pPr>
        <w:rPr>
          <w:rtl/>
        </w:rPr>
      </w:pPr>
    </w:p>
    <w:p w:rsidR="0013246E" w:rsidRDefault="0013246E" w:rsidP="0013246E">
      <w:pPr>
        <w:rPr>
          <w:rtl/>
        </w:rPr>
      </w:pPr>
      <w:r>
        <w:rPr>
          <w:rFonts w:hint="cs"/>
          <w:rtl/>
        </w:rPr>
        <w:t>בדברי ההסבר (עמ' 5) נאמר כי "ככלל, הנחת היסוד של הצעת החוק היא כי לא בכל מקרה יש צורך בהתערבות שיפוטית ובפיקוח ישיר בנוגע לפעולותיהם ולמצבם של אנשים שאינם מסוגלים לדאוג לענייניהם בעצמם...מוסד ייפוי הכח המתמשך נועד אף לאותם מצבים שיש לאדם שאינו מסוגל לדאוג לענייניו מעטפת משפחתית או חברתית הדואגת לו...".</w:t>
      </w:r>
    </w:p>
    <w:p w:rsidR="008260DA" w:rsidRDefault="008260DA" w:rsidP="008260DA">
      <w:pPr>
        <w:rPr>
          <w:rtl/>
        </w:rPr>
      </w:pPr>
    </w:p>
    <w:p w:rsidR="00514DA7" w:rsidRDefault="008260DA" w:rsidP="0013246E">
      <w:pPr>
        <w:rPr>
          <w:rtl/>
        </w:rPr>
      </w:pPr>
      <w:r>
        <w:rPr>
          <w:rFonts w:hint="cs"/>
          <w:rtl/>
        </w:rPr>
        <w:t>ההצעה לוקה בחסר בכמה מישורים</w:t>
      </w:r>
      <w:r w:rsidR="0013246E">
        <w:rPr>
          <w:rFonts w:hint="cs"/>
          <w:rtl/>
        </w:rPr>
        <w:t>, ואינה תואמת את מטרותיה והעקרונות שצויינו לעיל.לכן אציע שינויים, אשר תואמים את עקרונות היסוד ויביאו להשגתם בצורה יעילה.</w:t>
      </w:r>
      <w:r>
        <w:rPr>
          <w:rFonts w:hint="cs"/>
          <w:rtl/>
        </w:rPr>
        <w:t xml:space="preserve"> </w:t>
      </w:r>
    </w:p>
    <w:p w:rsidR="00884D77" w:rsidRDefault="00884D77" w:rsidP="008260DA">
      <w:pPr>
        <w:rPr>
          <w:rtl/>
        </w:rPr>
      </w:pPr>
    </w:p>
    <w:p w:rsidR="00EC2C9F" w:rsidRDefault="00EC2C9F" w:rsidP="008260DA">
      <w:pPr>
        <w:rPr>
          <w:rtl/>
        </w:rPr>
      </w:pPr>
    </w:p>
    <w:p w:rsidR="00EC2C9F" w:rsidRDefault="00EC2C9F" w:rsidP="008260DA">
      <w:pPr>
        <w:rPr>
          <w:b/>
          <w:bCs/>
          <w:u w:val="single"/>
          <w:rtl/>
        </w:rPr>
      </w:pPr>
      <w:r>
        <w:rPr>
          <w:rFonts w:hint="cs"/>
          <w:b/>
          <w:bCs/>
          <w:u w:val="single"/>
          <w:rtl/>
        </w:rPr>
        <w:t>סימן א'</w:t>
      </w:r>
      <w:r w:rsidR="0013246E">
        <w:rPr>
          <w:rFonts w:hint="cs"/>
          <w:b/>
          <w:bCs/>
          <w:u w:val="single"/>
          <w:rtl/>
        </w:rPr>
        <w:t>:</w:t>
      </w:r>
      <w:r>
        <w:rPr>
          <w:rFonts w:hint="cs"/>
          <w:b/>
          <w:bCs/>
          <w:u w:val="single"/>
          <w:rtl/>
        </w:rPr>
        <w:t xml:space="preserve"> הגדרות</w:t>
      </w:r>
    </w:p>
    <w:p w:rsidR="000A2002" w:rsidRDefault="000A2002" w:rsidP="008260DA">
      <w:pPr>
        <w:rPr>
          <w:b/>
          <w:bCs/>
          <w:u w:val="single"/>
          <w:rtl/>
        </w:rPr>
      </w:pPr>
    </w:p>
    <w:p w:rsidR="00EC2C9F" w:rsidRDefault="00EC2C9F" w:rsidP="008260DA">
      <w:pPr>
        <w:rPr>
          <w:b/>
          <w:bCs/>
          <w:rtl/>
        </w:rPr>
      </w:pPr>
      <w:r>
        <w:rPr>
          <w:rFonts w:hint="cs"/>
          <w:b/>
          <w:bCs/>
          <w:rtl/>
        </w:rPr>
        <w:t>סעיף</w:t>
      </w:r>
      <w:r w:rsidR="003C6F43">
        <w:rPr>
          <w:rFonts w:hint="cs"/>
          <w:b/>
          <w:bCs/>
          <w:rtl/>
        </w:rPr>
        <w:t xml:space="preserve"> מוצע</w:t>
      </w:r>
      <w:r>
        <w:rPr>
          <w:rFonts w:hint="cs"/>
          <w:b/>
          <w:bCs/>
          <w:rtl/>
        </w:rPr>
        <w:t xml:space="preserve"> 32א</w:t>
      </w:r>
    </w:p>
    <w:p w:rsidR="0013246E" w:rsidRDefault="0013246E" w:rsidP="008260DA">
      <w:pPr>
        <w:rPr>
          <w:b/>
          <w:bCs/>
          <w:rtl/>
        </w:rPr>
      </w:pPr>
    </w:p>
    <w:p w:rsidR="00EC2C9F" w:rsidRDefault="00EC2C9F" w:rsidP="008260DA">
      <w:pPr>
        <w:rPr>
          <w:u w:val="single"/>
          <w:rtl/>
        </w:rPr>
      </w:pPr>
      <w:r>
        <w:rPr>
          <w:rFonts w:hint="cs"/>
          <w:u w:val="single"/>
          <w:rtl/>
        </w:rPr>
        <w:t>הגדרת "בעל מקצוע"</w:t>
      </w:r>
    </w:p>
    <w:p w:rsidR="00EC2C9F" w:rsidRDefault="00EC2C9F" w:rsidP="008260DA">
      <w:pPr>
        <w:rPr>
          <w:u w:val="single"/>
          <w:rtl/>
        </w:rPr>
      </w:pPr>
    </w:p>
    <w:p w:rsidR="0013246E" w:rsidRDefault="00EC2C9F" w:rsidP="00E30C66">
      <w:pPr>
        <w:rPr>
          <w:rtl/>
        </w:rPr>
      </w:pPr>
      <w:r w:rsidRPr="00EC2C9F">
        <w:rPr>
          <w:rFonts w:hint="cs"/>
          <w:rtl/>
        </w:rPr>
        <w:t xml:space="preserve">רשימת בעלי המקצוע, </w:t>
      </w:r>
      <w:r w:rsidR="00E30C66">
        <w:rPr>
          <w:rFonts w:hint="cs"/>
          <w:rtl/>
        </w:rPr>
        <w:t>אשר על פי 32י(ב) מוסמכים לאשר לבדם חתימה על יפוי כח מתמשך בענייני בריאות, ועל פי סעיף 32י(ג)</w:t>
      </w:r>
      <w:r w:rsidR="0013246E">
        <w:rPr>
          <w:rFonts w:hint="cs"/>
          <w:rtl/>
        </w:rPr>
        <w:t xml:space="preserve"> מוסמכים</w:t>
      </w:r>
      <w:r w:rsidR="00E30C66">
        <w:rPr>
          <w:rFonts w:hint="cs"/>
          <w:rtl/>
        </w:rPr>
        <w:t xml:space="preserve"> לאשר יחד עם עורך דין חתימה על יפוי כח כזה על ידי מי שמאושפז, מצריכה הבהרה בנוגע לכל אחד מהמקצועות. </w:t>
      </w:r>
    </w:p>
    <w:p w:rsidR="0013246E" w:rsidRDefault="0013246E" w:rsidP="00E30C66">
      <w:pPr>
        <w:rPr>
          <w:rtl/>
        </w:rPr>
      </w:pPr>
    </w:p>
    <w:p w:rsidR="00EC2C9F" w:rsidRDefault="00E30C66" w:rsidP="00E30C66">
      <w:pPr>
        <w:rPr>
          <w:rtl/>
        </w:rPr>
      </w:pPr>
      <w:r>
        <w:rPr>
          <w:rFonts w:hint="cs"/>
          <w:rtl/>
        </w:rPr>
        <w:t>שהרי על פי סעיף 32י(ז) האישור שניתן על ידי בעל מקצוע הוא "כי הממנה חתם בפניו...וכי נוכח לדעת כי הממנה מבין את משמעות מתן יפוי הכח, מטרותיו ותוצאותיו, וכי ייפוי הכח ניתן בהסכמה חופשית ומרצון בלא שהופעלו על הממנה לחץ או השפעה בלתי הוגנת ובלא ניצול מצוקתו או חולשתו"; וכאשר נוכח גם עורך דין, אישור בעל המקצוע הוא "</w:t>
      </w:r>
      <w:r w:rsidR="0047377B">
        <w:rPr>
          <w:rFonts w:hint="cs"/>
          <w:rtl/>
        </w:rPr>
        <w:t>כי בהתאם להתרשמותו המקצועית היה הממנה בעל כשירות במועד החתימה על ייפוי הכוח".</w:t>
      </w:r>
    </w:p>
    <w:p w:rsidR="0047377B" w:rsidRDefault="0047377B" w:rsidP="00E30C66">
      <w:pPr>
        <w:rPr>
          <w:rtl/>
        </w:rPr>
      </w:pPr>
    </w:p>
    <w:p w:rsidR="0047377B" w:rsidRDefault="0047377B" w:rsidP="0013246E">
      <w:pPr>
        <w:rPr>
          <w:rtl/>
        </w:rPr>
      </w:pPr>
      <w:r>
        <w:rPr>
          <w:rFonts w:hint="cs"/>
          <w:rtl/>
        </w:rPr>
        <w:t xml:space="preserve">"רופא מורשה" </w:t>
      </w:r>
      <w:r>
        <w:rPr>
          <w:rtl/>
        </w:rPr>
        <w:t>–</w:t>
      </w:r>
      <w:r>
        <w:rPr>
          <w:rFonts w:hint="cs"/>
          <w:rtl/>
        </w:rPr>
        <w:t xml:space="preserve"> </w:t>
      </w:r>
      <w:r w:rsidR="0013246E">
        <w:rPr>
          <w:rFonts w:hint="cs"/>
          <w:rtl/>
        </w:rPr>
        <w:t>לא נראה ש</w:t>
      </w:r>
      <w:r>
        <w:rPr>
          <w:rFonts w:hint="cs"/>
          <w:rtl/>
        </w:rPr>
        <w:t xml:space="preserve">רופא </w:t>
      </w:r>
      <w:r w:rsidR="004F2AB9">
        <w:rPr>
          <w:rFonts w:hint="cs"/>
          <w:rtl/>
        </w:rPr>
        <w:t xml:space="preserve">(למעט, אולי, רופאו הכללי של הממנה המכירו זמן משמעותי) </w:t>
      </w:r>
      <w:r>
        <w:rPr>
          <w:rFonts w:hint="cs"/>
          <w:rtl/>
        </w:rPr>
        <w:t>אשר אינו מתמקצע בתחום הפסיכיאטריה או הגרונטולוגיה או הנוירולוגיה</w:t>
      </w:r>
      <w:r w:rsidR="0013246E">
        <w:rPr>
          <w:rFonts w:hint="cs"/>
          <w:rtl/>
        </w:rPr>
        <w:t xml:space="preserve"> בקי בשאלות של הבנת אדם את משמעותה </w:t>
      </w:r>
      <w:r w:rsidR="0013246E">
        <w:rPr>
          <w:rFonts w:hint="cs"/>
          <w:rtl/>
        </w:rPr>
        <w:lastRenderedPageBreak/>
        <w:t>המשפטית של מסמך.</w:t>
      </w:r>
      <w:r>
        <w:rPr>
          <w:rFonts w:hint="cs"/>
          <w:rtl/>
        </w:rPr>
        <w:t xml:space="preserve"> ואפילו </w:t>
      </w:r>
      <w:r w:rsidR="004F2AB9">
        <w:rPr>
          <w:rFonts w:hint="cs"/>
          <w:rtl/>
        </w:rPr>
        <w:t xml:space="preserve">אם </w:t>
      </w:r>
      <w:r>
        <w:rPr>
          <w:rFonts w:hint="cs"/>
          <w:rtl/>
        </w:rPr>
        <w:t xml:space="preserve">הכיר את הממנה קודם למעמד החתימה,  </w:t>
      </w:r>
      <w:r w:rsidR="0013246E">
        <w:rPr>
          <w:rFonts w:hint="cs"/>
          <w:rtl/>
        </w:rPr>
        <w:t xml:space="preserve">לא כל רופא </w:t>
      </w:r>
      <w:r>
        <w:rPr>
          <w:rFonts w:hint="cs"/>
          <w:rtl/>
        </w:rPr>
        <w:t>מסוגל לבחון אם מדובר ברצון חופשי והעדר לחץ או השפעה בלתי הוגנת או ניצול?</w:t>
      </w:r>
      <w:r>
        <w:rPr>
          <w:rStyle w:val="a8"/>
          <w:rtl/>
        </w:rPr>
        <w:footnoteReference w:id="7"/>
      </w:r>
    </w:p>
    <w:p w:rsidR="0047377B" w:rsidRDefault="0047377B" w:rsidP="00E30C66">
      <w:pPr>
        <w:rPr>
          <w:rtl/>
        </w:rPr>
      </w:pPr>
    </w:p>
    <w:p w:rsidR="0047377B" w:rsidRDefault="0047377B" w:rsidP="0013246E">
      <w:pPr>
        <w:rPr>
          <w:rtl/>
        </w:rPr>
      </w:pPr>
      <w:r>
        <w:rPr>
          <w:rFonts w:hint="cs"/>
          <w:rtl/>
        </w:rPr>
        <w:t>"עובד סו</w:t>
      </w:r>
      <w:r w:rsidR="004F2AB9">
        <w:rPr>
          <w:rFonts w:hint="cs"/>
          <w:rtl/>
        </w:rPr>
        <w:t>צ</w:t>
      </w:r>
      <w:r>
        <w:rPr>
          <w:rFonts w:hint="cs"/>
          <w:rtl/>
        </w:rPr>
        <w:t xml:space="preserve">יאלי" </w:t>
      </w:r>
      <w:r>
        <w:rPr>
          <w:rtl/>
        </w:rPr>
        <w:t>–</w:t>
      </w:r>
      <w:r>
        <w:rPr>
          <w:rFonts w:hint="cs"/>
          <w:rtl/>
        </w:rPr>
        <w:t xml:space="preserve"> השאלה הנשאלת אצל רופא מורשה נשאלת ביתר שאת אצל עובד סוציאלי, אלא אם כן אותו ע</w:t>
      </w:r>
      <w:r w:rsidR="0013246E">
        <w:rPr>
          <w:rFonts w:hint="cs"/>
          <w:rtl/>
        </w:rPr>
        <w:t>ו</w:t>
      </w:r>
      <w:r>
        <w:rPr>
          <w:rFonts w:hint="cs"/>
          <w:rtl/>
        </w:rPr>
        <w:t xml:space="preserve">בד סוציאלי הכיר את הממנה ואת סביבתו המשפחתית </w:t>
      </w:r>
      <w:r w:rsidR="004F2AB9">
        <w:rPr>
          <w:rFonts w:hint="cs"/>
          <w:rtl/>
        </w:rPr>
        <w:t>פרק זמן משמעותי קודם לחתימה</w:t>
      </w:r>
      <w:r w:rsidR="0013246E">
        <w:rPr>
          <w:rFonts w:hint="cs"/>
          <w:rtl/>
        </w:rPr>
        <w:t>, וכן התמחה בשאלותשל יכולת לקבל החלטות</w:t>
      </w:r>
      <w:r w:rsidR="004F2AB9">
        <w:rPr>
          <w:rFonts w:hint="cs"/>
          <w:rtl/>
        </w:rPr>
        <w:t>.</w:t>
      </w:r>
    </w:p>
    <w:p w:rsidR="004F2AB9" w:rsidRDefault="004F2AB9" w:rsidP="00E30C66">
      <w:pPr>
        <w:rPr>
          <w:rtl/>
        </w:rPr>
      </w:pPr>
    </w:p>
    <w:p w:rsidR="004F2AB9" w:rsidRDefault="004F2AB9" w:rsidP="00484FA8">
      <w:pPr>
        <w:rPr>
          <w:rtl/>
        </w:rPr>
      </w:pPr>
      <w:r>
        <w:rPr>
          <w:rFonts w:hint="cs"/>
          <w:rtl/>
        </w:rPr>
        <w:t xml:space="preserve">"פסיכולוג" </w:t>
      </w:r>
      <w:r>
        <w:rPr>
          <w:rtl/>
        </w:rPr>
        <w:t>–</w:t>
      </w:r>
      <w:r>
        <w:rPr>
          <w:rFonts w:hint="cs"/>
          <w:rtl/>
        </w:rPr>
        <w:t xml:space="preserve"> ללא ציון תחום עיסוקו. האם נסתפק בפסיכולוג ארגוני, או פסיכולוג ילדים בתפקיד חשוב זה, בו לוקח בעל המקצוע אחריות על שאלות </w:t>
      </w:r>
      <w:r w:rsidR="00484FA8">
        <w:rPr>
          <w:rFonts w:hint="cs"/>
          <w:rtl/>
        </w:rPr>
        <w:t>של הבנה, הסכמה חופשית, השפעה וניצול חולשה או תלות?</w:t>
      </w:r>
    </w:p>
    <w:p w:rsidR="004F2AB9" w:rsidRDefault="004F2AB9" w:rsidP="004F2AB9">
      <w:pPr>
        <w:rPr>
          <w:rtl/>
        </w:rPr>
      </w:pPr>
    </w:p>
    <w:p w:rsidR="004F2AB9" w:rsidRDefault="004F2AB9" w:rsidP="00484FA8">
      <w:pPr>
        <w:rPr>
          <w:rtl/>
        </w:rPr>
      </w:pPr>
      <w:r>
        <w:rPr>
          <w:rFonts w:hint="cs"/>
          <w:rtl/>
        </w:rPr>
        <w:t xml:space="preserve">"אחות" </w:t>
      </w:r>
      <w:r>
        <w:rPr>
          <w:rtl/>
        </w:rPr>
        <w:t>–</w:t>
      </w:r>
      <w:r>
        <w:rPr>
          <w:rFonts w:hint="cs"/>
          <w:rtl/>
        </w:rPr>
        <w:t xml:space="preserve"> חובה להבחין בין אחותו </w:t>
      </w:r>
      <w:r w:rsidR="00EB0885">
        <w:rPr>
          <w:rFonts w:hint="cs"/>
          <w:rtl/>
        </w:rPr>
        <w:t xml:space="preserve">(הביולוגית או המאומצת) </w:t>
      </w:r>
      <w:r>
        <w:rPr>
          <w:rFonts w:hint="cs"/>
          <w:rtl/>
        </w:rPr>
        <w:t>של הממנה</w:t>
      </w:r>
      <w:r w:rsidR="00EB0885">
        <w:rPr>
          <w:rFonts w:hint="cs"/>
          <w:rtl/>
        </w:rPr>
        <w:t xml:space="preserve"> לבין אח או אחות שנותן טיפול במישור הרפואי</w:t>
      </w:r>
      <w:r w:rsidR="00484FA8">
        <w:rPr>
          <w:rFonts w:hint="cs"/>
          <w:rtl/>
        </w:rPr>
        <w:t>.</w:t>
      </w:r>
      <w:r w:rsidR="00EB0885">
        <w:rPr>
          <w:rFonts w:hint="cs"/>
          <w:rtl/>
        </w:rPr>
        <w:t xml:space="preserve"> האם מדובר באחות מוסמכת או די באחות מעשית</w:t>
      </w:r>
      <w:r w:rsidR="00484FA8">
        <w:rPr>
          <w:rFonts w:hint="cs"/>
          <w:rtl/>
        </w:rPr>
        <w:t xml:space="preserve">? </w:t>
      </w:r>
      <w:r w:rsidR="00EB0885">
        <w:rPr>
          <w:rFonts w:hint="cs"/>
          <w:rtl/>
        </w:rPr>
        <w:t xml:space="preserve">כך או כך, האמור ברופא תקף ביתר שאת </w:t>
      </w:r>
      <w:r w:rsidR="00484FA8">
        <w:rPr>
          <w:rFonts w:hint="cs"/>
          <w:rtl/>
        </w:rPr>
        <w:t>אצל אחות</w:t>
      </w:r>
      <w:r w:rsidR="00EB0885">
        <w:rPr>
          <w:rFonts w:hint="cs"/>
          <w:rtl/>
        </w:rPr>
        <w:t>.</w:t>
      </w:r>
      <w:r w:rsidR="00EB0885">
        <w:rPr>
          <w:rStyle w:val="a8"/>
          <w:rtl/>
        </w:rPr>
        <w:footnoteReference w:id="8"/>
      </w:r>
    </w:p>
    <w:p w:rsidR="003C6F43" w:rsidRDefault="003C6F43" w:rsidP="004F2AB9">
      <w:pPr>
        <w:rPr>
          <w:rtl/>
        </w:rPr>
      </w:pPr>
    </w:p>
    <w:p w:rsidR="003C6F43" w:rsidRDefault="003C6F43" w:rsidP="00484FA8">
      <w:pPr>
        <w:rPr>
          <w:rtl/>
        </w:rPr>
      </w:pPr>
      <w:r>
        <w:rPr>
          <w:rFonts w:hint="cs"/>
          <w:rtl/>
        </w:rPr>
        <w:t xml:space="preserve">אינני מתעלם מהרשות הניתנת לשר המשפטים בהסכמת שר הבריאות לקבוע כללים בעניין מתן תעודות ואישורים רפואיים וכיו"ב (סעיף 15 להצעת החוק, סעיף מוצע 83(ב)), אך הרשות הניתנת אינה נוגעת </w:t>
      </w:r>
      <w:r w:rsidR="00484FA8">
        <w:rPr>
          <w:rFonts w:hint="cs"/>
          <w:rtl/>
        </w:rPr>
        <w:t xml:space="preserve">ספציפית לכל </w:t>
      </w:r>
      <w:r>
        <w:rPr>
          <w:rFonts w:hint="cs"/>
          <w:rtl/>
        </w:rPr>
        <w:t>בעלי מקצוע עלי פי סעיף</w:t>
      </w:r>
      <w:r w:rsidR="000A2002">
        <w:rPr>
          <w:rFonts w:hint="cs"/>
          <w:rtl/>
        </w:rPr>
        <w:t xml:space="preserve"> מוצע </w:t>
      </w:r>
      <w:r>
        <w:rPr>
          <w:rFonts w:hint="cs"/>
          <w:rtl/>
        </w:rPr>
        <w:t>32א</w:t>
      </w:r>
      <w:r w:rsidR="00484FA8">
        <w:rPr>
          <w:rFonts w:hint="cs"/>
          <w:rtl/>
        </w:rPr>
        <w:t>. לכן</w:t>
      </w:r>
      <w:r>
        <w:rPr>
          <w:rFonts w:hint="cs"/>
          <w:rtl/>
        </w:rPr>
        <w:t xml:space="preserve"> יש לקבוע בחוק עצמו, או ככל הפחות בתקנות</w:t>
      </w:r>
      <w:r w:rsidR="000A2002">
        <w:rPr>
          <w:rFonts w:hint="cs"/>
          <w:rtl/>
        </w:rPr>
        <w:t xml:space="preserve">, הגדרות מפורטות של בעלי המקצוע, ואם בתקנות מדובר, לקבוע כי לא יכנס סעיף זה </w:t>
      </w:r>
      <w:r w:rsidR="00484FA8">
        <w:rPr>
          <w:rFonts w:hint="cs"/>
          <w:rtl/>
        </w:rPr>
        <w:t xml:space="preserve">לחוק </w:t>
      </w:r>
      <w:r w:rsidR="000A2002">
        <w:rPr>
          <w:rFonts w:hint="cs"/>
          <w:rtl/>
        </w:rPr>
        <w:t>לתוקף עד אשר יותקנו התקנות.</w:t>
      </w:r>
    </w:p>
    <w:p w:rsidR="003344D0" w:rsidRDefault="003344D0" w:rsidP="000A2002"/>
    <w:p w:rsidR="003344D0" w:rsidRDefault="003344D0" w:rsidP="003344D0">
      <w:pPr>
        <w:rPr>
          <w:rtl/>
        </w:rPr>
      </w:pPr>
      <w:r>
        <w:rPr>
          <w:rFonts w:hint="cs"/>
          <w:rtl/>
        </w:rPr>
        <w:t>בהקשר לנוכחים בחתימת ייפוי כוח מתמשך</w:t>
      </w:r>
      <w:r w:rsidR="00484FA8">
        <w:rPr>
          <w:rFonts w:hint="cs"/>
          <w:rtl/>
        </w:rPr>
        <w:t>,</w:t>
      </w:r>
      <w:r>
        <w:rPr>
          <w:rFonts w:hint="cs"/>
          <w:rtl/>
        </w:rPr>
        <w:t xml:space="preserve"> ראה נא הערותיי לסעיף מוצע 32י(א).</w:t>
      </w:r>
    </w:p>
    <w:p w:rsidR="000A2002" w:rsidRDefault="000A2002" w:rsidP="000A2002">
      <w:pPr>
        <w:rPr>
          <w:rtl/>
        </w:rPr>
      </w:pPr>
    </w:p>
    <w:p w:rsidR="000A2002" w:rsidRDefault="000A2002" w:rsidP="000A2002">
      <w:pPr>
        <w:rPr>
          <w:u w:val="single"/>
          <w:rtl/>
        </w:rPr>
      </w:pPr>
      <w:r>
        <w:rPr>
          <w:rFonts w:hint="cs"/>
          <w:u w:val="single"/>
          <w:rtl/>
        </w:rPr>
        <w:t>הגדרת "בעל כשירות"</w:t>
      </w:r>
    </w:p>
    <w:p w:rsidR="000A2002" w:rsidRDefault="000A2002" w:rsidP="000A2002">
      <w:pPr>
        <w:rPr>
          <w:rtl/>
        </w:rPr>
      </w:pPr>
      <w:r>
        <w:rPr>
          <w:rFonts w:hint="cs"/>
          <w:rtl/>
        </w:rPr>
        <w:lastRenderedPageBreak/>
        <w:t xml:space="preserve">קביעת מי בעל כשירות </w:t>
      </w:r>
      <w:r w:rsidR="00D961E0">
        <w:rPr>
          <w:rFonts w:hint="cs"/>
          <w:rtl/>
        </w:rPr>
        <w:t>משלבת היבטים רפואיים ומשפטיים, על כל המשתמע מבחינת בחירת בעל המקצוע, כאמור לעיל.</w:t>
      </w:r>
    </w:p>
    <w:p w:rsidR="00D961E0" w:rsidRDefault="00D961E0" w:rsidP="000A2002">
      <w:pPr>
        <w:rPr>
          <w:rtl/>
        </w:rPr>
      </w:pPr>
    </w:p>
    <w:p w:rsidR="00D961E0" w:rsidRDefault="00D961E0" w:rsidP="000A2002">
      <w:pPr>
        <w:rPr>
          <w:u w:val="single"/>
          <w:rtl/>
        </w:rPr>
      </w:pPr>
      <w:r>
        <w:rPr>
          <w:rFonts w:hint="cs"/>
          <w:u w:val="single"/>
          <w:rtl/>
        </w:rPr>
        <w:t>הגדרת "עניינים אישיים</w:t>
      </w:r>
      <w:r w:rsidR="006C1F98">
        <w:rPr>
          <w:rFonts w:hint="cs"/>
          <w:u w:val="single"/>
          <w:rtl/>
        </w:rPr>
        <w:t>"</w:t>
      </w:r>
    </w:p>
    <w:p w:rsidR="00803A99" w:rsidRDefault="00D961E0" w:rsidP="00484FA8">
      <w:pPr>
        <w:rPr>
          <w:rtl/>
        </w:rPr>
      </w:pPr>
      <w:r>
        <w:rPr>
          <w:rFonts w:hint="cs"/>
          <w:rtl/>
        </w:rPr>
        <w:t xml:space="preserve">ההגדרה המוצעת כוללת את כל הסמכויות הניתנות למיופה הכח שאינם בענייני רכוש, ובצדק. יחד עם זאת, שינוי במקום מגוריו של חסוי טומן בחובו, על פי רוב, גם מימדים כספיים ורכושיים. אדם העובר מדירתו לדיור מוגן או לבית אבות יצרך לשלם במקום החדש את עלות רכישת יחידה או דמי טיפול ודמי שכירות חודשיים, ולמכור או להשכיר את ביתו. גם מי שעובר </w:t>
      </w:r>
      <w:r w:rsidR="00484FA8">
        <w:rPr>
          <w:rFonts w:hint="cs"/>
          <w:rtl/>
        </w:rPr>
        <w:t>מ</w:t>
      </w:r>
      <w:r>
        <w:rPr>
          <w:rFonts w:hint="cs"/>
          <w:rtl/>
        </w:rPr>
        <w:t>דירה מוגנת ליחידה סיעודית</w:t>
      </w:r>
      <w:r w:rsidR="00803A99">
        <w:rPr>
          <w:rFonts w:hint="cs"/>
          <w:rtl/>
        </w:rPr>
        <w:t>, אפילו באותו מוסד, ישנן השלכות כאלו.</w:t>
      </w:r>
      <w:r w:rsidR="00803A99">
        <w:rPr>
          <w:rStyle w:val="a8"/>
          <w:rtl/>
        </w:rPr>
        <w:footnoteReference w:id="9"/>
      </w:r>
      <w:r w:rsidR="00803A99">
        <w:rPr>
          <w:rFonts w:hint="cs"/>
          <w:rtl/>
        </w:rPr>
        <w:t xml:space="preserve"> </w:t>
      </w:r>
    </w:p>
    <w:p w:rsidR="00803A99" w:rsidRDefault="00803A99" w:rsidP="00D961E0">
      <w:pPr>
        <w:rPr>
          <w:rtl/>
        </w:rPr>
      </w:pPr>
    </w:p>
    <w:p w:rsidR="00D961E0" w:rsidRPr="00D961E0" w:rsidRDefault="00803A99" w:rsidP="00D961E0">
      <w:pPr>
        <w:rPr>
          <w:rtl/>
        </w:rPr>
      </w:pPr>
      <w:r>
        <w:rPr>
          <w:rFonts w:hint="cs"/>
          <w:rtl/>
        </w:rPr>
        <w:t>על כן יש לשקול הסדר שונה לגבי</w:t>
      </w:r>
      <w:r w:rsidR="00D961E0">
        <w:rPr>
          <w:rFonts w:hint="cs"/>
          <w:rtl/>
        </w:rPr>
        <w:t xml:space="preserve"> </w:t>
      </w:r>
      <w:r>
        <w:rPr>
          <w:rFonts w:hint="cs"/>
          <w:rtl/>
        </w:rPr>
        <w:t>קביעת מקום מגורים.</w:t>
      </w:r>
    </w:p>
    <w:p w:rsidR="000A2002" w:rsidRPr="000A2002" w:rsidRDefault="000A2002" w:rsidP="000A2002">
      <w:pPr>
        <w:rPr>
          <w:rtl/>
        </w:rPr>
      </w:pPr>
    </w:p>
    <w:p w:rsidR="00803A99" w:rsidRDefault="00803A99" w:rsidP="00803A99">
      <w:pPr>
        <w:rPr>
          <w:b/>
          <w:bCs/>
          <w:u w:val="single"/>
          <w:rtl/>
        </w:rPr>
      </w:pPr>
      <w:r>
        <w:rPr>
          <w:rFonts w:hint="cs"/>
          <w:b/>
          <w:bCs/>
          <w:u w:val="single"/>
          <w:rtl/>
        </w:rPr>
        <w:t>סימן ב'</w:t>
      </w:r>
      <w:r w:rsidR="00484FA8">
        <w:rPr>
          <w:rFonts w:hint="cs"/>
          <w:b/>
          <w:bCs/>
          <w:u w:val="single"/>
          <w:rtl/>
        </w:rPr>
        <w:t>:</w:t>
      </w:r>
      <w:r>
        <w:rPr>
          <w:rFonts w:hint="cs"/>
          <w:b/>
          <w:bCs/>
          <w:u w:val="single"/>
          <w:rtl/>
        </w:rPr>
        <w:t xml:space="preserve"> מינוי מיופה כוח</w:t>
      </w:r>
    </w:p>
    <w:p w:rsidR="00B105EE" w:rsidRDefault="00B105EE" w:rsidP="00803A99">
      <w:pPr>
        <w:rPr>
          <w:b/>
          <w:bCs/>
          <w:u w:val="single"/>
          <w:rtl/>
        </w:rPr>
      </w:pPr>
    </w:p>
    <w:p w:rsidR="00B105EE" w:rsidRPr="00B105EE" w:rsidRDefault="00B105EE" w:rsidP="00105F43">
      <w:pPr>
        <w:rPr>
          <w:b/>
          <w:bCs/>
          <w:rtl/>
        </w:rPr>
      </w:pPr>
      <w:r>
        <w:rPr>
          <w:rFonts w:hint="cs"/>
          <w:b/>
          <w:bCs/>
          <w:rtl/>
        </w:rPr>
        <w:t>ש</w:t>
      </w:r>
      <w:r w:rsidR="00105F43">
        <w:rPr>
          <w:rFonts w:hint="cs"/>
          <w:b/>
          <w:bCs/>
          <w:rtl/>
        </w:rPr>
        <w:t>י</w:t>
      </w:r>
      <w:r>
        <w:rPr>
          <w:rFonts w:hint="cs"/>
          <w:b/>
          <w:bCs/>
          <w:rtl/>
        </w:rPr>
        <w:t>נוי כותרת.</w:t>
      </w:r>
    </w:p>
    <w:p w:rsidR="00B105EE" w:rsidRDefault="00B105EE" w:rsidP="00803A99">
      <w:pPr>
        <w:rPr>
          <w:b/>
          <w:bCs/>
          <w:u w:val="single"/>
          <w:rtl/>
        </w:rPr>
      </w:pPr>
    </w:p>
    <w:p w:rsidR="00B105EE" w:rsidRPr="00B105EE" w:rsidRDefault="00B105EE" w:rsidP="00484FA8">
      <w:pPr>
        <w:rPr>
          <w:rtl/>
        </w:rPr>
      </w:pPr>
      <w:r>
        <w:rPr>
          <w:rFonts w:hint="cs"/>
          <w:rtl/>
        </w:rPr>
        <w:t>כדי לשקף נכון את תוכן הסימן המוצע, יש לתקן את הכותרת, כ</w:t>
      </w:r>
      <w:r w:rsidR="00484FA8">
        <w:rPr>
          <w:rFonts w:hint="cs"/>
          <w:rtl/>
        </w:rPr>
        <w:t>ך</w:t>
      </w:r>
      <w:r>
        <w:rPr>
          <w:rFonts w:hint="cs"/>
          <w:rtl/>
        </w:rPr>
        <w:t xml:space="preserve"> שתהיה: </w:t>
      </w:r>
      <w:r w:rsidRPr="007258A0">
        <w:rPr>
          <w:rFonts w:hint="cs"/>
          <w:b/>
          <w:bCs/>
          <w:rtl/>
        </w:rPr>
        <w:t>יפוי כוח מתמשך: מינוי מיופה כח</w:t>
      </w:r>
      <w:r>
        <w:rPr>
          <w:rFonts w:hint="cs"/>
          <w:rtl/>
        </w:rPr>
        <w:t>.</w:t>
      </w:r>
    </w:p>
    <w:p w:rsidR="00803A99" w:rsidRDefault="00803A99" w:rsidP="00803A99">
      <w:pPr>
        <w:rPr>
          <w:b/>
          <w:bCs/>
          <w:u w:val="single"/>
          <w:rtl/>
        </w:rPr>
      </w:pPr>
    </w:p>
    <w:p w:rsidR="00803A99" w:rsidRDefault="00803A99" w:rsidP="009A438F">
      <w:pPr>
        <w:rPr>
          <w:b/>
          <w:bCs/>
          <w:rtl/>
        </w:rPr>
      </w:pPr>
      <w:r>
        <w:rPr>
          <w:rFonts w:hint="cs"/>
          <w:b/>
          <w:bCs/>
          <w:rtl/>
        </w:rPr>
        <w:t>סעיף מוצע 32</w:t>
      </w:r>
      <w:r w:rsidR="00B105EE">
        <w:rPr>
          <w:rFonts w:hint="cs"/>
          <w:b/>
          <w:bCs/>
          <w:rtl/>
        </w:rPr>
        <w:t>ב</w:t>
      </w:r>
    </w:p>
    <w:p w:rsidR="00B105EE" w:rsidRDefault="00B105EE" w:rsidP="009A438F">
      <w:pPr>
        <w:rPr>
          <w:rtl/>
        </w:rPr>
      </w:pPr>
      <w:r>
        <w:rPr>
          <w:rFonts w:hint="cs"/>
          <w:rtl/>
        </w:rPr>
        <w:t>יש קושי בדברי ההסבר לסעיף קטן מוצע זה (עמ' 6 להצעת החוק). שם נאמר כי יש מצב בו הממנה "אינו מסוגל ללכת לבנק או להבין בפרטי עיסקה אך עדיין מסוגל להבין את טיב השליחות בעניינים אלה". לא נראה שאדם ש</w:t>
      </w:r>
      <w:r w:rsidR="009A438F">
        <w:rPr>
          <w:rFonts w:hint="cs"/>
          <w:rtl/>
        </w:rPr>
        <w:t>אי</w:t>
      </w:r>
      <w:r>
        <w:rPr>
          <w:rFonts w:hint="cs"/>
          <w:rtl/>
        </w:rPr>
        <w:t>נו מסגל להבין פרטי עיסקה יוכל להיות מסוגל להבין את השליחות שהוא נותן לאחר לעשות אותה עיסקה.</w:t>
      </w:r>
    </w:p>
    <w:p w:rsidR="009A438F" w:rsidRDefault="009A438F" w:rsidP="009A438F">
      <w:pPr>
        <w:rPr>
          <w:rtl/>
        </w:rPr>
      </w:pPr>
    </w:p>
    <w:p w:rsidR="009A438F" w:rsidRDefault="009A438F" w:rsidP="00484FA8">
      <w:pPr>
        <w:rPr>
          <w:rtl/>
        </w:rPr>
      </w:pPr>
      <w:r>
        <w:rPr>
          <w:rFonts w:hint="cs"/>
          <w:rtl/>
        </w:rPr>
        <w:t>משמעות האמור בדברי ההסבר היא שיש דרגות בהגדרת "בעל כשירות"</w:t>
      </w:r>
      <w:r w:rsidR="00484FA8">
        <w:rPr>
          <w:rFonts w:hint="cs"/>
          <w:rtl/>
        </w:rPr>
        <w:t>:</w:t>
      </w:r>
      <w:r>
        <w:rPr>
          <w:rFonts w:hint="cs"/>
          <w:rtl/>
        </w:rPr>
        <w:t xml:space="preserve"> בעל כשירות מלאה או בעל כשירות חלקית או מוגבלת. אכן מצבים כאלה שכיחים למדי, אך מצבי</w:t>
      </w:r>
      <w:r w:rsidR="00484FA8">
        <w:rPr>
          <w:rFonts w:hint="cs"/>
          <w:rtl/>
        </w:rPr>
        <w:t>ם</w:t>
      </w:r>
      <w:r>
        <w:rPr>
          <w:rFonts w:hint="cs"/>
          <w:rtl/>
        </w:rPr>
        <w:t xml:space="preserve"> אלה לא משתקפים בהגדרת מונח זה בסעיף 32א המוצע.</w:t>
      </w:r>
    </w:p>
    <w:p w:rsidR="009A438F" w:rsidRDefault="009A438F" w:rsidP="009A438F">
      <w:pPr>
        <w:rPr>
          <w:rtl/>
        </w:rPr>
      </w:pPr>
    </w:p>
    <w:p w:rsidR="009A438F" w:rsidRDefault="009A438F" w:rsidP="009A438F">
      <w:pPr>
        <w:rPr>
          <w:b/>
          <w:bCs/>
          <w:rtl/>
        </w:rPr>
      </w:pPr>
      <w:r>
        <w:rPr>
          <w:rFonts w:hint="cs"/>
          <w:b/>
          <w:bCs/>
          <w:rtl/>
        </w:rPr>
        <w:lastRenderedPageBreak/>
        <w:t>סעיף מוצע 32ג</w:t>
      </w:r>
      <w:r w:rsidR="00105F43">
        <w:rPr>
          <w:rFonts w:hint="cs"/>
          <w:b/>
          <w:bCs/>
          <w:rtl/>
        </w:rPr>
        <w:t>(ב)</w:t>
      </w:r>
    </w:p>
    <w:p w:rsidR="00105F43" w:rsidRDefault="00105F43" w:rsidP="00105F43">
      <w:pPr>
        <w:rPr>
          <w:rtl/>
        </w:rPr>
      </w:pPr>
      <w:r>
        <w:rPr>
          <w:rFonts w:hint="cs"/>
          <w:rtl/>
        </w:rPr>
        <w:t xml:space="preserve">מטרת הוראה זו, שאדם לא ישמש מיופה כח ליותר מ-3 ממנים, על מנת שיוכל ליתן תשומת לב אישית לממנים, ראויה. אך אין התייחסות לאפשרות שאדם יתמנה כאפוטרופוס רגיל או כמיופה כח שלא על פי יפוי כח מתמשך, ליותר משלושה אנשים, ובכך תאויין המטרה המבורכת, ונעדרת כל הוראה אשר תאפשר פיקוח. </w:t>
      </w:r>
    </w:p>
    <w:p w:rsidR="00105F43" w:rsidRDefault="00105F43" w:rsidP="00105F43">
      <w:pPr>
        <w:rPr>
          <w:rtl/>
        </w:rPr>
      </w:pPr>
    </w:p>
    <w:p w:rsidR="00105F43" w:rsidRDefault="00105F43" w:rsidP="00484FA8">
      <w:pPr>
        <w:rPr>
          <w:rtl/>
        </w:rPr>
      </w:pPr>
      <w:r>
        <w:rPr>
          <w:rFonts w:hint="cs"/>
          <w:rtl/>
        </w:rPr>
        <w:t xml:space="preserve">לכן יש לשקול </w:t>
      </w:r>
      <w:r w:rsidR="00484FA8">
        <w:rPr>
          <w:rFonts w:hint="cs"/>
          <w:rtl/>
        </w:rPr>
        <w:t>חובה</w:t>
      </w:r>
      <w:r>
        <w:rPr>
          <w:rFonts w:hint="cs"/>
          <w:rtl/>
        </w:rPr>
        <w:t xml:space="preserve"> </w:t>
      </w:r>
      <w:r w:rsidR="00484FA8">
        <w:rPr>
          <w:rFonts w:hint="cs"/>
          <w:rtl/>
        </w:rPr>
        <w:t xml:space="preserve">על </w:t>
      </w:r>
      <w:r>
        <w:rPr>
          <w:rFonts w:hint="cs"/>
          <w:rtl/>
        </w:rPr>
        <w:t>מי שמבקשים למנותו מיופה כח או אפוטרופוס שיצהיר שאינו משמש בתפקיד זה לשלושה אנשים כבר, ו</w:t>
      </w:r>
      <w:r w:rsidR="00484FA8">
        <w:rPr>
          <w:rFonts w:hint="cs"/>
          <w:rtl/>
        </w:rPr>
        <w:t>כן לחייבו להתחייב שלא</w:t>
      </w:r>
      <w:r>
        <w:rPr>
          <w:rFonts w:hint="cs"/>
          <w:rtl/>
        </w:rPr>
        <w:t xml:space="preserve"> יקבל על עצמו תפקיד כזה ליותר משלושה אנשים.</w:t>
      </w:r>
    </w:p>
    <w:p w:rsidR="00105F43" w:rsidRDefault="00105F43" w:rsidP="00105F43">
      <w:pPr>
        <w:rPr>
          <w:rtl/>
        </w:rPr>
      </w:pPr>
    </w:p>
    <w:p w:rsidR="00105F43" w:rsidRDefault="00105F43" w:rsidP="00105F43">
      <w:pPr>
        <w:rPr>
          <w:b/>
          <w:bCs/>
          <w:u w:val="single"/>
          <w:rtl/>
        </w:rPr>
      </w:pPr>
      <w:r>
        <w:rPr>
          <w:rFonts w:hint="cs"/>
          <w:b/>
          <w:bCs/>
          <w:u w:val="single"/>
          <w:rtl/>
        </w:rPr>
        <w:t>סימן ג':</w:t>
      </w:r>
      <w:r>
        <w:rPr>
          <w:rFonts w:hint="cs"/>
          <w:rtl/>
        </w:rPr>
        <w:t xml:space="preserve">  </w:t>
      </w:r>
      <w:r w:rsidRPr="00105F43">
        <w:rPr>
          <w:rFonts w:hint="cs"/>
          <w:b/>
          <w:bCs/>
          <w:u w:val="single"/>
          <w:rtl/>
        </w:rPr>
        <w:t>סמכויות מיופה כח</w:t>
      </w:r>
    </w:p>
    <w:p w:rsidR="00105F43" w:rsidRDefault="00105F43" w:rsidP="00105F43">
      <w:pPr>
        <w:rPr>
          <w:b/>
          <w:bCs/>
          <w:u w:val="single"/>
          <w:rtl/>
        </w:rPr>
      </w:pPr>
    </w:p>
    <w:p w:rsidR="00105F43" w:rsidRDefault="00105F43" w:rsidP="00105F43">
      <w:pPr>
        <w:rPr>
          <w:b/>
          <w:bCs/>
          <w:rtl/>
        </w:rPr>
      </w:pPr>
      <w:r>
        <w:rPr>
          <w:rFonts w:hint="cs"/>
          <w:b/>
          <w:bCs/>
          <w:rtl/>
        </w:rPr>
        <w:t>שינוי כותר</w:t>
      </w:r>
      <w:r w:rsidR="00BB60EF">
        <w:rPr>
          <w:rFonts w:hint="cs"/>
          <w:b/>
          <w:bCs/>
          <w:rtl/>
        </w:rPr>
        <w:t>ת</w:t>
      </w:r>
    </w:p>
    <w:p w:rsidR="00105F43" w:rsidRDefault="00105F43" w:rsidP="00105F43">
      <w:pPr>
        <w:rPr>
          <w:b/>
          <w:bCs/>
          <w:rtl/>
        </w:rPr>
      </w:pPr>
    </w:p>
    <w:p w:rsidR="00105F43" w:rsidRDefault="00105F43" w:rsidP="00105F43">
      <w:pPr>
        <w:rPr>
          <w:rtl/>
        </w:rPr>
      </w:pPr>
      <w:r w:rsidRPr="00893982">
        <w:rPr>
          <w:rFonts w:hint="cs"/>
          <w:rtl/>
        </w:rPr>
        <w:t xml:space="preserve">אף כאן, הכותרת צריכה להיות: </w:t>
      </w:r>
      <w:r w:rsidRPr="007258A0">
        <w:rPr>
          <w:rFonts w:hint="cs"/>
          <w:b/>
          <w:bCs/>
          <w:rtl/>
        </w:rPr>
        <w:t>ייפוי כוח מתמשך: סמכויות מיופה כוח</w:t>
      </w:r>
      <w:r w:rsidR="00893982">
        <w:rPr>
          <w:rFonts w:hint="cs"/>
          <w:rtl/>
        </w:rPr>
        <w:t>.</w:t>
      </w:r>
    </w:p>
    <w:p w:rsidR="00893982" w:rsidRDefault="00893982" w:rsidP="00105F43">
      <w:pPr>
        <w:rPr>
          <w:rtl/>
        </w:rPr>
      </w:pPr>
    </w:p>
    <w:p w:rsidR="00893982" w:rsidRDefault="00893982" w:rsidP="00893982">
      <w:pPr>
        <w:rPr>
          <w:b/>
          <w:bCs/>
          <w:rtl/>
        </w:rPr>
      </w:pPr>
      <w:r>
        <w:rPr>
          <w:rFonts w:hint="cs"/>
          <w:b/>
          <w:bCs/>
          <w:rtl/>
        </w:rPr>
        <w:t>סעיף מוצע 32ו(ג)(1)</w:t>
      </w:r>
    </w:p>
    <w:p w:rsidR="00893982" w:rsidRDefault="00893982" w:rsidP="00156518">
      <w:pPr>
        <w:rPr>
          <w:rtl/>
        </w:rPr>
      </w:pPr>
      <w:r w:rsidRPr="00893982">
        <w:rPr>
          <w:rFonts w:hint="cs"/>
          <w:rtl/>
        </w:rPr>
        <w:t>אין</w:t>
      </w:r>
      <w:r>
        <w:rPr>
          <w:rFonts w:hint="cs"/>
          <w:rtl/>
        </w:rPr>
        <w:t xml:space="preserve"> </w:t>
      </w:r>
      <w:r w:rsidRPr="00893982">
        <w:rPr>
          <w:rFonts w:hint="cs"/>
          <w:rtl/>
        </w:rPr>
        <w:t xml:space="preserve">זה ראוי לקבוע סכום </w:t>
      </w:r>
      <w:r>
        <w:rPr>
          <w:rFonts w:hint="cs"/>
          <w:rtl/>
        </w:rPr>
        <w:t>מירבי למתן תרומות או מתנות. ראוי יותר לקבוע דרישה ל</w:t>
      </w:r>
      <w:r w:rsidR="00156518">
        <w:rPr>
          <w:rFonts w:hint="cs"/>
          <w:rtl/>
        </w:rPr>
        <w:t xml:space="preserve">הוראה מפורשת ביפוי הכח </w:t>
      </w:r>
      <w:r>
        <w:rPr>
          <w:rFonts w:hint="cs"/>
          <w:rtl/>
        </w:rPr>
        <w:t xml:space="preserve">למתנות </w:t>
      </w:r>
      <w:r w:rsidR="00156518">
        <w:rPr>
          <w:rFonts w:hint="cs"/>
          <w:rtl/>
        </w:rPr>
        <w:t>ו/</w:t>
      </w:r>
      <w:r>
        <w:rPr>
          <w:rFonts w:hint="cs"/>
          <w:rtl/>
        </w:rPr>
        <w:t>או תרומות שעולות ביחד בשנה מסויימת על אחוז מסויים של רכוש הממנה או של הכנסתו השנתית של הממנה.</w:t>
      </w:r>
      <w:r w:rsidR="00484FA8">
        <w:rPr>
          <w:rFonts w:hint="cs"/>
          <w:rtl/>
        </w:rPr>
        <w:t xml:space="preserve"> בהעדר הוראה כזו, יש להגביל את התרומות והמתנות ביחד בשנה מסויימת ל10% של הרכוש או ההכנסות השנתיות, לפי הנמוך.</w:t>
      </w:r>
    </w:p>
    <w:p w:rsidR="00156518" w:rsidRDefault="00156518" w:rsidP="00156518">
      <w:pPr>
        <w:rPr>
          <w:rtl/>
        </w:rPr>
      </w:pPr>
    </w:p>
    <w:p w:rsidR="00156518" w:rsidRDefault="00156518" w:rsidP="00156518">
      <w:pPr>
        <w:rPr>
          <w:b/>
          <w:bCs/>
          <w:rtl/>
        </w:rPr>
      </w:pPr>
      <w:r>
        <w:rPr>
          <w:rFonts w:hint="cs"/>
          <w:b/>
          <w:bCs/>
          <w:rtl/>
        </w:rPr>
        <w:t>סעיף מוצע 32ו(ד)(3)</w:t>
      </w:r>
    </w:p>
    <w:p w:rsidR="00156518" w:rsidRDefault="00156518" w:rsidP="00484FA8">
      <w:pPr>
        <w:rPr>
          <w:rtl/>
        </w:rPr>
      </w:pPr>
      <w:r>
        <w:rPr>
          <w:rFonts w:hint="cs"/>
          <w:rtl/>
        </w:rPr>
        <w:t>כנ"ל - אישור בית המשפט צריך להיות תנאי למתנות ו/או תרומות שעולות ביחד בשנה מסויימת על אחוז מסויים ש</w:t>
      </w:r>
      <w:r w:rsidR="00484FA8">
        <w:rPr>
          <w:rFonts w:hint="cs"/>
          <w:rtl/>
        </w:rPr>
        <w:t>ל רכוש הממנה או של הכנסתו השנתית</w:t>
      </w:r>
      <w:r>
        <w:rPr>
          <w:rFonts w:hint="cs"/>
          <w:rtl/>
        </w:rPr>
        <w:t>.</w:t>
      </w:r>
    </w:p>
    <w:p w:rsidR="00156518" w:rsidRDefault="00156518" w:rsidP="00156518">
      <w:pPr>
        <w:rPr>
          <w:rtl/>
        </w:rPr>
      </w:pPr>
    </w:p>
    <w:p w:rsidR="00156518" w:rsidRDefault="00156518" w:rsidP="00156518">
      <w:pPr>
        <w:rPr>
          <w:b/>
          <w:bCs/>
          <w:rtl/>
        </w:rPr>
      </w:pPr>
      <w:r>
        <w:rPr>
          <w:rFonts w:hint="cs"/>
          <w:b/>
          <w:bCs/>
          <w:rtl/>
        </w:rPr>
        <w:t>תיקון טעות דפוס</w:t>
      </w:r>
      <w:r w:rsidR="00484FA8">
        <w:rPr>
          <w:rFonts w:hint="cs"/>
          <w:b/>
          <w:bCs/>
          <w:rtl/>
        </w:rPr>
        <w:t xml:space="preserve"> בדברי ההסבר</w:t>
      </w:r>
    </w:p>
    <w:p w:rsidR="00156518" w:rsidRDefault="00156518" w:rsidP="00156518">
      <w:pPr>
        <w:rPr>
          <w:rtl/>
        </w:rPr>
      </w:pPr>
      <w:r>
        <w:rPr>
          <w:rFonts w:hint="cs"/>
          <w:rtl/>
        </w:rPr>
        <w:t>בעמ' 10, תור שמאלי, שורה ראשונה, במקום "משפט" צ"ל "מתמשך".</w:t>
      </w:r>
    </w:p>
    <w:p w:rsidR="00156518" w:rsidRDefault="00156518" w:rsidP="00156518">
      <w:pPr>
        <w:rPr>
          <w:rtl/>
        </w:rPr>
      </w:pPr>
    </w:p>
    <w:p w:rsidR="00BB60EF" w:rsidRDefault="00BB60EF" w:rsidP="00BB60EF">
      <w:pPr>
        <w:rPr>
          <w:b/>
          <w:bCs/>
          <w:u w:val="single"/>
          <w:rtl/>
        </w:rPr>
      </w:pPr>
      <w:r w:rsidRPr="00BB60EF">
        <w:rPr>
          <w:rFonts w:hint="cs"/>
          <w:b/>
          <w:bCs/>
          <w:u w:val="single"/>
          <w:rtl/>
        </w:rPr>
        <w:t>סימן ד'</w:t>
      </w:r>
      <w:r>
        <w:rPr>
          <w:rFonts w:hint="cs"/>
          <w:b/>
          <w:bCs/>
          <w:u w:val="single"/>
          <w:rtl/>
        </w:rPr>
        <w:t>:</w:t>
      </w:r>
      <w:r w:rsidR="00901991">
        <w:rPr>
          <w:rFonts w:hint="cs"/>
          <w:b/>
          <w:bCs/>
          <w:u w:val="single"/>
          <w:rtl/>
        </w:rPr>
        <w:t xml:space="preserve"> </w:t>
      </w:r>
      <w:r>
        <w:rPr>
          <w:rFonts w:hint="cs"/>
          <w:b/>
          <w:bCs/>
          <w:u w:val="single"/>
          <w:rtl/>
        </w:rPr>
        <w:t>ייפוי כוח מתמשך</w:t>
      </w:r>
    </w:p>
    <w:p w:rsidR="00BB60EF" w:rsidRDefault="00BB60EF" w:rsidP="00BB60EF">
      <w:pPr>
        <w:rPr>
          <w:b/>
          <w:bCs/>
          <w:u w:val="single"/>
          <w:rtl/>
        </w:rPr>
      </w:pPr>
    </w:p>
    <w:p w:rsidR="00BB60EF" w:rsidRDefault="007258A0" w:rsidP="007258A0">
      <w:pPr>
        <w:rPr>
          <w:b/>
          <w:bCs/>
          <w:rtl/>
        </w:rPr>
      </w:pPr>
      <w:r>
        <w:rPr>
          <w:rFonts w:hint="cs"/>
          <w:b/>
          <w:bCs/>
          <w:rtl/>
        </w:rPr>
        <w:t>שינוי כותרת</w:t>
      </w:r>
    </w:p>
    <w:p w:rsidR="007258A0" w:rsidRDefault="007258A0" w:rsidP="00BB60EF">
      <w:pPr>
        <w:rPr>
          <w:rtl/>
        </w:rPr>
      </w:pPr>
      <w:r>
        <w:rPr>
          <w:rFonts w:hint="cs"/>
          <w:rtl/>
        </w:rPr>
        <w:lastRenderedPageBreak/>
        <w:t xml:space="preserve">אין זה רגיל שסימן בחוק ישא אותה כותרת של הפרק שהוא חלק ממנו. </w:t>
      </w:r>
    </w:p>
    <w:p w:rsidR="007258A0" w:rsidRPr="007258A0" w:rsidRDefault="007258A0" w:rsidP="00BB60EF">
      <w:pPr>
        <w:rPr>
          <w:b/>
          <w:bCs/>
          <w:rtl/>
        </w:rPr>
      </w:pPr>
      <w:r>
        <w:rPr>
          <w:rFonts w:hint="cs"/>
          <w:rtl/>
        </w:rPr>
        <w:t xml:space="preserve">לכן </w:t>
      </w:r>
      <w:r w:rsidRPr="007258A0">
        <w:rPr>
          <w:rFonts w:hint="cs"/>
          <w:rtl/>
        </w:rPr>
        <w:t xml:space="preserve">רצוי שכותרת סימן זה תהיה: </w:t>
      </w:r>
      <w:r>
        <w:rPr>
          <w:rFonts w:hint="cs"/>
          <w:b/>
          <w:bCs/>
          <w:rtl/>
        </w:rPr>
        <w:t>צורת ייפוח כ</w:t>
      </w:r>
      <w:r w:rsidR="00484FA8">
        <w:rPr>
          <w:rFonts w:hint="cs"/>
          <w:b/>
          <w:bCs/>
          <w:rtl/>
        </w:rPr>
        <w:t>ו</w:t>
      </w:r>
      <w:r>
        <w:rPr>
          <w:rFonts w:hint="cs"/>
          <w:b/>
          <w:bCs/>
          <w:rtl/>
        </w:rPr>
        <w:t>ח מתמשך, הפקדתו ותוקפו.</w:t>
      </w:r>
    </w:p>
    <w:p w:rsidR="00BB60EF" w:rsidRDefault="00BB60EF" w:rsidP="00BB60EF">
      <w:pPr>
        <w:rPr>
          <w:b/>
          <w:bCs/>
          <w:rtl/>
        </w:rPr>
      </w:pPr>
    </w:p>
    <w:p w:rsidR="00BB60EF" w:rsidRDefault="00156518" w:rsidP="00BB60EF">
      <w:pPr>
        <w:rPr>
          <w:b/>
          <w:bCs/>
          <w:rtl/>
        </w:rPr>
      </w:pPr>
      <w:r>
        <w:rPr>
          <w:rFonts w:hint="cs"/>
          <w:b/>
          <w:bCs/>
          <w:rtl/>
        </w:rPr>
        <w:t xml:space="preserve">סעיף מוצע </w:t>
      </w:r>
      <w:r w:rsidR="007258A0">
        <w:rPr>
          <w:rFonts w:hint="cs"/>
          <w:b/>
          <w:bCs/>
          <w:rtl/>
        </w:rPr>
        <w:t>32י(א)</w:t>
      </w:r>
    </w:p>
    <w:p w:rsidR="007258A0" w:rsidRDefault="007258A0" w:rsidP="00BB60EF">
      <w:pPr>
        <w:rPr>
          <w:b/>
          <w:bCs/>
          <w:rtl/>
        </w:rPr>
      </w:pPr>
    </w:p>
    <w:p w:rsidR="009A438F" w:rsidRDefault="007258A0" w:rsidP="007258A0">
      <w:pPr>
        <w:rPr>
          <w:rtl/>
        </w:rPr>
      </w:pPr>
      <w:r w:rsidRPr="007258A0">
        <w:rPr>
          <w:rFonts w:hint="cs"/>
          <w:rtl/>
        </w:rPr>
        <w:t>כפי שהערנו</w:t>
      </w:r>
      <w:r>
        <w:rPr>
          <w:rFonts w:hint="cs"/>
          <w:rtl/>
        </w:rPr>
        <w:t xml:space="preserve"> ביחס להגדרת בעל מקצוע בסעיף מוצע 32א, אין להניח שכל עורך דין יהיה מסוגל לאשר כי אדם עונה על כל אמות המידה של כשירות שבסעיף מוצע 32י(ז).</w:t>
      </w:r>
    </w:p>
    <w:p w:rsidR="007258A0" w:rsidRDefault="007258A0" w:rsidP="007258A0">
      <w:pPr>
        <w:rPr>
          <w:rtl/>
        </w:rPr>
      </w:pPr>
    </w:p>
    <w:p w:rsidR="0096134F" w:rsidRDefault="007258A0" w:rsidP="00484FA8">
      <w:pPr>
        <w:rPr>
          <w:rStyle w:val="default0"/>
          <w:rFonts w:cs="David"/>
          <w:sz w:val="32"/>
          <w:szCs w:val="32"/>
          <w:rtl/>
        </w:rPr>
      </w:pPr>
      <w:r>
        <w:rPr>
          <w:rFonts w:hint="cs"/>
          <w:rtl/>
        </w:rPr>
        <w:t>בדברי ההסבר</w:t>
      </w:r>
      <w:r w:rsidR="00484FA8">
        <w:rPr>
          <w:rFonts w:hint="cs"/>
          <w:rtl/>
        </w:rPr>
        <w:t xml:space="preserve"> </w:t>
      </w:r>
      <w:r>
        <w:rPr>
          <w:rFonts w:hint="cs"/>
          <w:rtl/>
        </w:rPr>
        <w:t>(עמ' 13) צויין כי הוראה דומה קיימת ב</w:t>
      </w:r>
      <w:r w:rsidR="0096134F">
        <w:rPr>
          <w:rFonts w:hint="cs"/>
          <w:rtl/>
        </w:rPr>
        <w:t>סעיף 2(ג1) ל</w:t>
      </w:r>
      <w:r>
        <w:rPr>
          <w:rFonts w:hint="cs"/>
          <w:rtl/>
        </w:rPr>
        <w:t xml:space="preserve">חוק יחסי ממון בין בני זוג, התשל"ג-1973. </w:t>
      </w:r>
      <w:r w:rsidR="0096134F">
        <w:rPr>
          <w:rFonts w:hint="cs"/>
          <w:rtl/>
        </w:rPr>
        <w:t>בכל הכבוד, נוסח ההוראה, אשר מופיעה גם בסעיף 2(ב) לחוק</w:t>
      </w:r>
      <w:r w:rsidR="00484FA8">
        <w:rPr>
          <w:rFonts w:hint="cs"/>
          <w:rtl/>
        </w:rPr>
        <w:t xml:space="preserve"> האמור</w:t>
      </w:r>
      <w:r w:rsidR="0096134F">
        <w:rPr>
          <w:rFonts w:hint="cs"/>
          <w:rtl/>
        </w:rPr>
        <w:t xml:space="preserve">, מחייבת ניטריון (לא סתם עורך דין) להווכח כי הצדדים חתמו על </w:t>
      </w:r>
      <w:r w:rsidR="0096134F" w:rsidRPr="0096134F">
        <w:rPr>
          <w:rStyle w:val="default0"/>
          <w:rFonts w:cs="David"/>
          <w:sz w:val="32"/>
          <w:szCs w:val="32"/>
          <w:rtl/>
        </w:rPr>
        <w:t xml:space="preserve">ההסכם </w:t>
      </w:r>
      <w:r w:rsidR="0096134F">
        <w:rPr>
          <w:rStyle w:val="default0"/>
          <w:rFonts w:cs="David" w:hint="cs"/>
          <w:sz w:val="32"/>
          <w:szCs w:val="32"/>
          <w:rtl/>
        </w:rPr>
        <w:t>"</w:t>
      </w:r>
      <w:r w:rsidR="0096134F" w:rsidRPr="0096134F">
        <w:rPr>
          <w:rStyle w:val="default0"/>
          <w:rFonts w:cs="David"/>
          <w:sz w:val="32"/>
          <w:szCs w:val="32"/>
          <w:rtl/>
        </w:rPr>
        <w:t>בהסכמה חופשית ובהבינם את משמעותו ותוצאותיו</w:t>
      </w:r>
      <w:r w:rsidR="0096134F">
        <w:rPr>
          <w:rStyle w:val="default0"/>
          <w:rFonts w:cs="David" w:hint="cs"/>
          <w:sz w:val="32"/>
          <w:szCs w:val="32"/>
          <w:rtl/>
        </w:rPr>
        <w:t>".</w:t>
      </w:r>
    </w:p>
    <w:p w:rsidR="00496B4F" w:rsidRDefault="0096134F" w:rsidP="00A63C29">
      <w:pPr>
        <w:rPr>
          <w:rStyle w:val="default0"/>
          <w:rFonts w:cs="David"/>
          <w:sz w:val="32"/>
          <w:szCs w:val="32"/>
          <w:rtl/>
        </w:rPr>
      </w:pPr>
      <w:r>
        <w:rPr>
          <w:rStyle w:val="default0"/>
          <w:rFonts w:cs="David" w:hint="cs"/>
          <w:sz w:val="32"/>
          <w:szCs w:val="32"/>
          <w:rtl/>
        </w:rPr>
        <w:t xml:space="preserve">ההוראה שבסעיף מוצע 32י(ז) כוללת, בצדק רב, רשימה מפורטת יותר ורחבה יותר </w:t>
      </w:r>
      <w:r w:rsidR="00A63C29">
        <w:rPr>
          <w:rStyle w:val="default0"/>
          <w:rFonts w:cs="David" w:hint="cs"/>
          <w:sz w:val="32"/>
          <w:szCs w:val="32"/>
          <w:rtl/>
        </w:rPr>
        <w:t>ב</w:t>
      </w:r>
      <w:r>
        <w:rPr>
          <w:rStyle w:val="default0"/>
          <w:rFonts w:cs="David" w:hint="cs"/>
          <w:sz w:val="32"/>
          <w:szCs w:val="32"/>
          <w:rtl/>
        </w:rPr>
        <w:t xml:space="preserve">אשר </w:t>
      </w:r>
      <w:r w:rsidR="00A63C29">
        <w:rPr>
          <w:rStyle w:val="default0"/>
          <w:rFonts w:cs="David" w:hint="cs"/>
          <w:sz w:val="32"/>
          <w:szCs w:val="32"/>
          <w:rtl/>
        </w:rPr>
        <w:t>ל</w:t>
      </w:r>
      <w:r>
        <w:rPr>
          <w:rStyle w:val="default0"/>
          <w:rFonts w:cs="David" w:hint="cs"/>
          <w:sz w:val="32"/>
          <w:szCs w:val="32"/>
          <w:rtl/>
        </w:rPr>
        <w:t>רצון חופשי והבנ</w:t>
      </w:r>
      <w:r w:rsidR="00484FA8">
        <w:rPr>
          <w:rStyle w:val="default0"/>
          <w:rFonts w:cs="David" w:hint="cs"/>
          <w:sz w:val="32"/>
          <w:szCs w:val="32"/>
          <w:rtl/>
        </w:rPr>
        <w:t>ה</w:t>
      </w:r>
      <w:r>
        <w:rPr>
          <w:rStyle w:val="default0"/>
          <w:rFonts w:cs="David" w:hint="cs"/>
          <w:sz w:val="32"/>
          <w:szCs w:val="32"/>
          <w:rtl/>
        </w:rPr>
        <w:t>:</w:t>
      </w:r>
    </w:p>
    <w:p w:rsidR="0096134F" w:rsidRDefault="0096134F" w:rsidP="0096134F">
      <w:pPr>
        <w:rPr>
          <w:rtl/>
        </w:rPr>
      </w:pPr>
      <w:r>
        <w:rPr>
          <w:rStyle w:val="default0"/>
          <w:rFonts w:cs="David" w:hint="cs"/>
          <w:sz w:val="32"/>
          <w:szCs w:val="32"/>
          <w:rtl/>
        </w:rPr>
        <w:t xml:space="preserve"> </w:t>
      </w:r>
      <w:r>
        <w:rPr>
          <w:rFonts w:hint="cs"/>
          <w:rtl/>
        </w:rPr>
        <w:t xml:space="preserve">"כי הממנה חתם בפניו...וכי נוכח לדעת כי הממנה </w:t>
      </w:r>
      <w:r w:rsidRPr="0096134F">
        <w:rPr>
          <w:rFonts w:hint="cs"/>
          <w:u w:val="single"/>
          <w:rtl/>
        </w:rPr>
        <w:t>מבין את</w:t>
      </w:r>
      <w:r>
        <w:rPr>
          <w:rFonts w:hint="cs"/>
          <w:rtl/>
        </w:rPr>
        <w:t xml:space="preserve"> </w:t>
      </w:r>
      <w:r w:rsidRPr="0096134F">
        <w:rPr>
          <w:rFonts w:hint="cs"/>
          <w:u w:val="single"/>
          <w:rtl/>
        </w:rPr>
        <w:t>משמעות</w:t>
      </w:r>
      <w:r>
        <w:rPr>
          <w:rFonts w:hint="cs"/>
          <w:rtl/>
        </w:rPr>
        <w:t xml:space="preserve"> מתן יפוי הכח,</w:t>
      </w:r>
    </w:p>
    <w:p w:rsidR="0096134F" w:rsidRDefault="0096134F" w:rsidP="0096134F">
      <w:pPr>
        <w:rPr>
          <w:rtl/>
        </w:rPr>
      </w:pPr>
      <w:r>
        <w:rPr>
          <w:rFonts w:hint="cs"/>
          <w:rtl/>
        </w:rPr>
        <w:t xml:space="preserve"> </w:t>
      </w:r>
      <w:r w:rsidRPr="0096134F">
        <w:rPr>
          <w:rFonts w:hint="cs"/>
          <w:u w:val="single"/>
          <w:rtl/>
        </w:rPr>
        <w:t>מטרותיו ותוצאותיו</w:t>
      </w:r>
      <w:r>
        <w:rPr>
          <w:rFonts w:hint="cs"/>
          <w:rtl/>
        </w:rPr>
        <w:t xml:space="preserve">, </w:t>
      </w:r>
    </w:p>
    <w:p w:rsidR="0096134F" w:rsidRDefault="0096134F" w:rsidP="0096134F">
      <w:pPr>
        <w:rPr>
          <w:rtl/>
        </w:rPr>
      </w:pPr>
      <w:r>
        <w:rPr>
          <w:rFonts w:hint="cs"/>
          <w:rtl/>
        </w:rPr>
        <w:t xml:space="preserve">וכי ייפוי הכח ניתן </w:t>
      </w:r>
      <w:r w:rsidRPr="0096134F">
        <w:rPr>
          <w:rFonts w:hint="cs"/>
          <w:u w:val="single"/>
          <w:rtl/>
        </w:rPr>
        <w:t>בהסכמה חופשית ומרצון</w:t>
      </w:r>
      <w:r>
        <w:rPr>
          <w:rFonts w:hint="cs"/>
          <w:rtl/>
        </w:rPr>
        <w:t xml:space="preserve"> </w:t>
      </w:r>
    </w:p>
    <w:p w:rsidR="0096134F" w:rsidRDefault="0096134F" w:rsidP="0096134F">
      <w:pPr>
        <w:rPr>
          <w:u w:val="single"/>
          <w:rtl/>
        </w:rPr>
      </w:pPr>
      <w:r w:rsidRPr="0096134F">
        <w:rPr>
          <w:rFonts w:hint="cs"/>
          <w:u w:val="single"/>
          <w:rtl/>
        </w:rPr>
        <w:t>בלא שהופעלו על הממנה לחץ או השפעה בלתי הוגנת</w:t>
      </w:r>
    </w:p>
    <w:p w:rsidR="00496B4F" w:rsidRDefault="0096134F" w:rsidP="0096134F">
      <w:pPr>
        <w:rPr>
          <w:rtl/>
        </w:rPr>
      </w:pPr>
      <w:r>
        <w:rPr>
          <w:rFonts w:hint="cs"/>
          <w:rtl/>
        </w:rPr>
        <w:t xml:space="preserve"> </w:t>
      </w:r>
      <w:r w:rsidRPr="0096134F">
        <w:rPr>
          <w:rFonts w:hint="cs"/>
          <w:u w:val="single"/>
          <w:rtl/>
        </w:rPr>
        <w:t>ובלא ניצול מצוקתו או חולשתו</w:t>
      </w:r>
      <w:r>
        <w:rPr>
          <w:rFonts w:hint="cs"/>
          <w:rtl/>
        </w:rPr>
        <w:t xml:space="preserve">" </w:t>
      </w:r>
    </w:p>
    <w:p w:rsidR="007C379E" w:rsidRDefault="0096134F" w:rsidP="0096134F">
      <w:pPr>
        <w:rPr>
          <w:rtl/>
        </w:rPr>
      </w:pPr>
      <w:r>
        <w:rPr>
          <w:rFonts w:hint="cs"/>
          <w:rtl/>
        </w:rPr>
        <w:t>(הדגשות שלי, פ.מ.).</w:t>
      </w:r>
      <w:r w:rsidRPr="0096134F">
        <w:rPr>
          <w:rFonts w:hint="cs"/>
          <w:rtl/>
        </w:rPr>
        <w:t xml:space="preserve"> </w:t>
      </w:r>
    </w:p>
    <w:p w:rsidR="00496B4F" w:rsidRDefault="00496B4F" w:rsidP="0096134F">
      <w:pPr>
        <w:rPr>
          <w:rtl/>
        </w:rPr>
      </w:pPr>
    </w:p>
    <w:p w:rsidR="00496B4F" w:rsidRDefault="00496B4F" w:rsidP="0096134F">
      <w:pPr>
        <w:rPr>
          <w:rtl/>
        </w:rPr>
      </w:pPr>
      <w:r>
        <w:rPr>
          <w:rFonts w:hint="cs"/>
          <w:rtl/>
        </w:rPr>
        <w:t>כפי שצויין כבר, מדובר בשילוב של קני מידה משפטיים וקוגניטיביים</w:t>
      </w:r>
      <w:r w:rsidR="00484FA8">
        <w:rPr>
          <w:rFonts w:hint="cs"/>
          <w:rtl/>
        </w:rPr>
        <w:t>, כאשר לפרשנות כל אחד מהמונחים המודגשים ישנה פסיקה עניפה של בתי המשפט</w:t>
      </w:r>
      <w:r>
        <w:rPr>
          <w:rFonts w:hint="cs"/>
          <w:rtl/>
        </w:rPr>
        <w:t>.</w:t>
      </w:r>
    </w:p>
    <w:p w:rsidR="00496B4F" w:rsidRDefault="00496B4F" w:rsidP="0096134F">
      <w:pPr>
        <w:rPr>
          <w:rtl/>
        </w:rPr>
      </w:pPr>
    </w:p>
    <w:p w:rsidR="00496B4F" w:rsidRDefault="00496B4F" w:rsidP="0096134F">
      <w:pPr>
        <w:rPr>
          <w:rtl/>
        </w:rPr>
      </w:pPr>
      <w:r>
        <w:rPr>
          <w:rFonts w:hint="cs"/>
          <w:rtl/>
        </w:rPr>
        <w:t>לכן רצוי לחייב נוכחותם של עורך דין וגם בעל מקצוע</w:t>
      </w:r>
      <w:r w:rsidR="00901991">
        <w:rPr>
          <w:rFonts w:hint="cs"/>
          <w:rtl/>
        </w:rPr>
        <w:t>,</w:t>
      </w:r>
      <w:r>
        <w:rPr>
          <w:rFonts w:hint="cs"/>
          <w:rtl/>
        </w:rPr>
        <w:t xml:space="preserve"> בחתימה על כל יפוי כח מתמשך.</w:t>
      </w:r>
    </w:p>
    <w:p w:rsidR="00496B4F" w:rsidRDefault="00496B4F" w:rsidP="0096134F">
      <w:pPr>
        <w:rPr>
          <w:rtl/>
        </w:rPr>
      </w:pPr>
    </w:p>
    <w:p w:rsidR="00496B4F" w:rsidRDefault="00496B4F" w:rsidP="00901991">
      <w:pPr>
        <w:rPr>
          <w:rtl/>
        </w:rPr>
      </w:pPr>
      <w:r>
        <w:rPr>
          <w:rFonts w:hint="cs"/>
          <w:rtl/>
        </w:rPr>
        <w:t xml:space="preserve">ואם ישאל השואל מדוע בעשיית צוואה די בשני עדים שאינם בהכרך בעלי מקצוע כלשהו (סעיף 20 לחוק הירושה התשכ"ה-1965 </w:t>
      </w:r>
      <w:r w:rsidR="006C1F98">
        <w:rPr>
          <w:rFonts w:hint="cs"/>
          <w:rtl/>
        </w:rPr>
        <w:t xml:space="preserve">(להלן </w:t>
      </w:r>
      <w:r w:rsidR="006C1F98">
        <w:rPr>
          <w:rtl/>
        </w:rPr>
        <w:t>–</w:t>
      </w:r>
      <w:r w:rsidR="006C1F98">
        <w:rPr>
          <w:rFonts w:hint="cs"/>
          <w:rtl/>
        </w:rPr>
        <w:t xml:space="preserve"> חוק הירושה)</w:t>
      </w:r>
      <w:r w:rsidR="00901991">
        <w:rPr>
          <w:rFonts w:hint="cs"/>
          <w:rtl/>
        </w:rPr>
        <w:t>)</w:t>
      </w:r>
      <w:r w:rsidR="006C1F98">
        <w:rPr>
          <w:rFonts w:hint="cs"/>
          <w:rtl/>
        </w:rPr>
        <w:t xml:space="preserve"> </w:t>
      </w:r>
      <w:r>
        <w:rPr>
          <w:rFonts w:hint="cs"/>
          <w:rtl/>
        </w:rPr>
        <w:t xml:space="preserve">נשיב כי </w:t>
      </w:r>
      <w:r w:rsidR="006C1F98">
        <w:rPr>
          <w:rFonts w:hint="cs"/>
          <w:rtl/>
        </w:rPr>
        <w:t xml:space="preserve">מדובר במוסד ותיק וידוע, ושורש ההוראה הזו מחקיקה </w:t>
      </w:r>
      <w:r w:rsidR="006C1F98">
        <w:rPr>
          <w:rFonts w:hint="cs"/>
          <w:rtl/>
        </w:rPr>
        <w:lastRenderedPageBreak/>
        <w:t>אנגלית משנת 1837</w:t>
      </w:r>
      <w:r w:rsidR="00901991">
        <w:rPr>
          <w:rStyle w:val="a8"/>
          <w:rtl/>
        </w:rPr>
        <w:footnoteReference w:id="10"/>
      </w:r>
      <w:r w:rsidR="006C1F98">
        <w:rPr>
          <w:rFonts w:hint="cs"/>
          <w:rtl/>
        </w:rPr>
        <w:t xml:space="preserve">, </w:t>
      </w:r>
      <w:r w:rsidR="00901991">
        <w:rPr>
          <w:rFonts w:hint="cs"/>
          <w:rtl/>
        </w:rPr>
        <w:t>תפיסות משפטיות ואחרות השתנו מאז, ויתכן שעל בסיס תפיסות מודרניות יש לשקול תיקון גם בחוק הירושה</w:t>
      </w:r>
      <w:r w:rsidR="006C1F98">
        <w:rPr>
          <w:rFonts w:hint="cs"/>
          <w:rtl/>
        </w:rPr>
        <w:t>.</w:t>
      </w:r>
    </w:p>
    <w:p w:rsidR="003344D0" w:rsidRDefault="003344D0" w:rsidP="00496B4F">
      <w:pPr>
        <w:rPr>
          <w:rtl/>
        </w:rPr>
      </w:pPr>
    </w:p>
    <w:p w:rsidR="00901991" w:rsidRDefault="00901991" w:rsidP="00496B4F">
      <w:pPr>
        <w:rPr>
          <w:rtl/>
        </w:rPr>
      </w:pPr>
    </w:p>
    <w:p w:rsidR="00997B67" w:rsidRDefault="003344D0" w:rsidP="003344D0">
      <w:pPr>
        <w:rPr>
          <w:b/>
          <w:bCs/>
          <w:rtl/>
        </w:rPr>
      </w:pPr>
      <w:r w:rsidRPr="003344D0">
        <w:rPr>
          <w:rFonts w:hint="cs"/>
          <w:b/>
          <w:bCs/>
          <w:rtl/>
        </w:rPr>
        <w:t>סעיף מוצע 32י(ו)</w:t>
      </w:r>
    </w:p>
    <w:p w:rsidR="003344D0" w:rsidRDefault="003344D0" w:rsidP="00901991">
      <w:pPr>
        <w:rPr>
          <w:rtl/>
        </w:rPr>
      </w:pPr>
      <w:r>
        <w:rPr>
          <w:rFonts w:hint="cs"/>
          <w:rtl/>
        </w:rPr>
        <w:t>ההוראה המחייבת הצהרת הממנה, כי הוא נותן את ייפוי הכח</w:t>
      </w:r>
      <w:r w:rsidRPr="003344D0">
        <w:rPr>
          <w:rFonts w:hint="cs"/>
          <w:rtl/>
        </w:rPr>
        <w:t xml:space="preserve"> בלא שהופעלו על</w:t>
      </w:r>
      <w:r w:rsidR="00901991">
        <w:rPr>
          <w:rFonts w:hint="cs"/>
          <w:rtl/>
        </w:rPr>
        <w:t xml:space="preserve">יו </w:t>
      </w:r>
      <w:r w:rsidRPr="003344D0">
        <w:rPr>
          <w:rFonts w:hint="cs"/>
          <w:rtl/>
        </w:rPr>
        <w:t>לחץ או השפעה בלתי הוגנת ובלא ניצול מצוקתו או חולשתו</w:t>
      </w:r>
      <w:r>
        <w:rPr>
          <w:rFonts w:hint="cs"/>
          <w:rtl/>
        </w:rPr>
        <w:t xml:space="preserve">, ראוייה ובמקומה. יחד עם זאת </w:t>
      </w:r>
      <w:r w:rsidR="006C1F98">
        <w:rPr>
          <w:rFonts w:hint="cs"/>
          <w:rtl/>
        </w:rPr>
        <w:t>יש לקבוע, במקביל לסעיפים 30 ו-35 לחוק הירושה, כי מיופה הכח לא יהיה נוכח בשלב אישור ייפוי הכ</w:t>
      </w:r>
      <w:r w:rsidR="00901991">
        <w:rPr>
          <w:rFonts w:hint="cs"/>
          <w:rtl/>
        </w:rPr>
        <w:t>ו</w:t>
      </w:r>
      <w:r w:rsidR="006C1F98">
        <w:rPr>
          <w:rFonts w:hint="cs"/>
          <w:rtl/>
        </w:rPr>
        <w:t>ח וחתימתו על ידי הממנה.</w:t>
      </w:r>
    </w:p>
    <w:p w:rsidR="006C1F98" w:rsidRDefault="006C1F98" w:rsidP="006C1F98">
      <w:pPr>
        <w:rPr>
          <w:rtl/>
        </w:rPr>
      </w:pPr>
      <w:r>
        <w:rPr>
          <w:rFonts w:hint="cs"/>
          <w:rtl/>
        </w:rPr>
        <w:t>הסכמתו של מיופה הכח ייחתם מיד לאחר מכן, על פי סעיף 32י(ח) המוצע.</w:t>
      </w:r>
    </w:p>
    <w:p w:rsidR="006C1F98" w:rsidRDefault="006C1F98" w:rsidP="006C1F98">
      <w:pPr>
        <w:rPr>
          <w:rtl/>
        </w:rPr>
      </w:pPr>
    </w:p>
    <w:p w:rsidR="006C1F98" w:rsidRDefault="006C1F98" w:rsidP="006C1F98">
      <w:pPr>
        <w:rPr>
          <w:b/>
          <w:bCs/>
          <w:rtl/>
        </w:rPr>
      </w:pPr>
      <w:r>
        <w:rPr>
          <w:rFonts w:hint="cs"/>
          <w:b/>
          <w:bCs/>
          <w:rtl/>
        </w:rPr>
        <w:t>סעיף מוצע 32י(ט)</w:t>
      </w:r>
    </w:p>
    <w:p w:rsidR="006C1F98" w:rsidRDefault="006C1F98" w:rsidP="00103D8F">
      <w:pPr>
        <w:rPr>
          <w:rtl/>
        </w:rPr>
      </w:pPr>
      <w:r>
        <w:rPr>
          <w:rFonts w:hint="cs"/>
          <w:rtl/>
        </w:rPr>
        <w:t>יש להקפיד שאם יחליט הממונה לצרף תעודה רפואית, התעודה תינתן, כאמור בהערות להגדרת "רופא" בסעיף מוצע 32א</w:t>
      </w:r>
      <w:r w:rsidR="00103D8F">
        <w:rPr>
          <w:rFonts w:hint="cs"/>
          <w:rtl/>
        </w:rPr>
        <w:t xml:space="preserve"> לעיל, על ידי מומחה בתחום הנחוץ.</w:t>
      </w:r>
    </w:p>
    <w:p w:rsidR="00F72A8C" w:rsidRDefault="00F72A8C" w:rsidP="00103D8F">
      <w:pPr>
        <w:rPr>
          <w:rtl/>
        </w:rPr>
      </w:pPr>
    </w:p>
    <w:p w:rsidR="00F72A8C" w:rsidRDefault="00F72A8C" w:rsidP="00103D8F">
      <w:pPr>
        <w:rPr>
          <w:b/>
          <w:bCs/>
          <w:rtl/>
        </w:rPr>
      </w:pPr>
      <w:r>
        <w:rPr>
          <w:rFonts w:hint="cs"/>
          <w:b/>
          <w:bCs/>
          <w:rtl/>
        </w:rPr>
        <w:t>סעיף מוצע 32יא(ג)</w:t>
      </w:r>
    </w:p>
    <w:p w:rsidR="00F72A8C" w:rsidRDefault="00F72A8C" w:rsidP="00901991">
      <w:pPr>
        <w:rPr>
          <w:rtl/>
        </w:rPr>
      </w:pPr>
      <w:r>
        <w:rPr>
          <w:rFonts w:hint="cs"/>
          <w:rtl/>
        </w:rPr>
        <w:t xml:space="preserve">יש לשקול אם </w:t>
      </w:r>
      <w:r w:rsidR="00901991">
        <w:rPr>
          <w:rFonts w:hint="cs"/>
          <w:rtl/>
        </w:rPr>
        <w:t>קביעת</w:t>
      </w:r>
      <w:r>
        <w:rPr>
          <w:rFonts w:hint="cs"/>
          <w:rtl/>
        </w:rPr>
        <w:t xml:space="preserve"> אגרה</w:t>
      </w:r>
      <w:r w:rsidR="00901991">
        <w:rPr>
          <w:rFonts w:hint="cs"/>
          <w:rtl/>
        </w:rPr>
        <w:t xml:space="preserve"> </w:t>
      </w:r>
      <w:r>
        <w:rPr>
          <w:rFonts w:hint="cs"/>
          <w:rtl/>
        </w:rPr>
        <w:t>גבוהה מדי, או אולי בכלל,  עבור הפקדת ייפוי כוח מתמשך</w:t>
      </w:r>
      <w:r w:rsidR="00901991">
        <w:rPr>
          <w:rFonts w:hint="cs"/>
          <w:rtl/>
        </w:rPr>
        <w:t>,</w:t>
      </w:r>
      <w:r>
        <w:rPr>
          <w:rFonts w:hint="cs"/>
          <w:rtl/>
        </w:rPr>
        <w:t xml:space="preserve"> עלולה להביא לידי אי הפקדה, ולאיין את כל </w:t>
      </w:r>
      <w:r w:rsidR="00901991">
        <w:rPr>
          <w:rFonts w:hint="cs"/>
          <w:rtl/>
        </w:rPr>
        <w:t>מטרות החידוש המוצע</w:t>
      </w:r>
      <w:r>
        <w:rPr>
          <w:rFonts w:hint="cs"/>
          <w:rtl/>
        </w:rPr>
        <w:t>.</w:t>
      </w:r>
    </w:p>
    <w:p w:rsidR="00F72A8C" w:rsidRDefault="00F72A8C" w:rsidP="00F72A8C">
      <w:pPr>
        <w:rPr>
          <w:rtl/>
        </w:rPr>
      </w:pPr>
    </w:p>
    <w:p w:rsidR="00F72A8C" w:rsidRDefault="00F72A8C" w:rsidP="00B80AD0">
      <w:pPr>
        <w:rPr>
          <w:b/>
          <w:bCs/>
          <w:rtl/>
        </w:rPr>
      </w:pPr>
      <w:r>
        <w:rPr>
          <w:rFonts w:hint="cs"/>
          <w:b/>
          <w:bCs/>
          <w:rtl/>
        </w:rPr>
        <w:t>סעיף מוצע 32יב(</w:t>
      </w:r>
      <w:r w:rsidR="00B80AD0">
        <w:rPr>
          <w:rFonts w:hint="cs"/>
          <w:b/>
          <w:bCs/>
          <w:rtl/>
        </w:rPr>
        <w:t>א</w:t>
      </w:r>
      <w:r>
        <w:rPr>
          <w:rFonts w:hint="cs"/>
          <w:b/>
          <w:bCs/>
          <w:rtl/>
        </w:rPr>
        <w:t>)</w:t>
      </w:r>
    </w:p>
    <w:p w:rsidR="00F72A8C" w:rsidRDefault="00F72A8C" w:rsidP="00F72A8C">
      <w:pPr>
        <w:rPr>
          <w:b/>
          <w:bCs/>
          <w:rtl/>
        </w:rPr>
      </w:pPr>
    </w:p>
    <w:p w:rsidR="00B80AD0" w:rsidRPr="00F72A8C" w:rsidRDefault="00B80AD0" w:rsidP="00B80AD0">
      <w:pPr>
        <w:rPr>
          <w:rtl/>
        </w:rPr>
      </w:pPr>
      <w:r>
        <w:rPr>
          <w:rFonts w:hint="cs"/>
          <w:rtl/>
        </w:rPr>
        <w:t>יש לשקול אם אין זה ראוי שבן/בת זוגו וילדיו של ממנה יקבלו מידע על הפקדת ייפוי הכ</w:t>
      </w:r>
      <w:r w:rsidR="00901991">
        <w:rPr>
          <w:rFonts w:hint="cs"/>
          <w:rtl/>
        </w:rPr>
        <w:t>ו</w:t>
      </w:r>
      <w:r>
        <w:rPr>
          <w:rFonts w:hint="cs"/>
          <w:rtl/>
        </w:rPr>
        <w:t>ח כדבר שבשגרה, אלא אם כן הממנה קבע באופן מפורש כי אינו רוצה שקרוב זה או אחר, או קרוביו כולם, יידעו על עשיית המסמך.</w:t>
      </w:r>
    </w:p>
    <w:p w:rsidR="00F72A8C" w:rsidRPr="00F72A8C" w:rsidRDefault="00F72A8C" w:rsidP="00BB322C">
      <w:pPr>
        <w:rPr>
          <w:rtl/>
        </w:rPr>
      </w:pPr>
    </w:p>
    <w:p w:rsidR="00B80AD0" w:rsidRDefault="00B80AD0" w:rsidP="00F72A8C">
      <w:pPr>
        <w:rPr>
          <w:rtl/>
        </w:rPr>
      </w:pPr>
    </w:p>
    <w:p w:rsidR="00B80AD0" w:rsidRPr="00B80AD0" w:rsidRDefault="00B80AD0" w:rsidP="00F72A8C">
      <w:pPr>
        <w:rPr>
          <w:b/>
          <w:bCs/>
          <w:rtl/>
        </w:rPr>
      </w:pPr>
      <w:r>
        <w:rPr>
          <w:rFonts w:hint="cs"/>
          <w:b/>
          <w:bCs/>
          <w:rtl/>
        </w:rPr>
        <w:t>סעיף מוצע 32יב(ב)</w:t>
      </w:r>
    </w:p>
    <w:p w:rsidR="00B80AD0" w:rsidRDefault="00B80AD0" w:rsidP="009C6717">
      <w:pPr>
        <w:rPr>
          <w:rtl/>
        </w:rPr>
      </w:pPr>
      <w:r>
        <w:rPr>
          <w:rFonts w:hint="cs"/>
          <w:rtl/>
        </w:rPr>
        <w:t>יש לקבוע כי יודיע האפוטרופוס הכללי</w:t>
      </w:r>
      <w:r w:rsidR="009C6717">
        <w:rPr>
          <w:rFonts w:hint="cs"/>
          <w:rtl/>
        </w:rPr>
        <w:t xml:space="preserve"> </w:t>
      </w:r>
      <w:r>
        <w:rPr>
          <w:rFonts w:hint="cs"/>
          <w:rtl/>
        </w:rPr>
        <w:t>לקרוביו של הממנה על כניסתו של ייפוי הכח לתוקף. כ</w:t>
      </w:r>
      <w:r w:rsidR="009C6717">
        <w:rPr>
          <w:rFonts w:hint="cs"/>
          <w:rtl/>
        </w:rPr>
        <w:t>ך</w:t>
      </w:r>
      <w:r>
        <w:rPr>
          <w:rFonts w:hint="cs"/>
          <w:rtl/>
        </w:rPr>
        <w:t xml:space="preserve"> יתאפשר להם ביקורת על טענה כי הדרדר מצבו של הממנה עד כדי כניסתו לתוקף של ייפוי הכח.</w:t>
      </w:r>
      <w:r w:rsidR="009C6717">
        <w:rPr>
          <w:rFonts w:hint="cs"/>
          <w:rtl/>
        </w:rPr>
        <w:t xml:space="preserve"> זאת כי </w:t>
      </w:r>
      <w:r w:rsidR="00BB322C">
        <w:rPr>
          <w:rFonts w:hint="cs"/>
          <w:rtl/>
        </w:rPr>
        <w:t>קרוביו של הממנה עשויים להיות מושפעים על ידי פעולות מיופה הכ</w:t>
      </w:r>
      <w:r w:rsidR="00901991">
        <w:rPr>
          <w:rFonts w:hint="cs"/>
          <w:rtl/>
        </w:rPr>
        <w:t>ו</w:t>
      </w:r>
      <w:r w:rsidR="00BB322C">
        <w:rPr>
          <w:rFonts w:hint="cs"/>
          <w:rtl/>
        </w:rPr>
        <w:t>ח</w:t>
      </w:r>
      <w:r w:rsidR="00901991">
        <w:rPr>
          <w:rFonts w:hint="cs"/>
          <w:rtl/>
        </w:rPr>
        <w:t>,</w:t>
      </w:r>
      <w:r w:rsidR="00BB322C">
        <w:rPr>
          <w:rFonts w:hint="cs"/>
          <w:rtl/>
        </w:rPr>
        <w:t xml:space="preserve"> הן בעניינים אישיים </w:t>
      </w:r>
      <w:r w:rsidR="00BB322C">
        <w:rPr>
          <w:rFonts w:hint="cs"/>
          <w:rtl/>
        </w:rPr>
        <w:lastRenderedPageBreak/>
        <w:t>והן בענייני רכושו של הממנה, ויש למנוע מצב בו יפעל מיופה הכח לפני שידעו בני משפחתו על עצם מינויו</w:t>
      </w:r>
      <w:r w:rsidR="00901991">
        <w:rPr>
          <w:rFonts w:hint="cs"/>
          <w:rtl/>
        </w:rPr>
        <w:t xml:space="preserve"> או על כניסתו של ייפוי הכוח לתוקף</w:t>
      </w:r>
      <w:r w:rsidR="00BB322C">
        <w:rPr>
          <w:rFonts w:hint="cs"/>
          <w:rtl/>
        </w:rPr>
        <w:t>.</w:t>
      </w:r>
    </w:p>
    <w:p w:rsidR="00B80AD0" w:rsidRDefault="00B80AD0" w:rsidP="00B80AD0">
      <w:pPr>
        <w:rPr>
          <w:rtl/>
        </w:rPr>
      </w:pPr>
    </w:p>
    <w:p w:rsidR="00B730B3" w:rsidRDefault="00B730B3" w:rsidP="00B80AD0">
      <w:pPr>
        <w:rPr>
          <w:rtl/>
        </w:rPr>
      </w:pPr>
    </w:p>
    <w:p w:rsidR="00901991" w:rsidRDefault="00901991" w:rsidP="00B80AD0">
      <w:pPr>
        <w:rPr>
          <w:rtl/>
        </w:rPr>
      </w:pPr>
    </w:p>
    <w:p w:rsidR="00901991" w:rsidRDefault="00901991" w:rsidP="00B80AD0">
      <w:pPr>
        <w:rPr>
          <w:rtl/>
        </w:rPr>
      </w:pPr>
    </w:p>
    <w:p w:rsidR="00DC0343" w:rsidRDefault="00DC0343" w:rsidP="00C05471">
      <w:pPr>
        <w:rPr>
          <w:b/>
          <w:bCs/>
          <w:rtl/>
        </w:rPr>
      </w:pPr>
      <w:r>
        <w:rPr>
          <w:rFonts w:hint="cs"/>
          <w:b/>
          <w:bCs/>
          <w:rtl/>
        </w:rPr>
        <w:t>סעיף מוצע 32יג(ג)</w:t>
      </w:r>
    </w:p>
    <w:p w:rsidR="00DC0343" w:rsidRDefault="00DC0343" w:rsidP="00DC0343">
      <w:pPr>
        <w:rPr>
          <w:rtl/>
        </w:rPr>
      </w:pPr>
      <w:r>
        <w:rPr>
          <w:rFonts w:hint="cs"/>
          <w:rtl/>
        </w:rPr>
        <w:t xml:space="preserve">ראה הערותיי לעיל (סעיף מוצע 32א, </w:t>
      </w:r>
      <w:r w:rsidRPr="00DC0343">
        <w:rPr>
          <w:rFonts w:hint="cs"/>
          <w:rtl/>
        </w:rPr>
        <w:t>סעיף מוצע 32י(ט)</w:t>
      </w:r>
      <w:r>
        <w:rPr>
          <w:rFonts w:hint="cs"/>
          <w:rtl/>
        </w:rPr>
        <w:t>) לעניין בעל מקצוע ותעודה רפואית, לפי העניין.</w:t>
      </w:r>
    </w:p>
    <w:p w:rsidR="00DC0343" w:rsidRDefault="00DC0343" w:rsidP="00C05471">
      <w:pPr>
        <w:rPr>
          <w:rtl/>
        </w:rPr>
      </w:pPr>
    </w:p>
    <w:p w:rsidR="00B60AEF" w:rsidRDefault="00DC0343" w:rsidP="00C05471">
      <w:pPr>
        <w:rPr>
          <w:rtl/>
        </w:rPr>
      </w:pPr>
      <w:r>
        <w:rPr>
          <w:rFonts w:hint="cs"/>
          <w:rtl/>
        </w:rPr>
        <w:t xml:space="preserve">בהקשר זה, וגם לעניין סעיף מוצע 32יד, יש למצוא ניסוח הולם בחוק עצמו כדי לשקף בחקיקה ראשית העקרון החשוב שבדברי ההסבר (עמ' 18) "יש לשים דגש על הצד התפקודי של האדם בתוך סביבתו". </w:t>
      </w:r>
    </w:p>
    <w:p w:rsidR="00B60AEF" w:rsidRDefault="00B60AEF" w:rsidP="00C05471">
      <w:pPr>
        <w:rPr>
          <w:rtl/>
        </w:rPr>
      </w:pPr>
    </w:p>
    <w:p w:rsidR="00DC0343" w:rsidRDefault="00DC0343" w:rsidP="00B60AEF">
      <w:pPr>
        <w:rPr>
          <w:rtl/>
        </w:rPr>
      </w:pPr>
      <w:r>
        <w:rPr>
          <w:rFonts w:hint="cs"/>
          <w:rtl/>
        </w:rPr>
        <w:t>משום כך, יתכן שלא די בתעודה רפואית, ויהיה צורך גם בדו"ח של עובד סוציאלי</w:t>
      </w:r>
      <w:r w:rsidR="00B60AEF">
        <w:rPr>
          <w:rFonts w:hint="cs"/>
          <w:rtl/>
        </w:rPr>
        <w:t>,</w:t>
      </w:r>
      <w:r>
        <w:rPr>
          <w:rFonts w:hint="cs"/>
          <w:rtl/>
        </w:rPr>
        <w:t xml:space="preserve"> אולי תוך קביעת תחום עיסוקו </w:t>
      </w:r>
      <w:r w:rsidR="00B60AEF">
        <w:rPr>
          <w:rFonts w:hint="cs"/>
          <w:rtl/>
        </w:rPr>
        <w:t xml:space="preserve">או מומחיותו </w:t>
      </w:r>
      <w:r>
        <w:rPr>
          <w:rFonts w:hint="cs"/>
          <w:rtl/>
        </w:rPr>
        <w:t xml:space="preserve">של העובד הסוציאלי, או בציון מפורש </w:t>
      </w:r>
      <w:r w:rsidR="00B60AEF">
        <w:rPr>
          <w:rFonts w:hint="cs"/>
          <w:rtl/>
        </w:rPr>
        <w:t xml:space="preserve">של </w:t>
      </w:r>
      <w:r>
        <w:rPr>
          <w:rFonts w:hint="cs"/>
          <w:rtl/>
        </w:rPr>
        <w:t xml:space="preserve">החוק שעל פיו הוא ממונה </w:t>
      </w:r>
      <w:r w:rsidR="00B60AEF">
        <w:rPr>
          <w:rFonts w:hint="cs"/>
          <w:rtl/>
        </w:rPr>
        <w:t xml:space="preserve">כעובד הסוציאלי (לשעבר פקיד סעד) , </w:t>
      </w:r>
      <w:r>
        <w:rPr>
          <w:rFonts w:hint="cs"/>
          <w:rtl/>
        </w:rPr>
        <w:t>כגון חוק הסעד (סדרי דין</w:t>
      </w:r>
      <w:r w:rsidR="00B60AEF">
        <w:rPr>
          <w:rFonts w:hint="cs"/>
          <w:rtl/>
        </w:rPr>
        <w:t xml:space="preserve"> בעניני קטינים, חולי נפש ונעדרים), התשט"ו-1955, חוק הסעד (טיפול במפגרים), התשכ"ט-1969, וכיו"ב.</w:t>
      </w:r>
    </w:p>
    <w:p w:rsidR="00195647" w:rsidRDefault="00195647" w:rsidP="00B60AEF">
      <w:pPr>
        <w:rPr>
          <w:rtl/>
        </w:rPr>
      </w:pPr>
    </w:p>
    <w:p w:rsidR="00195647" w:rsidRDefault="00195647" w:rsidP="00B60AEF">
      <w:pPr>
        <w:rPr>
          <w:b/>
          <w:bCs/>
          <w:rtl/>
        </w:rPr>
      </w:pPr>
      <w:r>
        <w:rPr>
          <w:rFonts w:hint="cs"/>
          <w:b/>
          <w:bCs/>
          <w:rtl/>
        </w:rPr>
        <w:t>הוספת סעיף מוצע 32יג(ד)</w:t>
      </w:r>
    </w:p>
    <w:p w:rsidR="00195647" w:rsidRPr="00195647" w:rsidRDefault="00195647" w:rsidP="00901991">
      <w:pPr>
        <w:rPr>
          <w:rtl/>
        </w:rPr>
      </w:pPr>
      <w:r>
        <w:rPr>
          <w:rFonts w:hint="cs"/>
          <w:rtl/>
        </w:rPr>
        <w:t>בהתאם לעקרון המחייב מתן מידע לאדם עם מוגבלויות על הנעשה עבורו ובגינו, יש להוסיף הוראה המחייבת את מיופה הכח להודיע לממנה כי יפוי הכח נכנס לתקפו, לפי כל אחת מהאפשרויות שבסעיפי משנה (1),(2), או (3) לסעיף 32יג.</w:t>
      </w:r>
    </w:p>
    <w:p w:rsidR="001436E4" w:rsidRDefault="001436E4" w:rsidP="00B60AEF">
      <w:pPr>
        <w:rPr>
          <w:rtl/>
        </w:rPr>
      </w:pPr>
    </w:p>
    <w:p w:rsidR="001436E4" w:rsidRDefault="00A924E0" w:rsidP="00B60AEF">
      <w:pPr>
        <w:rPr>
          <w:b/>
          <w:bCs/>
          <w:rtl/>
        </w:rPr>
      </w:pPr>
      <w:r w:rsidRPr="00A924E0">
        <w:rPr>
          <w:rFonts w:hint="cs"/>
          <w:b/>
          <w:bCs/>
          <w:rtl/>
        </w:rPr>
        <w:t>סעיף מוצע 32יד</w:t>
      </w:r>
    </w:p>
    <w:p w:rsidR="00A924E0" w:rsidRPr="00A924E0" w:rsidRDefault="00A924E0" w:rsidP="00901991">
      <w:pPr>
        <w:rPr>
          <w:rtl/>
        </w:rPr>
      </w:pPr>
      <w:r>
        <w:rPr>
          <w:rFonts w:hint="cs"/>
          <w:rtl/>
        </w:rPr>
        <w:t>יש לברך על ההתייחסות למצבים קוגניטיביים שאינם קבועים</w:t>
      </w:r>
      <w:r w:rsidR="00901991">
        <w:rPr>
          <w:rFonts w:hint="cs"/>
          <w:rtl/>
        </w:rPr>
        <w:t>,</w:t>
      </w:r>
      <w:r>
        <w:rPr>
          <w:rFonts w:hint="cs"/>
          <w:rtl/>
        </w:rPr>
        <w:t xml:space="preserve"> כגון במחלה דו-קוטבית וסוגים מסויימים של סכיזופרניה. אך יש לשים לב לשינויים שיכולים לקרות במקרים נוספים שאינם בהכר</w:t>
      </w:r>
      <w:r w:rsidR="00901991">
        <w:rPr>
          <w:rFonts w:hint="cs"/>
          <w:rtl/>
        </w:rPr>
        <w:t>ח</w:t>
      </w:r>
      <w:r>
        <w:rPr>
          <w:rFonts w:hint="cs"/>
          <w:rtl/>
        </w:rPr>
        <w:t xml:space="preserve"> מחלת נפש, כגון דליריום של קשיש מאושפז, ויכולת התקשורת משתנית של אדם עם מוגבולויות שכליות.</w:t>
      </w:r>
    </w:p>
    <w:p w:rsidR="001436E4" w:rsidRDefault="001436E4" w:rsidP="00B60AEF">
      <w:pPr>
        <w:rPr>
          <w:rtl/>
        </w:rPr>
      </w:pPr>
    </w:p>
    <w:p w:rsidR="00A924E0" w:rsidRDefault="00A924E0" w:rsidP="00B60AEF">
      <w:r>
        <w:rPr>
          <w:rFonts w:hint="cs"/>
          <w:rtl/>
        </w:rPr>
        <w:t>יש גם להוסיף סעיף שיתמודד במפורש עם מצב בו ממנה יבטל את יפוי כח מתמשך כאשר הוא מסוגל להבין בדבר, אך כשמצבו יתדרדר ישוב יפוי הכח להיות בתוקף. אחרת לא יהיה מנוס מהגשת בקשה למיני אפוטרופוס.</w:t>
      </w:r>
    </w:p>
    <w:p w:rsidR="000F36D3" w:rsidRDefault="000F36D3" w:rsidP="00B60AEF"/>
    <w:p w:rsidR="000F36D3" w:rsidRDefault="000F36D3" w:rsidP="00B60AEF">
      <w:pPr>
        <w:rPr>
          <w:rtl/>
        </w:rPr>
      </w:pPr>
    </w:p>
    <w:p w:rsidR="00664EA1" w:rsidRDefault="00664EA1" w:rsidP="00B60AEF">
      <w:pPr>
        <w:rPr>
          <w:rtl/>
        </w:rPr>
      </w:pPr>
    </w:p>
    <w:p w:rsidR="00664EA1" w:rsidRDefault="00664EA1" w:rsidP="00B60AEF">
      <w:pPr>
        <w:rPr>
          <w:b/>
          <w:bCs/>
          <w:rtl/>
        </w:rPr>
      </w:pPr>
      <w:r w:rsidRPr="00664EA1">
        <w:rPr>
          <w:rFonts w:hint="cs"/>
          <w:b/>
          <w:bCs/>
          <w:rtl/>
        </w:rPr>
        <w:t>סעיף מוצע 32טו</w:t>
      </w:r>
    </w:p>
    <w:p w:rsidR="00664EA1" w:rsidRDefault="00664EA1" w:rsidP="00B60AEF">
      <w:pPr>
        <w:rPr>
          <w:rtl/>
        </w:rPr>
      </w:pPr>
      <w:r>
        <w:rPr>
          <w:rFonts w:hint="cs"/>
          <w:rtl/>
        </w:rPr>
        <w:t>הצעת החוק הנוכחית אינו דן בסוגיית פסלות דין; רצוי לבדוק הסעיף המוצע מחדש אם וכאשר יתמודד המחוקק עם סוגיה זו, אם בדרך של קביעת מעמד חדש של חסוי מוגן ואם בדרך אחרת.</w:t>
      </w:r>
    </w:p>
    <w:p w:rsidR="00664EA1" w:rsidRDefault="00664EA1" w:rsidP="00B60AEF">
      <w:pPr>
        <w:rPr>
          <w:rtl/>
        </w:rPr>
      </w:pPr>
    </w:p>
    <w:p w:rsidR="00664EA1" w:rsidRDefault="00664EA1" w:rsidP="00B60AEF">
      <w:pPr>
        <w:rPr>
          <w:b/>
          <w:bCs/>
          <w:rtl/>
        </w:rPr>
      </w:pPr>
      <w:r>
        <w:rPr>
          <w:rFonts w:hint="cs"/>
          <w:b/>
          <w:bCs/>
          <w:rtl/>
        </w:rPr>
        <w:t>סעיף מוצע 32יז(5)</w:t>
      </w:r>
    </w:p>
    <w:p w:rsidR="00901991" w:rsidRDefault="00901991" w:rsidP="00B60AEF">
      <w:pPr>
        <w:rPr>
          <w:b/>
          <w:bCs/>
          <w:rtl/>
        </w:rPr>
      </w:pPr>
    </w:p>
    <w:p w:rsidR="00901991" w:rsidRPr="00613188" w:rsidRDefault="00901991" w:rsidP="00B60AEF">
      <w:pPr>
        <w:rPr>
          <w:rtl/>
        </w:rPr>
      </w:pPr>
      <w:r w:rsidRPr="00613188">
        <w:rPr>
          <w:rFonts w:hint="cs"/>
          <w:rtl/>
        </w:rPr>
        <w:t xml:space="preserve">במרבית המקרים של גירושין, </w:t>
      </w:r>
      <w:r w:rsidR="00613188" w:rsidRPr="00613188">
        <w:rPr>
          <w:rFonts w:hint="cs"/>
          <w:rtl/>
        </w:rPr>
        <w:t>האימון בין בני הזוג נעדרת זמן רב לפני האקט הפורמאלי של גירושין.</w:t>
      </w:r>
    </w:p>
    <w:p w:rsidR="00613188" w:rsidRDefault="00664EA1" w:rsidP="00613188">
      <w:pPr>
        <w:rPr>
          <w:rtl/>
        </w:rPr>
      </w:pPr>
      <w:r w:rsidRPr="00664EA1">
        <w:rPr>
          <w:rFonts w:hint="cs"/>
          <w:rtl/>
        </w:rPr>
        <w:t>יתכן שימנה אדם בן/בת זוג אשר עימו חי ללא נישואין</w:t>
      </w:r>
      <w:r w:rsidR="00613188">
        <w:rPr>
          <w:rFonts w:hint="cs"/>
          <w:rtl/>
        </w:rPr>
        <w:t>.</w:t>
      </w:r>
      <w:r w:rsidR="00613188" w:rsidRPr="00613188">
        <w:rPr>
          <w:rFonts w:hint="cs"/>
          <w:rtl/>
        </w:rPr>
        <w:t xml:space="preserve"> </w:t>
      </w:r>
      <w:r w:rsidR="00613188">
        <w:rPr>
          <w:rFonts w:hint="cs"/>
          <w:rtl/>
        </w:rPr>
        <w:t>ראה בעניין זה הערה להלן בנוגע לסעיף 14 להצעת החוק.</w:t>
      </w:r>
    </w:p>
    <w:p w:rsidR="00664EA1" w:rsidRDefault="00664EA1" w:rsidP="00613188">
      <w:pPr>
        <w:rPr>
          <w:rtl/>
        </w:rPr>
      </w:pPr>
      <w:r>
        <w:rPr>
          <w:rFonts w:hint="cs"/>
          <w:rtl/>
        </w:rPr>
        <w:t>לכן ההוראה המוצעת, המורה על</w:t>
      </w:r>
      <w:r w:rsidR="00613188">
        <w:rPr>
          <w:rFonts w:hint="cs"/>
          <w:rtl/>
        </w:rPr>
        <w:t xml:space="preserve"> </w:t>
      </w:r>
      <w:r>
        <w:rPr>
          <w:rFonts w:hint="cs"/>
          <w:rtl/>
        </w:rPr>
        <w:t>פקיעת ייפוי כוח עם גירושין</w:t>
      </w:r>
      <w:r w:rsidR="00613188">
        <w:rPr>
          <w:rFonts w:hint="cs"/>
          <w:rtl/>
        </w:rPr>
        <w:t>,</w:t>
      </w:r>
      <w:r>
        <w:rPr>
          <w:rFonts w:hint="cs"/>
          <w:rtl/>
        </w:rPr>
        <w:t xml:space="preserve"> לא תענה על המצב הרצוי </w:t>
      </w:r>
      <w:r>
        <w:rPr>
          <w:rtl/>
        </w:rPr>
        <w:t>–</w:t>
      </w:r>
      <w:r>
        <w:rPr>
          <w:rFonts w:hint="cs"/>
          <w:rtl/>
        </w:rPr>
        <w:t xml:space="preserve"> פקיעה כאשר חדלים </w:t>
      </w:r>
      <w:r w:rsidR="00613188">
        <w:rPr>
          <w:rFonts w:hint="cs"/>
          <w:rtl/>
        </w:rPr>
        <w:t>בני הזוג לחיות יחד כבני זוג</w:t>
      </w:r>
      <w:r>
        <w:rPr>
          <w:rFonts w:hint="cs"/>
          <w:rtl/>
        </w:rPr>
        <w:t xml:space="preserve">. </w:t>
      </w:r>
    </w:p>
    <w:p w:rsidR="00613188" w:rsidRDefault="00613188" w:rsidP="00613188">
      <w:pPr>
        <w:rPr>
          <w:rtl/>
        </w:rPr>
      </w:pPr>
    </w:p>
    <w:p w:rsidR="00613188" w:rsidRDefault="00613188" w:rsidP="00613188">
      <w:pPr>
        <w:rPr>
          <w:b/>
          <w:bCs/>
          <w:rtl/>
        </w:rPr>
      </w:pPr>
      <w:r>
        <w:rPr>
          <w:rFonts w:hint="cs"/>
          <w:b/>
          <w:bCs/>
          <w:rtl/>
        </w:rPr>
        <w:t>הוספת סעיף מוצע 32יז(6)</w:t>
      </w:r>
    </w:p>
    <w:p w:rsidR="00613188" w:rsidRDefault="00613188" w:rsidP="00613188">
      <w:pPr>
        <w:rPr>
          <w:rtl/>
        </w:rPr>
      </w:pPr>
      <w:r>
        <w:rPr>
          <w:rFonts w:hint="cs"/>
          <w:rtl/>
        </w:rPr>
        <w:t xml:space="preserve">יש לקבוע כי יפוג ייפוי כח מתמשך אם לא ייכנס לתוקפו תוך פרק זמן </w:t>
      </w:r>
      <w:r>
        <w:rPr>
          <w:rtl/>
        </w:rPr>
        <w:t>–</w:t>
      </w:r>
      <w:r>
        <w:rPr>
          <w:rFonts w:hint="cs"/>
          <w:rtl/>
        </w:rPr>
        <w:t xml:space="preserve"> אולי 5 שנים </w:t>
      </w:r>
      <w:r>
        <w:rPr>
          <w:rtl/>
        </w:rPr>
        <w:t>–</w:t>
      </w:r>
      <w:r>
        <w:rPr>
          <w:rFonts w:hint="cs"/>
          <w:rtl/>
        </w:rPr>
        <w:t xml:space="preserve"> היום חתימתו. יתכן מצבו של הממנה השתנה לטובה; ייתכנו שינוים במצבת רכושו של הממנה, או של הרכב משפחתו; וכל אלה כאשר נשכחה עשיית ייפוי הכוח. </w:t>
      </w:r>
    </w:p>
    <w:p w:rsidR="00613188" w:rsidRPr="00613188" w:rsidRDefault="00613188" w:rsidP="00613188">
      <w:pPr>
        <w:rPr>
          <w:rtl/>
        </w:rPr>
      </w:pPr>
      <w:r>
        <w:rPr>
          <w:rFonts w:hint="cs"/>
          <w:rtl/>
        </w:rPr>
        <w:t xml:space="preserve">רצוי למנוע מצבים כאלה, כאשר תנתן התראה על ידי האפוטרופוס הכללי בעוד מועד, אשר יאפשר לממנה להורות על הארכת תוקף ייפוי הכוח המקורי או לשנותו או לבטלו.  </w:t>
      </w:r>
    </w:p>
    <w:p w:rsidR="00305A4B" w:rsidRDefault="00305A4B" w:rsidP="00B60AEF">
      <w:pPr>
        <w:rPr>
          <w:rtl/>
        </w:rPr>
      </w:pPr>
    </w:p>
    <w:p w:rsidR="00305A4B" w:rsidRDefault="00305A4B" w:rsidP="00B60AEF">
      <w:pPr>
        <w:rPr>
          <w:b/>
          <w:bCs/>
          <w:rtl/>
        </w:rPr>
      </w:pPr>
      <w:r>
        <w:rPr>
          <w:rFonts w:hint="cs"/>
          <w:b/>
          <w:bCs/>
          <w:rtl/>
        </w:rPr>
        <w:t>הוספת סעיף מוצע 32יח1</w:t>
      </w:r>
    </w:p>
    <w:p w:rsidR="00305A4B" w:rsidRDefault="00305A4B" w:rsidP="00613188">
      <w:pPr>
        <w:rPr>
          <w:rtl/>
        </w:rPr>
      </w:pPr>
      <w:r w:rsidRPr="00305A4B">
        <w:rPr>
          <w:rFonts w:hint="cs"/>
          <w:rtl/>
        </w:rPr>
        <w:t>כדי למנוע אפשרות של שימוש</w:t>
      </w:r>
      <w:r>
        <w:rPr>
          <w:rFonts w:hint="cs"/>
          <w:rtl/>
        </w:rPr>
        <w:t xml:space="preserve"> ביפוי כח שבוטל על פי סעיפים 32יז או 32יח, יש לחיי</w:t>
      </w:r>
      <w:r w:rsidR="00613188">
        <w:rPr>
          <w:rFonts w:hint="cs"/>
          <w:rtl/>
        </w:rPr>
        <w:t>ב</w:t>
      </w:r>
      <w:r>
        <w:rPr>
          <w:rFonts w:hint="cs"/>
          <w:rtl/>
        </w:rPr>
        <w:t xml:space="preserve"> מיופה כח במצב כזה למסור כל עותקי יפוי הכח שבידו לאפוטרופוס הכללי וכן ליתן תצהיר כי אין בידיו עותקים נוספים.</w:t>
      </w:r>
    </w:p>
    <w:p w:rsidR="006548F3" w:rsidRDefault="006548F3" w:rsidP="00B60AEF">
      <w:pPr>
        <w:rPr>
          <w:rtl/>
        </w:rPr>
      </w:pPr>
    </w:p>
    <w:p w:rsidR="006548F3" w:rsidRDefault="006548F3" w:rsidP="00B60AEF">
      <w:pPr>
        <w:rPr>
          <w:b/>
          <w:bCs/>
          <w:u w:val="single"/>
          <w:rtl/>
        </w:rPr>
      </w:pPr>
      <w:r w:rsidRPr="006548F3">
        <w:rPr>
          <w:rFonts w:hint="cs"/>
          <w:b/>
          <w:bCs/>
          <w:u w:val="single"/>
          <w:rtl/>
        </w:rPr>
        <w:t>סימן ה</w:t>
      </w:r>
      <w:r w:rsidR="00A03083">
        <w:rPr>
          <w:rFonts w:hint="cs"/>
          <w:b/>
          <w:bCs/>
          <w:u w:val="single"/>
          <w:rtl/>
        </w:rPr>
        <w:t>': סמכויות בית משפט בקשר לייפוי כח מתמשך</w:t>
      </w:r>
    </w:p>
    <w:p w:rsidR="006548F3" w:rsidRDefault="006548F3" w:rsidP="00A03083">
      <w:pPr>
        <w:rPr>
          <w:b/>
          <w:bCs/>
          <w:rtl/>
        </w:rPr>
      </w:pPr>
      <w:r>
        <w:rPr>
          <w:rFonts w:hint="cs"/>
          <w:b/>
          <w:bCs/>
          <w:rtl/>
        </w:rPr>
        <w:t>סעיפים מוצעים 32כא(ב), 32כג(</w:t>
      </w:r>
      <w:r w:rsidR="00A03083">
        <w:rPr>
          <w:rFonts w:hint="cs"/>
          <w:b/>
          <w:bCs/>
          <w:rtl/>
        </w:rPr>
        <w:t>ב</w:t>
      </w:r>
      <w:r>
        <w:rPr>
          <w:rFonts w:hint="cs"/>
          <w:b/>
          <w:bCs/>
          <w:rtl/>
        </w:rPr>
        <w:t>)</w:t>
      </w:r>
    </w:p>
    <w:p w:rsidR="006548F3" w:rsidRDefault="006548F3" w:rsidP="006E22EA">
      <w:pPr>
        <w:rPr>
          <w:rtl/>
        </w:rPr>
      </w:pPr>
      <w:r w:rsidRPr="006548F3">
        <w:rPr>
          <w:rFonts w:hint="cs"/>
          <w:rtl/>
        </w:rPr>
        <w:t>יש להוסיף את הממנה</w:t>
      </w:r>
      <w:r>
        <w:rPr>
          <w:rFonts w:hint="cs"/>
          <w:rtl/>
        </w:rPr>
        <w:t>, בין בעצמו ובין באמצעות אפוט</w:t>
      </w:r>
      <w:r w:rsidR="00A03083">
        <w:rPr>
          <w:rFonts w:hint="cs"/>
          <w:rtl/>
        </w:rPr>
        <w:t>ר</w:t>
      </w:r>
      <w:r>
        <w:rPr>
          <w:rFonts w:hint="cs"/>
          <w:rtl/>
        </w:rPr>
        <w:t>ופוס שלו,</w:t>
      </w:r>
      <w:r w:rsidRPr="006548F3">
        <w:rPr>
          <w:rFonts w:hint="cs"/>
          <w:rtl/>
        </w:rPr>
        <w:t xml:space="preserve"> לאלה אשר רשאים לבקש מבית המשפ</w:t>
      </w:r>
      <w:r>
        <w:rPr>
          <w:rFonts w:hint="cs"/>
          <w:rtl/>
        </w:rPr>
        <w:t>ט ליתן הוראות</w:t>
      </w:r>
      <w:r w:rsidRPr="006548F3">
        <w:rPr>
          <w:rFonts w:hint="cs"/>
          <w:rtl/>
        </w:rPr>
        <w:t xml:space="preserve"> </w:t>
      </w:r>
      <w:r>
        <w:rPr>
          <w:rFonts w:hint="cs"/>
          <w:rtl/>
        </w:rPr>
        <w:t xml:space="preserve">בנוגע לפעולות מיופה הכח; </w:t>
      </w:r>
      <w:r>
        <w:rPr>
          <w:rFonts w:hint="cs"/>
          <w:rtl/>
        </w:rPr>
        <w:lastRenderedPageBreak/>
        <w:t xml:space="preserve">כן יש לאפשר לו לבקש </w:t>
      </w:r>
      <w:r w:rsidR="00613188">
        <w:rPr>
          <w:rFonts w:hint="cs"/>
          <w:rtl/>
        </w:rPr>
        <w:t>ה</w:t>
      </w:r>
      <w:r w:rsidR="006E22EA">
        <w:rPr>
          <w:rFonts w:hint="cs"/>
          <w:rtl/>
        </w:rPr>
        <w:t>ג</w:t>
      </w:r>
      <w:r>
        <w:rPr>
          <w:rFonts w:hint="cs"/>
          <w:rtl/>
        </w:rPr>
        <w:t xml:space="preserve">בלת </w:t>
      </w:r>
      <w:r w:rsidR="006E22EA">
        <w:rPr>
          <w:rFonts w:hint="cs"/>
          <w:rtl/>
        </w:rPr>
        <w:t xml:space="preserve">סמכויות מיופה הכוח, </w:t>
      </w:r>
      <w:r>
        <w:rPr>
          <w:rFonts w:hint="cs"/>
          <w:rtl/>
        </w:rPr>
        <w:t>ו</w:t>
      </w:r>
      <w:r w:rsidR="006E22EA">
        <w:rPr>
          <w:rFonts w:hint="cs"/>
          <w:rtl/>
        </w:rPr>
        <w:t xml:space="preserve">/או </w:t>
      </w:r>
      <w:r>
        <w:rPr>
          <w:rFonts w:hint="cs"/>
          <w:rtl/>
        </w:rPr>
        <w:t>מינוי אפוטרופוס</w:t>
      </w:r>
      <w:r w:rsidR="006E22EA">
        <w:rPr>
          <w:rFonts w:hint="cs"/>
          <w:rtl/>
        </w:rPr>
        <w:t>,</w:t>
      </w:r>
      <w:r>
        <w:rPr>
          <w:rFonts w:hint="cs"/>
          <w:rtl/>
        </w:rPr>
        <w:t xml:space="preserve"> וכן לבקש</w:t>
      </w:r>
      <w:r w:rsidR="00A03083">
        <w:rPr>
          <w:rFonts w:hint="cs"/>
          <w:rtl/>
        </w:rPr>
        <w:t xml:space="preserve"> כי בית המשפט י</w:t>
      </w:r>
      <w:r w:rsidRPr="006548F3">
        <w:rPr>
          <w:rFonts w:hint="cs"/>
          <w:rtl/>
        </w:rPr>
        <w:t>בטל את י</w:t>
      </w:r>
      <w:r w:rsidR="00A03083" w:rsidRPr="006548F3">
        <w:rPr>
          <w:rFonts w:hint="cs"/>
          <w:rtl/>
        </w:rPr>
        <w:t>פוי הכח</w:t>
      </w:r>
      <w:r w:rsidR="00A03083">
        <w:rPr>
          <w:rFonts w:hint="cs"/>
          <w:rtl/>
        </w:rPr>
        <w:t>,</w:t>
      </w:r>
      <w:r w:rsidR="006E22EA">
        <w:rPr>
          <w:rFonts w:hint="cs"/>
          <w:rtl/>
        </w:rPr>
        <w:t xml:space="preserve"> </w:t>
      </w:r>
      <w:r w:rsidR="00A03083">
        <w:rPr>
          <w:rFonts w:hint="cs"/>
          <w:rtl/>
        </w:rPr>
        <w:t xml:space="preserve">זאת, מבלי לפגוע באמור בסעיף מוצע 32כד. </w:t>
      </w:r>
    </w:p>
    <w:p w:rsidR="002928B3" w:rsidRDefault="002928B3" w:rsidP="00A03083">
      <w:pPr>
        <w:rPr>
          <w:rtl/>
        </w:rPr>
      </w:pPr>
    </w:p>
    <w:p w:rsidR="002928B3" w:rsidRDefault="002928B3" w:rsidP="002928B3">
      <w:pPr>
        <w:rPr>
          <w:b/>
          <w:bCs/>
          <w:rtl/>
        </w:rPr>
      </w:pPr>
      <w:r>
        <w:rPr>
          <w:rFonts w:hint="cs"/>
          <w:b/>
          <w:bCs/>
          <w:rtl/>
        </w:rPr>
        <w:t>הוספת סעיף מוצע 32כג1</w:t>
      </w:r>
    </w:p>
    <w:p w:rsidR="002928B3" w:rsidRPr="00305A4B" w:rsidRDefault="002928B3" w:rsidP="002928B3">
      <w:pPr>
        <w:rPr>
          <w:rtl/>
        </w:rPr>
      </w:pPr>
      <w:r w:rsidRPr="00305A4B">
        <w:rPr>
          <w:rFonts w:hint="cs"/>
          <w:rtl/>
        </w:rPr>
        <w:t>כדי למנוע אפשרות של שימוש</w:t>
      </w:r>
      <w:r>
        <w:rPr>
          <w:rFonts w:hint="cs"/>
          <w:rtl/>
        </w:rPr>
        <w:t xml:space="preserve"> ביפוי כח שבוטל על פי סעיפים 32כג, יש לחייב מיופה כח במצב כזה למסור כל עותקי יפוי הכח שבידו לאפוטרופוס הכללי וכן ליתן תצהיר כי אין בידיו עותקים נוספים.</w:t>
      </w:r>
    </w:p>
    <w:p w:rsidR="002928B3" w:rsidRDefault="002928B3" w:rsidP="00A03083">
      <w:pPr>
        <w:rPr>
          <w:rtl/>
        </w:rPr>
      </w:pPr>
    </w:p>
    <w:p w:rsidR="00A03083" w:rsidRDefault="006E22EA" w:rsidP="00A03083">
      <w:pPr>
        <w:rPr>
          <w:b/>
          <w:bCs/>
          <w:u w:val="single"/>
          <w:rtl/>
        </w:rPr>
      </w:pPr>
      <w:r>
        <w:rPr>
          <w:rFonts w:hint="cs"/>
          <w:b/>
          <w:bCs/>
          <w:u w:val="single"/>
          <w:rtl/>
        </w:rPr>
        <w:t>תיקונים לפרק השלישי לחוק</w:t>
      </w:r>
    </w:p>
    <w:p w:rsidR="006E22EA" w:rsidRPr="006E22EA" w:rsidRDefault="006E22EA" w:rsidP="00A03083">
      <w:pPr>
        <w:rPr>
          <w:b/>
          <w:bCs/>
          <w:u w:val="single"/>
          <w:rtl/>
        </w:rPr>
      </w:pPr>
    </w:p>
    <w:p w:rsidR="00A03083" w:rsidRDefault="002928B3" w:rsidP="00A03083">
      <w:pPr>
        <w:rPr>
          <w:b/>
          <w:bCs/>
          <w:u w:val="single"/>
          <w:rtl/>
        </w:rPr>
      </w:pPr>
      <w:r w:rsidRPr="002928B3">
        <w:rPr>
          <w:rFonts w:hint="cs"/>
          <w:b/>
          <w:bCs/>
          <w:u w:val="single"/>
          <w:rtl/>
        </w:rPr>
        <w:t>סעיפים 3-9 להצעת החוק</w:t>
      </w:r>
    </w:p>
    <w:p w:rsidR="002928B3" w:rsidRDefault="002928B3" w:rsidP="00A03083">
      <w:pPr>
        <w:rPr>
          <w:b/>
          <w:bCs/>
          <w:u w:val="single"/>
          <w:rtl/>
        </w:rPr>
      </w:pPr>
    </w:p>
    <w:p w:rsidR="002928B3" w:rsidRDefault="002928B3" w:rsidP="00A03083">
      <w:pPr>
        <w:rPr>
          <w:rtl/>
        </w:rPr>
      </w:pPr>
      <w:r>
        <w:rPr>
          <w:rFonts w:hint="cs"/>
          <w:rtl/>
        </w:rPr>
        <w:t>התיקונים המוצעים משקפים היטב את מטרת התיקון והראייה הנוכחית של המחוייבויות, הן של החברה והן של הפועלים למען אדם עם מוגבלויות, כאמור לעיל בפרק "מטרות החוק".</w:t>
      </w:r>
    </w:p>
    <w:p w:rsidR="002928B3" w:rsidRDefault="002928B3" w:rsidP="00A03083">
      <w:pPr>
        <w:rPr>
          <w:rtl/>
        </w:rPr>
      </w:pPr>
    </w:p>
    <w:p w:rsidR="002928B3" w:rsidRDefault="002928B3" w:rsidP="00A03083">
      <w:pPr>
        <w:rPr>
          <w:b/>
          <w:bCs/>
          <w:u w:val="single"/>
          <w:rtl/>
        </w:rPr>
      </w:pPr>
      <w:r>
        <w:rPr>
          <w:rFonts w:hint="cs"/>
          <w:b/>
          <w:bCs/>
          <w:u w:val="single"/>
          <w:rtl/>
        </w:rPr>
        <w:t>סעיף 10 להצעת החוק</w:t>
      </w:r>
    </w:p>
    <w:p w:rsidR="002928B3" w:rsidRDefault="002928B3" w:rsidP="00A03083">
      <w:pPr>
        <w:rPr>
          <w:b/>
          <w:bCs/>
          <w:u w:val="single"/>
          <w:rtl/>
        </w:rPr>
      </w:pPr>
    </w:p>
    <w:p w:rsidR="002928B3" w:rsidRDefault="002A2F44" w:rsidP="00A03083">
      <w:pPr>
        <w:rPr>
          <w:b/>
          <w:bCs/>
          <w:rtl/>
        </w:rPr>
      </w:pPr>
      <w:r w:rsidRPr="002A2F44">
        <w:rPr>
          <w:rFonts w:hint="cs"/>
          <w:b/>
          <w:bCs/>
          <w:rtl/>
        </w:rPr>
        <w:t>סעיף מוצע 67ב(א)</w:t>
      </w:r>
    </w:p>
    <w:p w:rsidR="002A2F44" w:rsidRDefault="002A2F44" w:rsidP="00A03083">
      <w:pPr>
        <w:rPr>
          <w:b/>
          <w:bCs/>
          <w:rtl/>
        </w:rPr>
      </w:pPr>
    </w:p>
    <w:p w:rsidR="002A2F44" w:rsidRDefault="002A2F44" w:rsidP="002A2F44">
      <w:pPr>
        <w:rPr>
          <w:rtl/>
        </w:rPr>
      </w:pPr>
      <w:r w:rsidRPr="002A2F44">
        <w:rPr>
          <w:rFonts w:hint="cs"/>
          <w:rtl/>
        </w:rPr>
        <w:t>הבעיה של פיקוח על אפוטרופסים, בענייני רכוש ובפרט בענייני הגוף</w:t>
      </w:r>
      <w:r w:rsidR="006E22EA">
        <w:rPr>
          <w:rFonts w:hint="cs"/>
          <w:rtl/>
        </w:rPr>
        <w:t>,</w:t>
      </w:r>
      <w:r>
        <w:rPr>
          <w:rFonts w:hint="cs"/>
          <w:rtl/>
        </w:rPr>
        <w:t xml:space="preserve"> באה לידי פתרון סביר בתיקונים המוצעים.</w:t>
      </w:r>
    </w:p>
    <w:p w:rsidR="002A2F44" w:rsidRDefault="002A2F44" w:rsidP="002A2F44">
      <w:pPr>
        <w:rPr>
          <w:rtl/>
        </w:rPr>
      </w:pPr>
    </w:p>
    <w:p w:rsidR="006E22EA" w:rsidRDefault="002A2F44" w:rsidP="006E22EA">
      <w:pPr>
        <w:rPr>
          <w:rtl/>
        </w:rPr>
      </w:pPr>
      <w:r>
        <w:rPr>
          <w:rFonts w:hint="cs"/>
          <w:rtl/>
        </w:rPr>
        <w:t>אך יש להרחיב את סמכויות הפיקוח</w:t>
      </w:r>
      <w:r w:rsidR="006E22EA">
        <w:rPr>
          <w:rFonts w:hint="cs"/>
          <w:rtl/>
        </w:rPr>
        <w:t>,</w:t>
      </w:r>
      <w:r>
        <w:rPr>
          <w:rFonts w:hint="cs"/>
          <w:rtl/>
        </w:rPr>
        <w:t xml:space="preserve"> על מנת שיחולו גם על מיופה כח לפי  ייפוי כוח מתמשך. </w:t>
      </w:r>
    </w:p>
    <w:p w:rsidR="006E22EA" w:rsidRDefault="006E22EA" w:rsidP="006E22EA">
      <w:pPr>
        <w:rPr>
          <w:rtl/>
        </w:rPr>
      </w:pPr>
    </w:p>
    <w:p w:rsidR="002A2F44" w:rsidRDefault="002A2F44" w:rsidP="006E22EA">
      <w:pPr>
        <w:rPr>
          <w:rtl/>
        </w:rPr>
      </w:pPr>
      <w:r>
        <w:rPr>
          <w:rFonts w:hint="cs"/>
          <w:rtl/>
        </w:rPr>
        <w:t>הנסיון מלמד שמי שממונה לתפקיד על ידי בית המשפט עלול למעול האמון הניתן לו, בכל הקשור לרכושו או גופו של חסוי. מי שיתמנה על ידי החסוי עצמו אינו פחות חשוף ללחצים פנימיים או חיצוניים לפעול לטובת עצמו ו/או אחרים ובניגוד לאינטרסים של הממנה.</w:t>
      </w:r>
    </w:p>
    <w:p w:rsidR="002A2F44" w:rsidRDefault="002A2F44" w:rsidP="002A2F44">
      <w:pPr>
        <w:rPr>
          <w:rtl/>
        </w:rPr>
      </w:pPr>
    </w:p>
    <w:p w:rsidR="002A2F44" w:rsidRDefault="002A2F44" w:rsidP="002A2F44">
      <w:pPr>
        <w:rPr>
          <w:rtl/>
        </w:rPr>
      </w:pPr>
      <w:r>
        <w:rPr>
          <w:rFonts w:hint="cs"/>
          <w:rtl/>
        </w:rPr>
        <w:t>לכן מן הראוי להוסיף, בסוף סעיף משנה (א) לסעיף המוצע 67ב: "וכן פרק שני1".</w:t>
      </w:r>
    </w:p>
    <w:p w:rsidR="006254BC" w:rsidRDefault="006254BC" w:rsidP="002A2F44">
      <w:pPr>
        <w:rPr>
          <w:rtl/>
        </w:rPr>
      </w:pPr>
    </w:p>
    <w:p w:rsidR="00893F80" w:rsidRPr="00893F80" w:rsidRDefault="00893F80" w:rsidP="006254BC">
      <w:pPr>
        <w:rPr>
          <w:b/>
          <w:bCs/>
          <w:u w:val="single"/>
          <w:rtl/>
        </w:rPr>
      </w:pPr>
      <w:r w:rsidRPr="00893F80">
        <w:rPr>
          <w:rFonts w:hint="cs"/>
          <w:b/>
          <w:bCs/>
          <w:u w:val="single"/>
          <w:rtl/>
        </w:rPr>
        <w:lastRenderedPageBreak/>
        <w:t>סעיף 11 להצעת החוק</w:t>
      </w:r>
    </w:p>
    <w:p w:rsidR="00893F80" w:rsidRDefault="00893F80" w:rsidP="006254BC">
      <w:pPr>
        <w:rPr>
          <w:b/>
          <w:bCs/>
          <w:u w:val="single"/>
          <w:rtl/>
        </w:rPr>
      </w:pPr>
    </w:p>
    <w:p w:rsidR="006254BC" w:rsidRDefault="006254BC" w:rsidP="006254BC">
      <w:pPr>
        <w:rPr>
          <w:b/>
          <w:bCs/>
          <w:u w:val="single"/>
          <w:rtl/>
        </w:rPr>
      </w:pPr>
      <w:r>
        <w:rPr>
          <w:rFonts w:hint="cs"/>
          <w:b/>
          <w:bCs/>
          <w:u w:val="single"/>
          <w:rtl/>
        </w:rPr>
        <w:t>פרק שלישי1: עקרונות ודרכי פעולה של אפוטרופוס</w:t>
      </w:r>
    </w:p>
    <w:p w:rsidR="006254BC" w:rsidRDefault="006254BC" w:rsidP="006254BC">
      <w:pPr>
        <w:rPr>
          <w:b/>
          <w:bCs/>
          <w:u w:val="single"/>
          <w:rtl/>
        </w:rPr>
      </w:pPr>
    </w:p>
    <w:p w:rsidR="006254BC" w:rsidRDefault="006254BC" w:rsidP="006254BC">
      <w:pPr>
        <w:rPr>
          <w:b/>
          <w:bCs/>
          <w:rtl/>
        </w:rPr>
      </w:pPr>
      <w:r>
        <w:rPr>
          <w:rFonts w:hint="cs"/>
          <w:b/>
          <w:bCs/>
          <w:rtl/>
        </w:rPr>
        <w:t>סעיף מוצע 67ד(ב)</w:t>
      </w:r>
    </w:p>
    <w:p w:rsidR="00B730B3" w:rsidRDefault="00B730B3" w:rsidP="006254BC">
      <w:pPr>
        <w:rPr>
          <w:b/>
          <w:bCs/>
          <w:rtl/>
        </w:rPr>
      </w:pPr>
    </w:p>
    <w:p w:rsidR="00B730B3" w:rsidRDefault="00B730B3" w:rsidP="006254BC">
      <w:pPr>
        <w:rPr>
          <w:rtl/>
        </w:rPr>
      </w:pPr>
      <w:r>
        <w:rPr>
          <w:rFonts w:hint="cs"/>
          <w:rtl/>
        </w:rPr>
        <w:t>על פי סעיף מוצע 32ז, חל סעיף</w:t>
      </w:r>
      <w:r w:rsidR="006E22EA">
        <w:rPr>
          <w:rFonts w:hint="cs"/>
          <w:rtl/>
        </w:rPr>
        <w:t xml:space="preserve"> מוצע</w:t>
      </w:r>
      <w:r>
        <w:rPr>
          <w:rFonts w:hint="cs"/>
          <w:rtl/>
        </w:rPr>
        <w:t xml:space="preserve"> 67ד גם על מיופה כח, וטוב שכך.</w:t>
      </w:r>
    </w:p>
    <w:p w:rsidR="00B730B3" w:rsidRDefault="00B730B3" w:rsidP="006254BC">
      <w:pPr>
        <w:rPr>
          <w:rtl/>
        </w:rPr>
      </w:pPr>
    </w:p>
    <w:p w:rsidR="006254BC" w:rsidRDefault="00B730B3" w:rsidP="006E22EA">
      <w:pPr>
        <w:rPr>
          <w:rtl/>
        </w:rPr>
      </w:pPr>
      <w:r>
        <w:rPr>
          <w:rFonts w:hint="cs"/>
          <w:rtl/>
        </w:rPr>
        <w:t xml:space="preserve">אולם </w:t>
      </w:r>
      <w:r w:rsidR="006254BC">
        <w:rPr>
          <w:rFonts w:hint="cs"/>
          <w:rtl/>
        </w:rPr>
        <w:t>המונח "בעל מקצוע" בסעיף</w:t>
      </w:r>
      <w:r>
        <w:rPr>
          <w:rFonts w:hint="cs"/>
          <w:rtl/>
        </w:rPr>
        <w:t xml:space="preserve"> המוצע 67ד</w:t>
      </w:r>
      <w:r w:rsidR="006E22EA">
        <w:rPr>
          <w:rFonts w:hint="cs"/>
          <w:rtl/>
        </w:rPr>
        <w:t xml:space="preserve"> נועד</w:t>
      </w:r>
      <w:r w:rsidR="006254BC">
        <w:rPr>
          <w:rFonts w:hint="cs"/>
          <w:rtl/>
        </w:rPr>
        <w:t>, כך נראה, להתייחס לבעלי מקצועות חופשיים ואחרים המתמנים כאפו</w:t>
      </w:r>
      <w:r w:rsidR="006E22EA">
        <w:rPr>
          <w:rFonts w:hint="cs"/>
          <w:rtl/>
        </w:rPr>
        <w:t>ט</w:t>
      </w:r>
      <w:r w:rsidR="006254BC">
        <w:rPr>
          <w:rFonts w:hint="cs"/>
          <w:rtl/>
        </w:rPr>
        <w:t>רופסים או העשויים להתמנות מיופי כח בייפויי כוח מתמשכים.</w:t>
      </w:r>
    </w:p>
    <w:p w:rsidR="006254BC" w:rsidRDefault="006254BC" w:rsidP="006254BC">
      <w:pPr>
        <w:rPr>
          <w:rtl/>
        </w:rPr>
      </w:pPr>
    </w:p>
    <w:p w:rsidR="006254BC" w:rsidRDefault="006254BC" w:rsidP="006254BC">
      <w:pPr>
        <w:rPr>
          <w:rtl/>
        </w:rPr>
      </w:pPr>
      <w:r>
        <w:rPr>
          <w:rFonts w:hint="cs"/>
          <w:rtl/>
        </w:rPr>
        <w:t xml:space="preserve">למרבה הצער, הסעיף כפי שמנוסח </w:t>
      </w:r>
      <w:r w:rsidR="006E22EA">
        <w:rPr>
          <w:rFonts w:hint="cs"/>
          <w:rtl/>
        </w:rPr>
        <w:t>מ</w:t>
      </w:r>
      <w:r>
        <w:rPr>
          <w:rFonts w:hint="cs"/>
          <w:rtl/>
        </w:rPr>
        <w:t xml:space="preserve">חטיא את המטרה, בכך שהוא מפנה להגדרה של בעל מקצוע בסעיף 32א המוצע </w:t>
      </w:r>
      <w:r>
        <w:rPr>
          <w:rtl/>
        </w:rPr>
        <w:t>–</w:t>
      </w:r>
      <w:r>
        <w:rPr>
          <w:rFonts w:hint="cs"/>
          <w:rtl/>
        </w:rPr>
        <w:t xml:space="preserve"> רופא, פסיכולוג, עובד סוציאלי ואחות </w:t>
      </w:r>
      <w:r w:rsidRPr="006254BC">
        <w:rPr>
          <w:rFonts w:hint="cs"/>
          <w:u w:val="single"/>
          <w:rtl/>
        </w:rPr>
        <w:t>בלבד</w:t>
      </w:r>
      <w:r>
        <w:rPr>
          <w:rFonts w:hint="cs"/>
          <w:rtl/>
        </w:rPr>
        <w:t>.</w:t>
      </w:r>
    </w:p>
    <w:p w:rsidR="006254BC" w:rsidRDefault="006254BC" w:rsidP="006254BC">
      <w:pPr>
        <w:rPr>
          <w:rtl/>
        </w:rPr>
      </w:pPr>
    </w:p>
    <w:p w:rsidR="006254BC" w:rsidRDefault="006254BC" w:rsidP="006254BC">
      <w:pPr>
        <w:rPr>
          <w:rtl/>
        </w:rPr>
      </w:pPr>
      <w:r>
        <w:rPr>
          <w:rFonts w:hint="cs"/>
          <w:rtl/>
        </w:rPr>
        <w:t>לא יעלה על הדעת שעורך דין או רואה חשבון, המתמנה כאמור, יראה את עצמו חופשי מהחובה לפעול "במסירות ובמקצועיות כמו שבעל מקצוע...היה מפעיל כלפי לקוחו".</w:t>
      </w:r>
    </w:p>
    <w:p w:rsidR="006254BC" w:rsidRDefault="006254BC" w:rsidP="006254BC">
      <w:pPr>
        <w:rPr>
          <w:rtl/>
        </w:rPr>
      </w:pPr>
    </w:p>
    <w:p w:rsidR="006254BC" w:rsidRDefault="006254BC" w:rsidP="006254BC">
      <w:pPr>
        <w:rPr>
          <w:rtl/>
        </w:rPr>
      </w:pPr>
      <w:r>
        <w:rPr>
          <w:rFonts w:hint="cs"/>
          <w:rtl/>
        </w:rPr>
        <w:t>לכן רצוי להחליף את המונח "בעל מקצוע" במונח "עוסק במקצוע", וכן למחוק את המילים "כהגדרתו בסעיף 32א".</w:t>
      </w:r>
    </w:p>
    <w:p w:rsidR="00B730B3" w:rsidRDefault="00B730B3" w:rsidP="006254BC">
      <w:pPr>
        <w:rPr>
          <w:rtl/>
        </w:rPr>
      </w:pPr>
    </w:p>
    <w:p w:rsidR="00B730B3" w:rsidRDefault="00B730B3" w:rsidP="00B730B3">
      <w:pPr>
        <w:rPr>
          <w:b/>
          <w:bCs/>
          <w:rtl/>
        </w:rPr>
      </w:pPr>
      <w:r>
        <w:rPr>
          <w:rFonts w:hint="cs"/>
          <w:b/>
          <w:bCs/>
          <w:rtl/>
        </w:rPr>
        <w:t>סעיף</w:t>
      </w:r>
      <w:r w:rsidR="00195647">
        <w:rPr>
          <w:rFonts w:hint="cs"/>
          <w:b/>
          <w:bCs/>
          <w:rtl/>
        </w:rPr>
        <w:t xml:space="preserve"> מוצע</w:t>
      </w:r>
      <w:r>
        <w:rPr>
          <w:rFonts w:hint="cs"/>
          <w:b/>
          <w:bCs/>
          <w:rtl/>
        </w:rPr>
        <w:t xml:space="preserve"> 67ה(4)</w:t>
      </w:r>
    </w:p>
    <w:p w:rsidR="00B730B3" w:rsidRDefault="00B730B3" w:rsidP="00B730B3">
      <w:pPr>
        <w:rPr>
          <w:b/>
          <w:bCs/>
          <w:rtl/>
        </w:rPr>
      </w:pPr>
    </w:p>
    <w:p w:rsidR="00B730B3" w:rsidRDefault="00B730B3" w:rsidP="00B730B3">
      <w:pPr>
        <w:rPr>
          <w:rtl/>
        </w:rPr>
      </w:pPr>
      <w:r>
        <w:rPr>
          <w:rFonts w:hint="cs"/>
          <w:rtl/>
        </w:rPr>
        <w:t>אין זה ברור באיזה שלב יחוייב מיופה כח להסביר לחסוי את תפקידיו וסמכויותיו.</w:t>
      </w:r>
    </w:p>
    <w:p w:rsidR="00B730B3" w:rsidRDefault="00B730B3" w:rsidP="00B730B3">
      <w:pPr>
        <w:rPr>
          <w:rtl/>
        </w:rPr>
      </w:pPr>
    </w:p>
    <w:p w:rsidR="00B730B3" w:rsidRDefault="00B730B3" w:rsidP="00B730B3">
      <w:pPr>
        <w:rPr>
          <w:rtl/>
        </w:rPr>
      </w:pPr>
      <w:r>
        <w:rPr>
          <w:rFonts w:hint="cs"/>
          <w:rtl/>
        </w:rPr>
        <w:t>לכן יש להורות למיופה הכח להודיע לממנה כי הוא מודיע על כניסתו לתוקף של יפוי הכח על פי סעיף מוצע 32יג, וכן ליתן הסברים על פי סעיף מוצע 67ה(4) מיד לאחר מכן.</w:t>
      </w:r>
    </w:p>
    <w:p w:rsidR="00195647" w:rsidRDefault="00195647" w:rsidP="00B730B3">
      <w:pPr>
        <w:rPr>
          <w:rtl/>
        </w:rPr>
      </w:pPr>
    </w:p>
    <w:p w:rsidR="00195647" w:rsidRDefault="00195647" w:rsidP="00B730B3">
      <w:pPr>
        <w:rPr>
          <w:b/>
          <w:bCs/>
          <w:rtl/>
        </w:rPr>
      </w:pPr>
      <w:r w:rsidRPr="00195647">
        <w:rPr>
          <w:rFonts w:hint="cs"/>
          <w:b/>
          <w:bCs/>
          <w:rtl/>
        </w:rPr>
        <w:t>הוספת סעיפי משנה מוצעים 67ה (14), (15).</w:t>
      </w:r>
    </w:p>
    <w:p w:rsidR="00195647" w:rsidRDefault="00195647" w:rsidP="00B730B3">
      <w:pPr>
        <w:rPr>
          <w:b/>
          <w:bCs/>
          <w:rtl/>
        </w:rPr>
      </w:pPr>
    </w:p>
    <w:p w:rsidR="00893F80" w:rsidRDefault="00195647" w:rsidP="006E22EA">
      <w:pPr>
        <w:rPr>
          <w:rtl/>
        </w:rPr>
      </w:pPr>
      <w:r>
        <w:rPr>
          <w:rFonts w:hint="cs"/>
          <w:rtl/>
        </w:rPr>
        <w:lastRenderedPageBreak/>
        <w:t xml:space="preserve">כדי להשלים את </w:t>
      </w:r>
      <w:r w:rsidR="006E22EA">
        <w:rPr>
          <w:rFonts w:hint="cs"/>
          <w:rtl/>
        </w:rPr>
        <w:t>ה</w:t>
      </w:r>
      <w:r>
        <w:rPr>
          <w:rFonts w:hint="cs"/>
          <w:rtl/>
        </w:rPr>
        <w:t>הענות לצרכי חסוי, יש להוסיף על מחוייבויות האפוטרופוס</w:t>
      </w:r>
      <w:r w:rsidR="006E22EA">
        <w:rPr>
          <w:rFonts w:hint="cs"/>
          <w:rtl/>
        </w:rPr>
        <w:t xml:space="preserve"> ומיופה כח על פי ייפוי כח מתמשך</w:t>
      </w:r>
      <w:r w:rsidR="00893F80">
        <w:rPr>
          <w:rFonts w:hint="cs"/>
          <w:rtl/>
        </w:rPr>
        <w:t xml:space="preserve">: </w:t>
      </w:r>
    </w:p>
    <w:p w:rsidR="00195647" w:rsidRDefault="00893F80" w:rsidP="00B730B3">
      <w:pPr>
        <w:rPr>
          <w:rtl/>
        </w:rPr>
      </w:pPr>
      <w:r>
        <w:rPr>
          <w:rFonts w:hint="cs"/>
          <w:rtl/>
        </w:rPr>
        <w:t>(14)</w:t>
      </w:r>
      <w:r w:rsidR="00195647">
        <w:rPr>
          <w:rFonts w:hint="cs"/>
          <w:rtl/>
        </w:rPr>
        <w:t xml:space="preserve"> לדאוג להנגשת כל מבנה ושירות לפי חוק שוויון זכויות לאנשים עם מוגבלות, התשנ"ח-1998</w:t>
      </w:r>
      <w:r>
        <w:rPr>
          <w:rFonts w:hint="cs"/>
          <w:rtl/>
        </w:rPr>
        <w:t xml:space="preserve"> והתקנות והצווים על פיו.</w:t>
      </w:r>
    </w:p>
    <w:p w:rsidR="00893F80" w:rsidRDefault="00893F80" w:rsidP="00893F80">
      <w:pPr>
        <w:rPr>
          <w:rtl/>
        </w:rPr>
      </w:pPr>
      <w:r>
        <w:rPr>
          <w:rFonts w:hint="cs"/>
          <w:rtl/>
        </w:rPr>
        <w:t>(15) לדאוג להגשת בקשות לקבלת כל הטבה, קצבה, עזרה, שירותים וזכאויות וכיו"ב, מכל גורם שהוא,  הנובעים ממוגבלותו של החסוי, ולפעול בשקידה על קידום בקשות כאמור.</w:t>
      </w:r>
    </w:p>
    <w:p w:rsidR="00893F80" w:rsidRDefault="00893F80" w:rsidP="00893F80">
      <w:pPr>
        <w:rPr>
          <w:rtl/>
        </w:rPr>
      </w:pPr>
    </w:p>
    <w:p w:rsidR="00893F80" w:rsidRPr="000F36D3" w:rsidRDefault="00893F80" w:rsidP="00893F80">
      <w:pPr>
        <w:rPr>
          <w:b/>
          <w:bCs/>
          <w:u w:val="single"/>
          <w:rtl/>
        </w:rPr>
      </w:pPr>
      <w:r w:rsidRPr="000F36D3">
        <w:rPr>
          <w:rFonts w:hint="cs"/>
          <w:b/>
          <w:bCs/>
          <w:u w:val="single"/>
          <w:rtl/>
        </w:rPr>
        <w:t>סעיף 12 להצעת החוק</w:t>
      </w:r>
    </w:p>
    <w:p w:rsidR="00893F80" w:rsidRDefault="00893F80" w:rsidP="00893F80">
      <w:pPr>
        <w:rPr>
          <w:rtl/>
        </w:rPr>
      </w:pPr>
    </w:p>
    <w:p w:rsidR="00893F80" w:rsidRDefault="00893F80" w:rsidP="00893F80">
      <w:pPr>
        <w:rPr>
          <w:rtl/>
        </w:rPr>
      </w:pPr>
      <w:r>
        <w:rPr>
          <w:rFonts w:hint="cs"/>
          <w:b/>
          <w:bCs/>
          <w:rtl/>
        </w:rPr>
        <w:t>סעיף 76(2)</w:t>
      </w:r>
    </w:p>
    <w:p w:rsidR="006548F3" w:rsidRPr="006548F3" w:rsidRDefault="00893F80" w:rsidP="000F36D3">
      <w:pPr>
        <w:rPr>
          <w:b/>
          <w:bCs/>
          <w:rtl/>
        </w:rPr>
      </w:pPr>
      <w:r>
        <w:rPr>
          <w:rFonts w:hint="cs"/>
          <w:rtl/>
        </w:rPr>
        <w:t>במקום התיקון המוצע, אשר אינו ברור, רצוי לציין במפורש "</w:t>
      </w:r>
      <w:r w:rsidR="00A80B6D">
        <w:rPr>
          <w:rFonts w:hint="cs"/>
          <w:rtl/>
        </w:rPr>
        <w:t>הפרקים השני, שני1, השלישי, ושלישי1"</w:t>
      </w:r>
    </w:p>
    <w:p w:rsidR="00305A4B" w:rsidRPr="00305A4B" w:rsidRDefault="00305A4B" w:rsidP="00B60AEF">
      <w:pPr>
        <w:rPr>
          <w:rtl/>
        </w:rPr>
      </w:pPr>
    </w:p>
    <w:p w:rsidR="00664EA1" w:rsidRDefault="00664EA1" w:rsidP="00B60AEF">
      <w:pPr>
        <w:rPr>
          <w:rtl/>
        </w:rPr>
      </w:pPr>
    </w:p>
    <w:p w:rsidR="00664EA1" w:rsidRDefault="00664EA1" w:rsidP="00664EA1">
      <w:pPr>
        <w:rPr>
          <w:b/>
          <w:bCs/>
          <w:u w:val="single"/>
          <w:rtl/>
        </w:rPr>
      </w:pPr>
      <w:r>
        <w:rPr>
          <w:rFonts w:hint="cs"/>
          <w:b/>
          <w:bCs/>
          <w:u w:val="single"/>
          <w:rtl/>
        </w:rPr>
        <w:t>סעיף 14 להצעת החוק</w:t>
      </w:r>
    </w:p>
    <w:p w:rsidR="00664EA1" w:rsidRDefault="00305A4B" w:rsidP="00305A4B">
      <w:pPr>
        <w:rPr>
          <w:rtl/>
        </w:rPr>
      </w:pPr>
      <w:r>
        <w:rPr>
          <w:rFonts w:hint="cs"/>
          <w:rtl/>
        </w:rPr>
        <w:t>יש להוסיף על הוספת המונח "בן זוג" הסבר במה מדובר: לאור ריבוי מערכות היחסים, בהן חיים ביחד זוגות בשותפות ללא נישואין, ועשויים למנות אחד את השני מיופה כח, רצוי להוסיף:"בין שנשוי לממנה על פי פרק שני1 ובין שאינו נשוי לו".</w:t>
      </w:r>
    </w:p>
    <w:p w:rsidR="00305A4B" w:rsidRDefault="00305A4B" w:rsidP="00305A4B">
      <w:pPr>
        <w:rPr>
          <w:rtl/>
        </w:rPr>
      </w:pPr>
    </w:p>
    <w:p w:rsidR="00664EA1" w:rsidRPr="00305A4B" w:rsidRDefault="00305A4B" w:rsidP="00305A4B">
      <w:pPr>
        <w:rPr>
          <w:rtl/>
        </w:rPr>
      </w:pPr>
      <w:r>
        <w:rPr>
          <w:rFonts w:hint="cs"/>
          <w:rtl/>
        </w:rPr>
        <w:t>כאמור לעיל בהערה לסעיף מוצע 32יז(5) יש להתמודד עם חדלת מיופה הכח להיות בן זיג של הממנה.</w:t>
      </w:r>
    </w:p>
    <w:p w:rsidR="00664EA1" w:rsidRDefault="00664EA1" w:rsidP="001436E4">
      <w:pPr>
        <w:rPr>
          <w:b/>
          <w:bCs/>
          <w:u w:val="single"/>
          <w:rtl/>
        </w:rPr>
      </w:pPr>
    </w:p>
    <w:p w:rsidR="001436E4" w:rsidRPr="001436E4" w:rsidRDefault="001436E4" w:rsidP="001436E4">
      <w:pPr>
        <w:rPr>
          <w:b/>
          <w:bCs/>
          <w:u w:val="single"/>
          <w:rtl/>
        </w:rPr>
      </w:pPr>
      <w:r w:rsidRPr="001436E4">
        <w:rPr>
          <w:rFonts w:hint="cs"/>
          <w:b/>
          <w:bCs/>
          <w:u w:val="single"/>
          <w:rtl/>
        </w:rPr>
        <w:t>סעיף 15 להצעת החוק</w:t>
      </w:r>
    </w:p>
    <w:p w:rsidR="001436E4" w:rsidRDefault="001436E4" w:rsidP="001436E4">
      <w:pPr>
        <w:rPr>
          <w:b/>
          <w:bCs/>
          <w:rtl/>
        </w:rPr>
      </w:pPr>
    </w:p>
    <w:p w:rsidR="00B60AEF" w:rsidRDefault="00B60AEF" w:rsidP="001436E4">
      <w:pPr>
        <w:rPr>
          <w:b/>
          <w:bCs/>
          <w:rtl/>
        </w:rPr>
      </w:pPr>
      <w:r w:rsidRPr="00B60AEF">
        <w:rPr>
          <w:rFonts w:hint="cs"/>
          <w:b/>
          <w:bCs/>
          <w:rtl/>
        </w:rPr>
        <w:t>סעיף מוצע 83(ב)</w:t>
      </w:r>
    </w:p>
    <w:p w:rsidR="001436E4" w:rsidRDefault="001436E4" w:rsidP="00B60AEF">
      <w:pPr>
        <w:rPr>
          <w:b/>
          <w:bCs/>
          <w:rtl/>
        </w:rPr>
      </w:pPr>
    </w:p>
    <w:p w:rsidR="00884D27" w:rsidRDefault="001436E4" w:rsidP="00884D27">
      <w:pPr>
        <w:rPr>
          <w:rtl/>
        </w:rPr>
      </w:pPr>
      <w:r w:rsidRPr="001436E4">
        <w:rPr>
          <w:rFonts w:hint="cs"/>
          <w:rtl/>
        </w:rPr>
        <w:t xml:space="preserve">כאמור ביחס לסעיף ההגדרות, </w:t>
      </w:r>
      <w:r>
        <w:rPr>
          <w:rFonts w:hint="cs"/>
          <w:rtl/>
        </w:rPr>
        <w:t xml:space="preserve">רצוי לחייב התקנת תקנות </w:t>
      </w:r>
      <w:r w:rsidR="00884D27">
        <w:rPr>
          <w:rFonts w:hint="cs"/>
          <w:rtl/>
        </w:rPr>
        <w:t>ו</w:t>
      </w:r>
      <w:r>
        <w:rPr>
          <w:rFonts w:hint="cs"/>
          <w:rtl/>
        </w:rPr>
        <w:t xml:space="preserve">לא </w:t>
      </w:r>
      <w:r w:rsidR="00884D27">
        <w:rPr>
          <w:rFonts w:hint="cs"/>
          <w:rtl/>
        </w:rPr>
        <w:t>להסתפק במתן</w:t>
      </w:r>
      <w:r>
        <w:rPr>
          <w:rFonts w:hint="cs"/>
          <w:rtl/>
        </w:rPr>
        <w:t xml:space="preserve"> רשות לשר לקבוע כללים</w:t>
      </w:r>
      <w:r w:rsidR="00884D27">
        <w:rPr>
          <w:rFonts w:hint="cs"/>
          <w:rtl/>
        </w:rPr>
        <w:t>.</w:t>
      </w:r>
    </w:p>
    <w:p w:rsidR="00884D27" w:rsidRDefault="00884D27" w:rsidP="00884D27">
      <w:pPr>
        <w:rPr>
          <w:rtl/>
        </w:rPr>
      </w:pPr>
    </w:p>
    <w:p w:rsidR="001436E4" w:rsidRDefault="00884D27" w:rsidP="00884D27">
      <w:pPr>
        <w:rPr>
          <w:rtl/>
        </w:rPr>
      </w:pPr>
      <w:r>
        <w:rPr>
          <w:rFonts w:hint="cs"/>
          <w:rtl/>
        </w:rPr>
        <w:t>לכן</w:t>
      </w:r>
      <w:r w:rsidR="001436E4">
        <w:rPr>
          <w:rFonts w:hint="cs"/>
          <w:rtl/>
        </w:rPr>
        <w:t xml:space="preserve">, </w:t>
      </w:r>
      <w:r w:rsidR="001436E4" w:rsidRPr="001436E4">
        <w:rPr>
          <w:rFonts w:hint="cs"/>
          <w:rtl/>
        </w:rPr>
        <w:t>בתחיל</w:t>
      </w:r>
      <w:r w:rsidR="001436E4">
        <w:rPr>
          <w:rFonts w:hint="cs"/>
          <w:rtl/>
        </w:rPr>
        <w:t>ת</w:t>
      </w:r>
      <w:r w:rsidR="001436E4" w:rsidRPr="001436E4">
        <w:rPr>
          <w:rFonts w:hint="cs"/>
          <w:rtl/>
        </w:rPr>
        <w:t xml:space="preserve"> סעיף מוצע 83(ב) במקום "רשאי" יבוא "יתקין תקנות", ובסעיפי משנה (1), (2), (3) במקום " לקבוע כללים" או "לקבוע"</w:t>
      </w:r>
      <w:r w:rsidR="006E22EA">
        <w:rPr>
          <w:rFonts w:hint="cs"/>
          <w:rtl/>
        </w:rPr>
        <w:t xml:space="preserve"> </w:t>
      </w:r>
      <w:r w:rsidR="001436E4" w:rsidRPr="001436E4">
        <w:rPr>
          <w:rFonts w:hint="cs"/>
          <w:rtl/>
        </w:rPr>
        <w:t>או "לקבוע כללים בדבר", לפי העניין, יבוא</w:t>
      </w:r>
      <w:r w:rsidR="001436E4">
        <w:rPr>
          <w:rFonts w:hint="cs"/>
          <w:rtl/>
        </w:rPr>
        <w:t xml:space="preserve"> </w:t>
      </w:r>
      <w:r w:rsidR="001436E4" w:rsidRPr="001436E4">
        <w:rPr>
          <w:rFonts w:hint="cs"/>
          <w:rtl/>
        </w:rPr>
        <w:t>"</w:t>
      </w:r>
      <w:r w:rsidR="001436E4">
        <w:rPr>
          <w:rFonts w:hint="cs"/>
          <w:rtl/>
        </w:rPr>
        <w:t>בדבר".</w:t>
      </w:r>
    </w:p>
    <w:p w:rsidR="00884D27" w:rsidRDefault="00884D27" w:rsidP="001436E4">
      <w:pPr>
        <w:rPr>
          <w:rtl/>
        </w:rPr>
      </w:pPr>
    </w:p>
    <w:p w:rsidR="001436E4" w:rsidRDefault="00884D27" w:rsidP="00884D27">
      <w:pPr>
        <w:rPr>
          <w:rtl/>
        </w:rPr>
      </w:pPr>
      <w:r>
        <w:rPr>
          <w:rFonts w:hint="cs"/>
          <w:rtl/>
        </w:rPr>
        <w:lastRenderedPageBreak/>
        <w:t>נוסף על כך, יש להוסעיף:"(4) בדבר מומחיותם ונסיונם של בעלי המקצוע על פי סעיף 32א(1), (3) ו-(4)".</w:t>
      </w:r>
    </w:p>
    <w:p w:rsidR="00884D27" w:rsidRDefault="00884D27" w:rsidP="00884D27">
      <w:pPr>
        <w:rPr>
          <w:b/>
          <w:bCs/>
          <w:rtl/>
        </w:rPr>
      </w:pPr>
    </w:p>
    <w:p w:rsidR="001436E4" w:rsidRDefault="00884D27" w:rsidP="00884D27">
      <w:pPr>
        <w:rPr>
          <w:b/>
          <w:bCs/>
          <w:rtl/>
        </w:rPr>
      </w:pPr>
      <w:r>
        <w:rPr>
          <w:rFonts w:hint="cs"/>
          <w:b/>
          <w:bCs/>
          <w:rtl/>
        </w:rPr>
        <w:t xml:space="preserve">הוספת </w:t>
      </w:r>
      <w:r w:rsidR="001436E4" w:rsidRPr="00B60AEF">
        <w:rPr>
          <w:rFonts w:hint="cs"/>
          <w:b/>
          <w:bCs/>
          <w:rtl/>
        </w:rPr>
        <w:t>סעיף מוצע 83(</w:t>
      </w:r>
      <w:r>
        <w:rPr>
          <w:rFonts w:hint="cs"/>
          <w:b/>
          <w:bCs/>
          <w:rtl/>
        </w:rPr>
        <w:t>ג)</w:t>
      </w:r>
    </w:p>
    <w:p w:rsidR="001436E4" w:rsidRDefault="001436E4" w:rsidP="001436E4">
      <w:pPr>
        <w:rPr>
          <w:b/>
          <w:bCs/>
          <w:rtl/>
        </w:rPr>
      </w:pPr>
    </w:p>
    <w:p w:rsidR="00B60AEF" w:rsidRDefault="00B60AEF" w:rsidP="006E22EA">
      <w:pPr>
        <w:rPr>
          <w:rtl/>
        </w:rPr>
      </w:pPr>
      <w:r>
        <w:rPr>
          <w:rFonts w:hint="cs"/>
          <w:rtl/>
        </w:rPr>
        <w:t xml:space="preserve">לאור הערתי </w:t>
      </w:r>
      <w:r w:rsidRPr="00B60AEF">
        <w:rPr>
          <w:rFonts w:hint="cs"/>
          <w:rtl/>
        </w:rPr>
        <w:t>לסעיף מוצע 32יג(ג)</w:t>
      </w:r>
      <w:r>
        <w:rPr>
          <w:rFonts w:hint="cs"/>
          <w:rtl/>
        </w:rPr>
        <w:t xml:space="preserve"> יש להוסיף סעיף משנה (ג) בסעיף מוצע 83, לפיו ככל שמדובר בעובד סוציאלי, כגון בהגדרה </w:t>
      </w:r>
      <w:r w:rsidR="00884D27">
        <w:rPr>
          <w:rFonts w:hint="cs"/>
          <w:rtl/>
        </w:rPr>
        <w:t xml:space="preserve">של בעל מקצוע </w:t>
      </w:r>
      <w:r>
        <w:rPr>
          <w:rFonts w:hint="cs"/>
          <w:rtl/>
        </w:rPr>
        <w:t>בסעיף מוצע 32א</w:t>
      </w:r>
      <w:r w:rsidR="00884D27">
        <w:rPr>
          <w:rFonts w:hint="cs"/>
          <w:rtl/>
        </w:rPr>
        <w:t>(2)</w:t>
      </w:r>
      <w:r>
        <w:rPr>
          <w:rFonts w:hint="cs"/>
          <w:rtl/>
        </w:rPr>
        <w:t xml:space="preserve"> ודו"ח על פי סעי</w:t>
      </w:r>
      <w:r w:rsidR="00906628">
        <w:rPr>
          <w:rFonts w:hint="cs"/>
          <w:rtl/>
        </w:rPr>
        <w:t>פים מוצעים 32י(ט) או</w:t>
      </w:r>
      <w:r>
        <w:rPr>
          <w:rFonts w:hint="cs"/>
          <w:rtl/>
        </w:rPr>
        <w:t xml:space="preserve"> 32יג(ג), שר המשפטים בהסכמת שר הרווחה יתקין תקנות </w:t>
      </w:r>
      <w:r w:rsidR="001436E4">
        <w:rPr>
          <w:rFonts w:hint="cs"/>
          <w:rtl/>
        </w:rPr>
        <w:t>בדבר מתן דו"חות ותוכנם, ו</w:t>
      </w:r>
      <w:r w:rsidR="006E22EA">
        <w:rPr>
          <w:rFonts w:hint="cs"/>
          <w:rtl/>
        </w:rPr>
        <w:t xml:space="preserve">כן </w:t>
      </w:r>
      <w:r w:rsidR="001436E4">
        <w:rPr>
          <w:rFonts w:hint="cs"/>
          <w:rtl/>
        </w:rPr>
        <w:t>סוגי העובדים הסוציאליים שיוסמכו להג</w:t>
      </w:r>
      <w:r w:rsidR="006E22EA">
        <w:rPr>
          <w:rFonts w:hint="cs"/>
          <w:rtl/>
        </w:rPr>
        <w:t>שת</w:t>
      </w:r>
      <w:r w:rsidR="001436E4">
        <w:rPr>
          <w:rFonts w:hint="cs"/>
          <w:rtl/>
        </w:rPr>
        <w:t xml:space="preserve"> דו"חות.</w:t>
      </w:r>
    </w:p>
    <w:p w:rsidR="006E22EA" w:rsidRDefault="006E22EA" w:rsidP="006E22EA">
      <w:pPr>
        <w:rPr>
          <w:rtl/>
        </w:rPr>
      </w:pPr>
    </w:p>
    <w:p w:rsidR="006E22EA" w:rsidRDefault="006E22EA" w:rsidP="006E22EA">
      <w:pPr>
        <w:rPr>
          <w:b/>
          <w:bCs/>
          <w:u w:val="single"/>
          <w:rtl/>
        </w:rPr>
      </w:pPr>
      <w:r w:rsidRPr="006E22EA">
        <w:rPr>
          <w:rFonts w:hint="cs"/>
          <w:b/>
          <w:bCs/>
          <w:u w:val="single"/>
          <w:rtl/>
        </w:rPr>
        <w:t>כניסה לתוקף של החוק</w:t>
      </w:r>
    </w:p>
    <w:p w:rsidR="006E22EA" w:rsidRDefault="006E22EA" w:rsidP="006E22EA">
      <w:pPr>
        <w:rPr>
          <w:b/>
          <w:bCs/>
          <w:u w:val="single"/>
          <w:rtl/>
        </w:rPr>
      </w:pPr>
    </w:p>
    <w:p w:rsidR="006E22EA" w:rsidRDefault="006E22EA" w:rsidP="006E22EA">
      <w:pPr>
        <w:rPr>
          <w:rtl/>
        </w:rPr>
      </w:pPr>
      <w:r>
        <w:rPr>
          <w:rFonts w:hint="cs"/>
          <w:rtl/>
        </w:rPr>
        <w:t>כאמור, יש להתנות את כניסתו של החוק בהתקנת תקנות בדבר בעלי המקצוע, על פי סעיף מוצע 83(ב).</w:t>
      </w:r>
    </w:p>
    <w:p w:rsidR="006E22EA" w:rsidRDefault="006E22EA" w:rsidP="006E22EA">
      <w:pPr>
        <w:rPr>
          <w:rtl/>
        </w:rPr>
      </w:pPr>
    </w:p>
    <w:p w:rsidR="006E22EA" w:rsidRDefault="006E22EA" w:rsidP="006E22EA">
      <w:pPr>
        <w:rPr>
          <w:b/>
          <w:bCs/>
          <w:u w:val="single"/>
          <w:rtl/>
        </w:rPr>
      </w:pPr>
      <w:r w:rsidRPr="006E22EA">
        <w:rPr>
          <w:rFonts w:hint="cs"/>
          <w:b/>
          <w:bCs/>
          <w:u w:val="single"/>
          <w:rtl/>
        </w:rPr>
        <w:t>סוף דבר</w:t>
      </w:r>
    </w:p>
    <w:p w:rsidR="006E22EA" w:rsidRDefault="006E22EA" w:rsidP="006E22EA">
      <w:pPr>
        <w:rPr>
          <w:rtl/>
        </w:rPr>
      </w:pPr>
      <w:r>
        <w:rPr>
          <w:rFonts w:hint="cs"/>
          <w:rtl/>
        </w:rPr>
        <w:t>מדובר ביוזמה חקיקתית חשובה; תיקון הצעת החוק בהתאם לאמור לעיל יאפשר, כך סבורני, יאפשר השגות מטרותיה ביעילות.</w:t>
      </w:r>
    </w:p>
    <w:p w:rsidR="006E22EA" w:rsidRDefault="006E22EA" w:rsidP="006E22EA">
      <w:pPr>
        <w:rPr>
          <w:rtl/>
        </w:rPr>
      </w:pPr>
    </w:p>
    <w:p w:rsidR="006E22EA" w:rsidRPr="006E22EA" w:rsidRDefault="006E22EA" w:rsidP="006E22EA">
      <w:pPr>
        <w:rPr>
          <w:rtl/>
        </w:rPr>
      </w:pPr>
      <w:r>
        <w:rPr>
          <w:rFonts w:hint="cs"/>
          <w:rtl/>
        </w:rPr>
        <w:t xml:space="preserve">אשמח לקבל הערות ותגובות, וכן להיות שותף לשלבי החקיקה. </w:t>
      </w:r>
    </w:p>
    <w:p w:rsidR="000F36D3" w:rsidRDefault="000F36D3" w:rsidP="00906628">
      <w:pPr>
        <w:rPr>
          <w:rtl/>
        </w:rPr>
      </w:pPr>
    </w:p>
    <w:p w:rsidR="000F36D3" w:rsidRDefault="000F36D3" w:rsidP="005F3A5E">
      <w:pPr>
        <w:rPr>
          <w:b/>
          <w:bCs/>
          <w:u w:val="single"/>
        </w:rPr>
      </w:pPr>
      <w:r w:rsidRPr="000F36D3">
        <w:rPr>
          <w:rFonts w:hint="cs"/>
          <w:b/>
          <w:bCs/>
          <w:u w:val="single"/>
          <w:rtl/>
        </w:rPr>
        <w:t>פיליפ מרכוס, שופט בדימוס</w:t>
      </w:r>
      <w:r w:rsidR="005F3A5E">
        <w:rPr>
          <w:rFonts w:hint="cs"/>
          <w:b/>
          <w:bCs/>
          <w:rtl/>
        </w:rPr>
        <w:t xml:space="preserve">               </w:t>
      </w:r>
      <w:r w:rsidR="005F3A5E">
        <w:rPr>
          <w:rFonts w:hint="cs"/>
          <w:b/>
          <w:bCs/>
          <w:u w:val="single"/>
          <w:rtl/>
        </w:rPr>
        <w:t xml:space="preserve"> </w:t>
      </w:r>
      <w:r w:rsidR="005F3A5E" w:rsidRPr="000F36D3">
        <w:rPr>
          <w:rFonts w:hint="cs"/>
          <w:b/>
          <w:bCs/>
          <w:u w:val="single"/>
          <w:rtl/>
        </w:rPr>
        <w:t>כ"ט טבת התשע"ה - 20 ינואר 2015</w:t>
      </w:r>
    </w:p>
    <w:p w:rsidR="005F3A5E" w:rsidRDefault="005F3A5E" w:rsidP="000F36D3">
      <w:pPr>
        <w:rPr>
          <w:b/>
          <w:bCs/>
          <w:u w:val="single"/>
          <w:rtl/>
        </w:rPr>
      </w:pPr>
    </w:p>
    <w:p w:rsidR="000F36D3" w:rsidRPr="005F3A5E" w:rsidRDefault="000F36D3" w:rsidP="000F36D3">
      <w:pPr>
        <w:rPr>
          <w:sz w:val="28"/>
          <w:szCs w:val="28"/>
          <w:rtl/>
        </w:rPr>
      </w:pPr>
      <w:r w:rsidRPr="005F3A5E">
        <w:rPr>
          <w:rFonts w:hint="cs"/>
          <w:b/>
          <w:bCs/>
          <w:sz w:val="28"/>
          <w:szCs w:val="28"/>
          <w:u w:val="single"/>
          <w:rtl/>
        </w:rPr>
        <w:t>דוא"ל:</w:t>
      </w:r>
      <w:r w:rsidRPr="005F3A5E">
        <w:rPr>
          <w:sz w:val="28"/>
          <w:szCs w:val="28"/>
        </w:rPr>
        <w:t xml:space="preserve">philipmarcusjurist@gmail.com </w:t>
      </w:r>
    </w:p>
    <w:p w:rsidR="000F36D3" w:rsidRPr="005F3A5E" w:rsidRDefault="000F36D3" w:rsidP="000F36D3">
      <w:pPr>
        <w:rPr>
          <w:sz w:val="28"/>
          <w:szCs w:val="28"/>
        </w:rPr>
      </w:pPr>
      <w:r w:rsidRPr="005F3A5E">
        <w:rPr>
          <w:rFonts w:hint="cs"/>
          <w:b/>
          <w:bCs/>
          <w:sz w:val="28"/>
          <w:szCs w:val="28"/>
          <w:u w:val="single"/>
          <w:rtl/>
        </w:rPr>
        <w:t xml:space="preserve">אתר אינטרנט: </w:t>
      </w:r>
      <w:r w:rsidRPr="005F3A5E">
        <w:rPr>
          <w:sz w:val="28"/>
          <w:szCs w:val="28"/>
        </w:rPr>
        <w:t>www.philip-marcus.com</w:t>
      </w:r>
    </w:p>
    <w:p w:rsidR="00103D8F" w:rsidRPr="005F3A5E" w:rsidRDefault="00103D8F" w:rsidP="000F36D3">
      <w:pPr>
        <w:rPr>
          <w:sz w:val="28"/>
          <w:szCs w:val="28"/>
        </w:rPr>
      </w:pPr>
    </w:p>
    <w:sectPr w:rsidR="00103D8F" w:rsidRPr="005F3A5E">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866" w:rsidRDefault="00256866" w:rsidP="00075883">
      <w:pPr>
        <w:spacing w:before="0"/>
      </w:pPr>
      <w:r>
        <w:separator/>
      </w:r>
    </w:p>
  </w:endnote>
  <w:endnote w:type="continuationSeparator" w:id="0">
    <w:p w:rsidR="00256866" w:rsidRDefault="00256866" w:rsidP="0007588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76314075"/>
      <w:docPartObj>
        <w:docPartGallery w:val="Page Numbers (Bottom of Page)"/>
        <w:docPartUnique/>
      </w:docPartObj>
    </w:sdtPr>
    <w:sdtEndPr>
      <w:rPr>
        <w:noProof/>
      </w:rPr>
    </w:sdtEndPr>
    <w:sdtContent>
      <w:p w:rsidR="00A63C29" w:rsidRDefault="00A63C29">
        <w:pPr>
          <w:pStyle w:val="ab"/>
          <w:jc w:val="center"/>
        </w:pPr>
        <w:r>
          <w:fldChar w:fldCharType="begin"/>
        </w:r>
        <w:r>
          <w:instrText xml:space="preserve"> PAGE   \* MERGEFORMAT </w:instrText>
        </w:r>
        <w:r>
          <w:fldChar w:fldCharType="separate"/>
        </w:r>
        <w:r w:rsidR="00283509">
          <w:rPr>
            <w:noProof/>
            <w:rtl/>
          </w:rPr>
          <w:t>2</w:t>
        </w:r>
        <w:r>
          <w:rPr>
            <w:noProof/>
          </w:rPr>
          <w:fldChar w:fldCharType="end"/>
        </w:r>
      </w:p>
    </w:sdtContent>
  </w:sdt>
  <w:p w:rsidR="00A63C29" w:rsidRDefault="00A63C2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866" w:rsidRDefault="00256866" w:rsidP="00075883">
      <w:pPr>
        <w:spacing w:before="0"/>
      </w:pPr>
      <w:r>
        <w:separator/>
      </w:r>
    </w:p>
  </w:footnote>
  <w:footnote w:type="continuationSeparator" w:id="0">
    <w:p w:rsidR="00256866" w:rsidRDefault="00256866" w:rsidP="00075883">
      <w:pPr>
        <w:spacing w:before="0"/>
      </w:pPr>
      <w:r>
        <w:continuationSeparator/>
      </w:r>
    </w:p>
  </w:footnote>
  <w:footnote w:id="1">
    <w:p w:rsidR="00A63C29" w:rsidRPr="00012622" w:rsidRDefault="00A63C29" w:rsidP="00012622">
      <w:pPr>
        <w:spacing w:beforeLines="48" w:before="115" w:afterLines="48" w:after="115" w:line="269" w:lineRule="exact"/>
        <w:rPr>
          <w:sz w:val="20"/>
          <w:szCs w:val="20"/>
        </w:rPr>
      </w:pPr>
      <w:r>
        <w:rPr>
          <w:rStyle w:val="a8"/>
        </w:rPr>
        <w:footnoteRef/>
      </w:r>
      <w:r>
        <w:rPr>
          <w:rtl/>
        </w:rPr>
        <w:t xml:space="preserve"> </w:t>
      </w:r>
      <w:r w:rsidRPr="00012622">
        <w:rPr>
          <w:rFonts w:hint="cs"/>
          <w:b/>
          <w:bCs/>
          <w:color w:val="222222"/>
          <w:sz w:val="20"/>
          <w:szCs w:val="20"/>
          <w:shd w:val="clear" w:color="auto" w:fill="FFFFFF"/>
          <w:rtl/>
        </w:rPr>
        <w:t>מדריך רפואי-</w:t>
      </w:r>
      <w:r w:rsidRPr="00012622">
        <w:rPr>
          <w:rFonts w:hint="cs"/>
          <w:b/>
          <w:bCs/>
          <w:sz w:val="20"/>
          <w:szCs w:val="20"/>
          <w:shd w:val="clear" w:color="auto" w:fill="FFFFFF"/>
          <w:rtl/>
        </w:rPr>
        <w:t xml:space="preserve">משפטי-הלכתי </w:t>
      </w:r>
      <w:r w:rsidRPr="00012622">
        <w:rPr>
          <w:rFonts w:hint="cs"/>
          <w:b/>
          <w:bCs/>
          <w:color w:val="222222"/>
          <w:sz w:val="20"/>
          <w:szCs w:val="20"/>
          <w:shd w:val="clear" w:color="auto" w:fill="FFFFFF"/>
          <w:rtl/>
        </w:rPr>
        <w:t xml:space="preserve">לקביעת כשירות </w:t>
      </w:r>
      <w:r w:rsidRPr="00012622">
        <w:rPr>
          <w:rFonts w:hint="cs"/>
          <w:b/>
          <w:bCs/>
          <w:sz w:val="20"/>
          <w:szCs w:val="20"/>
          <w:shd w:val="clear" w:color="auto" w:fill="FFFFFF"/>
          <w:rtl/>
        </w:rPr>
        <w:t>לעשות</w:t>
      </w:r>
      <w:r w:rsidRPr="00012622">
        <w:rPr>
          <w:rFonts w:hint="cs"/>
          <w:b/>
          <w:bCs/>
          <w:color w:val="222222"/>
          <w:sz w:val="20"/>
          <w:szCs w:val="20"/>
          <w:shd w:val="clear" w:color="auto" w:fill="FFFFFF"/>
          <w:rtl/>
        </w:rPr>
        <w:t xml:space="preserve"> צוואה וליתן מתנה</w:t>
      </w:r>
      <w:r w:rsidRPr="00012622">
        <w:rPr>
          <w:rFonts w:hint="cs"/>
          <w:color w:val="222222"/>
          <w:sz w:val="20"/>
          <w:szCs w:val="20"/>
          <w:shd w:val="clear" w:color="auto" w:fill="FFFFFF"/>
          <w:rtl/>
        </w:rPr>
        <w:t xml:space="preserve">, </w:t>
      </w:r>
      <w:r>
        <w:rPr>
          <w:rFonts w:hint="cs"/>
          <w:color w:val="222222"/>
          <w:sz w:val="20"/>
          <w:szCs w:val="20"/>
          <w:shd w:val="clear" w:color="auto" w:fill="FFFFFF"/>
          <w:rtl/>
        </w:rPr>
        <w:t>"</w:t>
      </w:r>
      <w:r w:rsidRPr="00012622">
        <w:rPr>
          <w:color w:val="222222"/>
          <w:sz w:val="20"/>
          <w:szCs w:val="20"/>
          <w:shd w:val="clear" w:color="auto" w:fill="FFFFFF"/>
          <w:rtl/>
        </w:rPr>
        <w:t>אסיא</w:t>
      </w:r>
      <w:r>
        <w:rPr>
          <w:rFonts w:hint="cs"/>
          <w:color w:val="222222"/>
          <w:sz w:val="20"/>
          <w:szCs w:val="20"/>
          <w:shd w:val="clear" w:color="auto" w:fill="FFFFFF"/>
          <w:rtl/>
        </w:rPr>
        <w:t>"</w:t>
      </w:r>
      <w:r w:rsidRPr="00012622">
        <w:rPr>
          <w:color w:val="222222"/>
          <w:sz w:val="20"/>
          <w:szCs w:val="20"/>
          <w:shd w:val="clear" w:color="auto" w:fill="FFFFFF"/>
          <w:rtl/>
        </w:rPr>
        <w:t xml:space="preserve"> (חוברות צ"ה-צ"ו, כרך כ"ד 61-85</w:t>
      </w:r>
      <w:r w:rsidRPr="00012622">
        <w:rPr>
          <w:rFonts w:hint="cs"/>
          <w:color w:val="222222"/>
          <w:sz w:val="20"/>
          <w:szCs w:val="20"/>
          <w:shd w:val="clear" w:color="auto" w:fill="FFFFFF"/>
          <w:rtl/>
        </w:rPr>
        <w:t xml:space="preserve"> תשרי תשע"ה אוקטובר 2014)</w:t>
      </w:r>
    </w:p>
  </w:footnote>
  <w:footnote w:id="2">
    <w:p w:rsidR="00A63C29" w:rsidRPr="00012622" w:rsidRDefault="00A63C29" w:rsidP="00012622">
      <w:pPr>
        <w:pStyle w:val="P00"/>
        <w:spacing w:before="72"/>
        <w:ind w:left="0" w:right="1134"/>
        <w:rPr>
          <w:rStyle w:val="default0"/>
          <w:rFonts w:cs="David"/>
          <w:szCs w:val="20"/>
          <w:rtl/>
        </w:rPr>
      </w:pPr>
      <w:r>
        <w:rPr>
          <w:rStyle w:val="a8"/>
        </w:rPr>
        <w:footnoteRef/>
      </w:r>
      <w:r>
        <w:rPr>
          <w:rtl/>
        </w:rPr>
        <w:t xml:space="preserve"> </w:t>
      </w:r>
      <w:r w:rsidRPr="00012622">
        <w:rPr>
          <w:rFonts w:cs="David" w:hint="cs"/>
          <w:szCs w:val="20"/>
          <w:rtl/>
        </w:rPr>
        <w:t xml:space="preserve">אשתמש גם במונח "חסוי" לפי ההגדרה בסעיף 80 לחוק הכשרות המשפטית והאפוטרופסות, התשכ"ב-1962: </w:t>
      </w:r>
      <w:r>
        <w:rPr>
          <w:rFonts w:cs="David" w:hint="cs"/>
          <w:szCs w:val="20"/>
          <w:rtl/>
        </w:rPr>
        <w:t>"</w:t>
      </w:r>
      <w:r w:rsidRPr="00012622">
        <w:rPr>
          <w:rStyle w:val="default0"/>
          <w:rFonts w:cs="David"/>
          <w:szCs w:val="20"/>
          <w:rtl/>
        </w:rPr>
        <w:t>מ</w:t>
      </w:r>
      <w:r w:rsidRPr="00012622">
        <w:rPr>
          <w:rStyle w:val="default0"/>
          <w:rFonts w:cs="David" w:hint="cs"/>
          <w:szCs w:val="20"/>
          <w:rtl/>
        </w:rPr>
        <w:t>י שבית המשפט מינה לו אפוטרופוס לפי סעיף 33, או מי שבית המשפט רשאי למנות לו אפוטרופוס כאמור, והוא אף כשעדיין לא הוברר אם נתקיימו התנאים למינוי, הכל לפי הענין</w:t>
      </w:r>
      <w:r>
        <w:rPr>
          <w:rStyle w:val="default0"/>
          <w:rFonts w:cs="David" w:hint="cs"/>
          <w:szCs w:val="20"/>
          <w:rtl/>
        </w:rPr>
        <w:t>".</w:t>
      </w:r>
    </w:p>
    <w:p w:rsidR="00A63C29" w:rsidRDefault="00A63C29">
      <w:pPr>
        <w:pStyle w:val="a6"/>
      </w:pPr>
    </w:p>
  </w:footnote>
  <w:footnote w:id="3">
    <w:p w:rsidR="00A63C29" w:rsidRDefault="00A63C29">
      <w:pPr>
        <w:pStyle w:val="a6"/>
      </w:pPr>
      <w:r>
        <w:rPr>
          <w:rStyle w:val="a8"/>
        </w:rPr>
        <w:footnoteRef/>
      </w:r>
      <w:r>
        <w:rPr>
          <w:rtl/>
        </w:rPr>
        <w:t xml:space="preserve"> </w:t>
      </w:r>
      <w:r w:rsidRPr="002D2D2A">
        <w:rPr>
          <w:b/>
          <w:bCs/>
          <w:sz w:val="18"/>
          <w:szCs w:val="18"/>
        </w:rPr>
        <w:t>Hohfeld Without Rights</w:t>
      </w:r>
    </w:p>
  </w:footnote>
  <w:footnote w:id="4">
    <w:p w:rsidR="00A63C29" w:rsidRDefault="00A63C29">
      <w:pPr>
        <w:pStyle w:val="a6"/>
      </w:pPr>
      <w:r>
        <w:rPr>
          <w:rStyle w:val="a8"/>
        </w:rPr>
        <w:footnoteRef/>
      </w:r>
      <w:r>
        <w:rPr>
          <w:rtl/>
        </w:rPr>
        <w:t xml:space="preserve"> </w:t>
      </w:r>
      <w:r>
        <w:rPr>
          <w:rFonts w:hint="cs"/>
          <w:rtl/>
        </w:rPr>
        <w:t xml:space="preserve"> </w:t>
      </w:r>
    </w:p>
  </w:footnote>
  <w:footnote w:id="5">
    <w:p w:rsidR="00A63C29" w:rsidRPr="002D2D2A" w:rsidRDefault="00A63C29" w:rsidP="002D2D2A">
      <w:pPr>
        <w:pStyle w:val="Default"/>
        <w:jc w:val="right"/>
        <w:rPr>
          <w:b/>
          <w:bCs/>
          <w:sz w:val="18"/>
          <w:szCs w:val="18"/>
        </w:rPr>
      </w:pPr>
      <w:r w:rsidRPr="002D2D2A">
        <w:rPr>
          <w:rFonts w:ascii="Georgia" w:hAnsi="Georgia"/>
          <w:b/>
          <w:bCs/>
          <w:sz w:val="18"/>
          <w:szCs w:val="18"/>
        </w:rPr>
        <w:t>Towards a Convention on Responsibilities and Obligations to the Chil</w:t>
      </w:r>
      <w:r w:rsidRPr="002D2D2A">
        <w:rPr>
          <w:rFonts w:ascii="Georgia" w:hAnsi="Georgia" w:cs="Times New Roman"/>
          <w:b/>
          <w:bCs/>
          <w:sz w:val="18"/>
          <w:szCs w:val="18"/>
        </w:rPr>
        <w:t>d</w:t>
      </w:r>
    </w:p>
    <w:p w:rsidR="00A63C29" w:rsidRPr="002D2D2A" w:rsidRDefault="00A63C29" w:rsidP="00414DD3">
      <w:pPr>
        <w:pStyle w:val="a6"/>
        <w:jc w:val="left"/>
        <w:rPr>
          <w:rFonts w:cs="Times New Roman"/>
          <w:sz w:val="18"/>
          <w:szCs w:val="18"/>
        </w:rPr>
      </w:pPr>
      <w:r w:rsidRPr="002D2D2A">
        <w:rPr>
          <w:rFonts w:cs="Times New Roman"/>
          <w:sz w:val="18"/>
          <w:szCs w:val="18"/>
        </w:rPr>
        <w:t>Sixth World Congress on Family Law and Children’s Rights, March 2013</w:t>
      </w:r>
    </w:p>
    <w:p w:rsidR="00A63C29" w:rsidRPr="002D2D2A" w:rsidRDefault="00A63C29" w:rsidP="00754D58">
      <w:pPr>
        <w:pStyle w:val="Default"/>
        <w:jc w:val="right"/>
        <w:rPr>
          <w:rFonts w:cs="Times New Roman"/>
          <w:sz w:val="18"/>
          <w:szCs w:val="18"/>
        </w:rPr>
      </w:pPr>
    </w:p>
    <w:p w:rsidR="00A63C29" w:rsidRPr="002D2D2A" w:rsidRDefault="00A63C29" w:rsidP="00754D58">
      <w:pPr>
        <w:pStyle w:val="Default"/>
        <w:bidi/>
        <w:rPr>
          <w:sz w:val="18"/>
          <w:szCs w:val="18"/>
        </w:rPr>
      </w:pPr>
      <w:r w:rsidRPr="002D2D2A">
        <w:rPr>
          <w:rFonts w:ascii="Georgia" w:hAnsi="Georgia" w:cs="Times New Roman"/>
          <w:b/>
          <w:bCs/>
          <w:sz w:val="18"/>
          <w:szCs w:val="18"/>
        </w:rPr>
        <w:t>Adapting the Hague Conventions to the Paradigm of Parental</w:t>
      </w:r>
      <w:r w:rsidRPr="002D2D2A">
        <w:rPr>
          <w:rFonts w:cs="Times New Roman"/>
          <w:b/>
          <w:bCs/>
          <w:sz w:val="18"/>
          <w:szCs w:val="18"/>
        </w:rPr>
        <w:t xml:space="preserve"> </w:t>
      </w:r>
      <w:r w:rsidRPr="002D2D2A">
        <w:rPr>
          <w:rFonts w:ascii="Georgia" w:hAnsi="Georgia" w:cs="Times New Roman"/>
          <w:b/>
          <w:bCs/>
          <w:sz w:val="18"/>
          <w:szCs w:val="18"/>
        </w:rPr>
        <w:t>Responsibilities</w:t>
      </w:r>
      <w:r w:rsidRPr="002D2D2A">
        <w:rPr>
          <w:sz w:val="18"/>
          <w:szCs w:val="18"/>
        </w:rPr>
        <w:t xml:space="preserve"> </w:t>
      </w:r>
      <w:r w:rsidRPr="002D2D2A">
        <w:rPr>
          <w:rStyle w:val="a8"/>
          <w:sz w:val="18"/>
          <w:szCs w:val="18"/>
        </w:rPr>
        <w:footnoteRef/>
      </w:r>
    </w:p>
    <w:p w:rsidR="00A63C29" w:rsidRPr="002D2D2A" w:rsidRDefault="00A63C29" w:rsidP="00754D58">
      <w:pPr>
        <w:pStyle w:val="Default"/>
        <w:bidi/>
        <w:rPr>
          <w:rFonts w:ascii="Georgia" w:hAnsi="Georgia"/>
          <w:sz w:val="18"/>
          <w:szCs w:val="18"/>
        </w:rPr>
      </w:pPr>
      <w:r w:rsidRPr="002D2D2A">
        <w:rPr>
          <w:rFonts w:ascii="Georgia" w:hAnsi="Georgia"/>
          <w:sz w:val="18"/>
          <w:szCs w:val="18"/>
        </w:rPr>
        <w:t>International Society of Family Law Regional Conference, Shaare Mishpat, January 2014</w:t>
      </w:r>
    </w:p>
    <w:p w:rsidR="00A63C29" w:rsidRDefault="00A63C29" w:rsidP="00754D58">
      <w:pPr>
        <w:pStyle w:val="Default"/>
        <w:jc w:val="right"/>
      </w:pPr>
      <w:r>
        <w:t xml:space="preserve">   </w:t>
      </w:r>
    </w:p>
    <w:p w:rsidR="00A63C29" w:rsidRPr="00414DD3" w:rsidRDefault="00A63C29" w:rsidP="00414DD3">
      <w:pPr>
        <w:pStyle w:val="a6"/>
        <w:jc w:val="left"/>
      </w:pPr>
    </w:p>
  </w:footnote>
  <w:footnote w:id="6">
    <w:p w:rsidR="00A63C29" w:rsidRDefault="00A63C29">
      <w:pPr>
        <w:pStyle w:val="a6"/>
      </w:pPr>
      <w:r>
        <w:rPr>
          <w:rStyle w:val="a8"/>
        </w:rPr>
        <w:footnoteRef/>
      </w:r>
      <w:r>
        <w:rPr>
          <w:rtl/>
        </w:rPr>
        <w:t xml:space="preserve"> </w:t>
      </w:r>
      <w:r w:rsidRPr="002D2D2A">
        <w:rPr>
          <w:b/>
          <w:bCs/>
          <w:rtl/>
        </w:rPr>
        <w:t>מחוייבויות</w:t>
      </w:r>
      <w:r w:rsidRPr="002D2D2A">
        <w:rPr>
          <w:b/>
          <w:bCs/>
        </w:rPr>
        <w:t xml:space="preserve"> </w:t>
      </w:r>
      <w:r w:rsidRPr="002D2D2A">
        <w:rPr>
          <w:b/>
          <w:bCs/>
          <w:rtl/>
        </w:rPr>
        <w:t>הוריות</w:t>
      </w:r>
      <w:r w:rsidRPr="002D2D2A">
        <w:rPr>
          <w:b/>
          <w:bCs/>
        </w:rPr>
        <w:t xml:space="preserve">: </w:t>
      </w:r>
      <w:r w:rsidRPr="002D2D2A">
        <w:rPr>
          <w:b/>
          <w:bCs/>
          <w:rtl/>
        </w:rPr>
        <w:t>ניסוח</w:t>
      </w:r>
      <w:r w:rsidRPr="002D2D2A">
        <w:rPr>
          <w:b/>
          <w:bCs/>
        </w:rPr>
        <w:t xml:space="preserve"> </w:t>
      </w:r>
      <w:r w:rsidRPr="002D2D2A">
        <w:rPr>
          <w:b/>
          <w:bCs/>
          <w:rtl/>
        </w:rPr>
        <w:t>הפרדיגמה</w:t>
      </w:r>
      <w:r w:rsidRPr="002D2D2A">
        <w:rPr>
          <w:b/>
          <w:bCs/>
        </w:rPr>
        <w:t xml:space="preserve"> </w:t>
      </w:r>
      <w:r w:rsidRPr="002D2D2A">
        <w:rPr>
          <w:b/>
          <w:bCs/>
          <w:rtl/>
        </w:rPr>
        <w:t>החדשה</w:t>
      </w:r>
      <w:r w:rsidRPr="002D2D2A">
        <w:rPr>
          <w:b/>
          <w:bCs/>
        </w:rPr>
        <w:t xml:space="preserve"> </w:t>
      </w:r>
      <w:r w:rsidRPr="002D2D2A">
        <w:rPr>
          <w:b/>
          <w:bCs/>
          <w:rtl/>
        </w:rPr>
        <w:t>ליחסי</w:t>
      </w:r>
      <w:r w:rsidRPr="002D2D2A">
        <w:rPr>
          <w:b/>
          <w:bCs/>
        </w:rPr>
        <w:t xml:space="preserve"> </w:t>
      </w:r>
      <w:r w:rsidRPr="002D2D2A">
        <w:rPr>
          <w:b/>
          <w:bCs/>
          <w:rtl/>
        </w:rPr>
        <w:t>הורים</w:t>
      </w:r>
      <w:r w:rsidRPr="002D2D2A">
        <w:rPr>
          <w:b/>
          <w:bCs/>
        </w:rPr>
        <w:t>-</w:t>
      </w:r>
      <w:r w:rsidRPr="002D2D2A">
        <w:rPr>
          <w:b/>
          <w:bCs/>
          <w:rtl/>
        </w:rPr>
        <w:t>ילדים</w:t>
      </w:r>
      <w:r w:rsidRPr="007C379E">
        <w:t>.</w:t>
      </w:r>
    </w:p>
  </w:footnote>
  <w:footnote w:id="7">
    <w:p w:rsidR="00A63C29" w:rsidRPr="000A2002" w:rsidRDefault="00A63C29" w:rsidP="000A2002">
      <w:pPr>
        <w:pStyle w:val="a6"/>
        <w:tabs>
          <w:tab w:val="left" w:pos="270"/>
        </w:tabs>
        <w:rPr>
          <w:rFonts w:cs="FrankRuehl"/>
        </w:rPr>
      </w:pPr>
      <w:r>
        <w:rPr>
          <w:rStyle w:val="a8"/>
        </w:rPr>
        <w:footnoteRef/>
      </w:r>
      <w:r>
        <w:rPr>
          <w:rtl/>
        </w:rPr>
        <w:t xml:space="preserve"> </w:t>
      </w:r>
      <w:r>
        <w:rPr>
          <w:rFonts w:hint="cs"/>
          <w:rtl/>
        </w:rPr>
        <w:t xml:space="preserve">ראה תע (ת"א) 100760/09 </w:t>
      </w:r>
      <w:r w:rsidRPr="0047377B">
        <w:rPr>
          <w:rFonts w:hint="cs"/>
          <w:b/>
          <w:bCs/>
          <w:rtl/>
        </w:rPr>
        <w:t>בועז יעקב נ' דוד מחקשוולו ואח'</w:t>
      </w:r>
      <w:r>
        <w:rPr>
          <w:rFonts w:hint="cs"/>
          <w:rtl/>
        </w:rPr>
        <w:t xml:space="preserve"> פורסם ב"נבו", וההתייחסות אל פסק הדין במאמרנו ב"אסיא", ה.ש.1 לעיל, בעמ' 67</w:t>
      </w:r>
      <w:r w:rsidRPr="000A2002">
        <w:rPr>
          <w:rFonts w:cs="FrankRuehl"/>
          <w:rtl/>
        </w:rPr>
        <w:t>.</w:t>
      </w:r>
    </w:p>
    <w:p w:rsidR="00A63C29" w:rsidRPr="000A2002" w:rsidRDefault="00A63C29">
      <w:pPr>
        <w:pStyle w:val="a6"/>
      </w:pPr>
    </w:p>
  </w:footnote>
  <w:footnote w:id="8">
    <w:p w:rsidR="00A63C29" w:rsidRPr="00EB0885" w:rsidRDefault="00A63C29" w:rsidP="003C6F43">
      <w:pPr>
        <w:pStyle w:val="a6"/>
      </w:pPr>
      <w:r>
        <w:rPr>
          <w:rStyle w:val="a8"/>
        </w:rPr>
        <w:footnoteRef/>
      </w:r>
      <w:r>
        <w:rPr>
          <w:rtl/>
        </w:rPr>
        <w:t xml:space="preserve"> </w:t>
      </w:r>
      <w:r>
        <w:rPr>
          <w:rFonts w:hint="cs"/>
          <w:rtl/>
        </w:rPr>
        <w:t xml:space="preserve">יתכן שמנסחי הצעת החוק הושפעו על ידי חוזר מנכ"ל משרד הבריאות מס' 6/03 מיום כ"ט באדר ב' תשס"ג (2/04/03) </w:t>
      </w:r>
      <w:r>
        <w:rPr>
          <w:rFonts w:hint="cs"/>
          <w:b/>
          <w:bCs/>
          <w:rtl/>
        </w:rPr>
        <w:t xml:space="preserve">הנחיות לשימוש  בייפוי כח לפי חוק זכויות החולה </w:t>
      </w:r>
      <w:r>
        <w:rPr>
          <w:rFonts w:hint="cs"/>
          <w:rtl/>
        </w:rPr>
        <w:t xml:space="preserve">(ראה לדוגמה דברי ההסבר בעמ' 7) . בסעיף ז. 1. שם נאמר: "חתימת המטופל על ייפוי הכח תאומת על יד עד מהימן, כגון: רופא, אחות, עו"ד, עו"ס, פסיכולוג וכדומה". אולם החוזר מתייחס לייפוי על פי סעיף 16 לחוק זכויות החולה, התשנ"ו-1996, וההנחה היא שהממנה כפר מטופל במוסד רפואי, שם הוא מוכר לצוות. נוסף על כך,על טופס ייפוי הכח המוצע (עמ' 7-8 לחוזר), העד מתבקש לאשר רק כי לגבי הממנה ומיופה הכח "והתרשמתי כי הם מבינים את משמעות המסמך". </w:t>
      </w:r>
    </w:p>
  </w:footnote>
  <w:footnote w:id="9">
    <w:p w:rsidR="00A63C29" w:rsidRDefault="00A63C29" w:rsidP="00484FA8">
      <w:pPr>
        <w:pStyle w:val="a6"/>
      </w:pPr>
      <w:r>
        <w:rPr>
          <w:rStyle w:val="a8"/>
        </w:rPr>
        <w:footnoteRef/>
      </w:r>
      <w:r>
        <w:rPr>
          <w:rtl/>
        </w:rPr>
        <w:t xml:space="preserve"> </w:t>
      </w:r>
      <w:r>
        <w:rPr>
          <w:rFonts w:hint="cs"/>
          <w:rtl/>
        </w:rPr>
        <w:t>יש להוסיף כי שינוי מקום מגורים יכול לפגוע באיזון ובנוחיות אדם דמנטי, אך היבט זה אינו שונה מהמרכיבים לאחרים שבהגדרה המוצעת.</w:t>
      </w:r>
    </w:p>
  </w:footnote>
  <w:footnote w:id="10">
    <w:p w:rsidR="00A63C29" w:rsidRDefault="00A63C29">
      <w:pPr>
        <w:pStyle w:val="a6"/>
      </w:pPr>
      <w:r>
        <w:rPr>
          <w:rStyle w:val="a8"/>
        </w:rPr>
        <w:footnoteRef/>
      </w:r>
      <w:r>
        <w:rPr>
          <w:rtl/>
        </w:rPr>
        <w:t xml:space="preserve"> </w:t>
      </w:r>
      <w:r>
        <w:t>Wills Act 1837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949"/>
    <w:rsid w:val="00012622"/>
    <w:rsid w:val="00075883"/>
    <w:rsid w:val="000A2002"/>
    <w:rsid w:val="000F36D3"/>
    <w:rsid w:val="00103D8F"/>
    <w:rsid w:val="00105F43"/>
    <w:rsid w:val="0013246E"/>
    <w:rsid w:val="001436E4"/>
    <w:rsid w:val="00156518"/>
    <w:rsid w:val="00195647"/>
    <w:rsid w:val="00226351"/>
    <w:rsid w:val="00252AA1"/>
    <w:rsid w:val="00256866"/>
    <w:rsid w:val="00283509"/>
    <w:rsid w:val="002928B3"/>
    <w:rsid w:val="002A2F44"/>
    <w:rsid w:val="002D2D2A"/>
    <w:rsid w:val="00305A4B"/>
    <w:rsid w:val="003344D0"/>
    <w:rsid w:val="00335AD6"/>
    <w:rsid w:val="003C415B"/>
    <w:rsid w:val="003C6F43"/>
    <w:rsid w:val="00414DD3"/>
    <w:rsid w:val="0047377B"/>
    <w:rsid w:val="00484FA8"/>
    <w:rsid w:val="00492B24"/>
    <w:rsid w:val="00496B4F"/>
    <w:rsid w:val="004F2AB9"/>
    <w:rsid w:val="00514DA7"/>
    <w:rsid w:val="0055416A"/>
    <w:rsid w:val="005C6A56"/>
    <w:rsid w:val="005F3A5E"/>
    <w:rsid w:val="00613188"/>
    <w:rsid w:val="006254BC"/>
    <w:rsid w:val="006548F3"/>
    <w:rsid w:val="00664EA1"/>
    <w:rsid w:val="006C1F98"/>
    <w:rsid w:val="006E22EA"/>
    <w:rsid w:val="007113AF"/>
    <w:rsid w:val="007258A0"/>
    <w:rsid w:val="00754D58"/>
    <w:rsid w:val="007C379E"/>
    <w:rsid w:val="00803A99"/>
    <w:rsid w:val="008260DA"/>
    <w:rsid w:val="00856F91"/>
    <w:rsid w:val="00884D27"/>
    <w:rsid w:val="00884D77"/>
    <w:rsid w:val="00893982"/>
    <w:rsid w:val="00893F80"/>
    <w:rsid w:val="00901991"/>
    <w:rsid w:val="00906628"/>
    <w:rsid w:val="0096134F"/>
    <w:rsid w:val="00972949"/>
    <w:rsid w:val="00997B67"/>
    <w:rsid w:val="009A438F"/>
    <w:rsid w:val="009B0736"/>
    <w:rsid w:val="009C6717"/>
    <w:rsid w:val="00A03083"/>
    <w:rsid w:val="00A441DD"/>
    <w:rsid w:val="00A63C29"/>
    <w:rsid w:val="00A80B6D"/>
    <w:rsid w:val="00A924E0"/>
    <w:rsid w:val="00B105EE"/>
    <w:rsid w:val="00B60AEF"/>
    <w:rsid w:val="00B730B3"/>
    <w:rsid w:val="00B80AD0"/>
    <w:rsid w:val="00BB322C"/>
    <w:rsid w:val="00BB60EF"/>
    <w:rsid w:val="00C05471"/>
    <w:rsid w:val="00CE5A2D"/>
    <w:rsid w:val="00D961E0"/>
    <w:rsid w:val="00DC0343"/>
    <w:rsid w:val="00E06E6B"/>
    <w:rsid w:val="00E1587B"/>
    <w:rsid w:val="00E30C66"/>
    <w:rsid w:val="00E92F50"/>
    <w:rsid w:val="00EB0885"/>
    <w:rsid w:val="00EC2C9F"/>
    <w:rsid w:val="00F1186C"/>
    <w:rsid w:val="00F72A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David"/>
        <w:sz w:val="32"/>
        <w:szCs w:val="32"/>
        <w:lang w:val="en-US" w:eastAsia="en-US" w:bidi="he-IL"/>
      </w:rPr>
    </w:rPrDefault>
    <w:pPrDefault>
      <w:pPr>
        <w:bidi/>
        <w:spacing w:before="7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qFormat/>
    <w:rsid w:val="002D2D2A"/>
    <w:pPr>
      <w:spacing w:before="240" w:after="60"/>
      <w:jc w:val="left"/>
      <w:outlineLvl w:val="6"/>
    </w:pPr>
    <w:rPr>
      <w:rFonts w:ascii="Calibri" w:eastAsia="Times New Roman" w:hAnsi="Calibri" w:cs="Arial"/>
      <w:sz w:val="24"/>
      <w:szCs w:val="24"/>
      <w:lang w:val="x-none"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075883"/>
    <w:pPr>
      <w:spacing w:before="0"/>
    </w:pPr>
    <w:rPr>
      <w:sz w:val="20"/>
      <w:szCs w:val="20"/>
    </w:rPr>
  </w:style>
  <w:style w:type="character" w:customStyle="1" w:styleId="a4">
    <w:name w:val="טקסט הערת סיום תו"/>
    <w:basedOn w:val="a0"/>
    <w:link w:val="a3"/>
    <w:uiPriority w:val="99"/>
    <w:semiHidden/>
    <w:rsid w:val="00075883"/>
    <w:rPr>
      <w:sz w:val="20"/>
      <w:szCs w:val="20"/>
    </w:rPr>
  </w:style>
  <w:style w:type="character" w:styleId="a5">
    <w:name w:val="endnote reference"/>
    <w:basedOn w:val="a0"/>
    <w:uiPriority w:val="99"/>
    <w:semiHidden/>
    <w:unhideWhenUsed/>
    <w:rsid w:val="00075883"/>
    <w:rPr>
      <w:vertAlign w:val="superscript"/>
    </w:rPr>
  </w:style>
  <w:style w:type="paragraph" w:styleId="a6">
    <w:name w:val="footnote text"/>
    <w:basedOn w:val="a"/>
    <w:link w:val="a7"/>
    <w:semiHidden/>
    <w:unhideWhenUsed/>
    <w:rsid w:val="00075883"/>
    <w:pPr>
      <w:spacing w:before="0"/>
    </w:pPr>
    <w:rPr>
      <w:sz w:val="20"/>
      <w:szCs w:val="20"/>
    </w:rPr>
  </w:style>
  <w:style w:type="character" w:customStyle="1" w:styleId="a7">
    <w:name w:val="טקסט הערת שוליים תו"/>
    <w:basedOn w:val="a0"/>
    <w:link w:val="a6"/>
    <w:uiPriority w:val="99"/>
    <w:semiHidden/>
    <w:rsid w:val="00075883"/>
    <w:rPr>
      <w:sz w:val="20"/>
      <w:szCs w:val="20"/>
    </w:rPr>
  </w:style>
  <w:style w:type="character" w:styleId="a8">
    <w:name w:val="footnote reference"/>
    <w:basedOn w:val="a0"/>
    <w:uiPriority w:val="99"/>
    <w:semiHidden/>
    <w:unhideWhenUsed/>
    <w:rsid w:val="00075883"/>
    <w:rPr>
      <w:vertAlign w:val="superscript"/>
    </w:rPr>
  </w:style>
  <w:style w:type="paragraph" w:customStyle="1" w:styleId="Default">
    <w:name w:val="Default"/>
    <w:rsid w:val="00414DD3"/>
    <w:pPr>
      <w:autoSpaceDE w:val="0"/>
      <w:autoSpaceDN w:val="0"/>
      <w:bidi w:val="0"/>
      <w:adjustRightInd w:val="0"/>
      <w:spacing w:before="0"/>
      <w:jc w:val="left"/>
    </w:pPr>
    <w:rPr>
      <w:rFonts w:ascii="Cambria" w:hAnsi="Cambria" w:cs="Cambria"/>
      <w:color w:val="000000"/>
      <w:sz w:val="24"/>
      <w:szCs w:val="24"/>
    </w:rPr>
  </w:style>
  <w:style w:type="character" w:customStyle="1" w:styleId="70">
    <w:name w:val="כותרת 7 תו"/>
    <w:basedOn w:val="a0"/>
    <w:link w:val="7"/>
    <w:rsid w:val="002D2D2A"/>
    <w:rPr>
      <w:rFonts w:ascii="Calibri" w:eastAsia="Times New Roman" w:hAnsi="Calibri" w:cs="Arial"/>
      <w:sz w:val="24"/>
      <w:szCs w:val="24"/>
      <w:lang w:val="x-none" w:eastAsia="he-IL"/>
    </w:rPr>
  </w:style>
  <w:style w:type="character" w:customStyle="1" w:styleId="FootnoteTextChar1">
    <w:name w:val="Footnote Text Char1"/>
    <w:semiHidden/>
    <w:locked/>
    <w:rsid w:val="0047377B"/>
    <w:rPr>
      <w:rFonts w:cs="Times New Roman"/>
      <w:sz w:val="20"/>
      <w:szCs w:val="20"/>
      <w:lang w:val="x-none" w:eastAsia="he-IL" w:bidi="he-IL"/>
    </w:rPr>
  </w:style>
  <w:style w:type="character" w:customStyle="1" w:styleId="default0">
    <w:name w:val="default"/>
    <w:rsid w:val="0096134F"/>
    <w:rPr>
      <w:rFonts w:ascii="Times New Roman" w:hAnsi="Times New Roman" w:cs="Times New Roman"/>
      <w:sz w:val="20"/>
      <w:szCs w:val="26"/>
    </w:rPr>
  </w:style>
  <w:style w:type="paragraph" w:styleId="a9">
    <w:name w:val="header"/>
    <w:basedOn w:val="a"/>
    <w:link w:val="aa"/>
    <w:uiPriority w:val="99"/>
    <w:unhideWhenUsed/>
    <w:rsid w:val="003C415B"/>
    <w:pPr>
      <w:tabs>
        <w:tab w:val="center" w:pos="4320"/>
        <w:tab w:val="right" w:pos="8640"/>
      </w:tabs>
      <w:spacing w:before="0"/>
    </w:pPr>
  </w:style>
  <w:style w:type="character" w:customStyle="1" w:styleId="aa">
    <w:name w:val="כותרת עליונה תו"/>
    <w:basedOn w:val="a0"/>
    <w:link w:val="a9"/>
    <w:uiPriority w:val="99"/>
    <w:rsid w:val="003C415B"/>
  </w:style>
  <w:style w:type="paragraph" w:styleId="ab">
    <w:name w:val="footer"/>
    <w:basedOn w:val="a"/>
    <w:link w:val="ac"/>
    <w:uiPriority w:val="99"/>
    <w:unhideWhenUsed/>
    <w:rsid w:val="003C415B"/>
    <w:pPr>
      <w:tabs>
        <w:tab w:val="center" w:pos="4320"/>
        <w:tab w:val="right" w:pos="8640"/>
      </w:tabs>
      <w:spacing w:before="0"/>
    </w:pPr>
  </w:style>
  <w:style w:type="character" w:customStyle="1" w:styleId="ac">
    <w:name w:val="כותרת תחתונה תו"/>
    <w:basedOn w:val="a0"/>
    <w:link w:val="ab"/>
    <w:uiPriority w:val="99"/>
    <w:rsid w:val="003C415B"/>
  </w:style>
  <w:style w:type="paragraph" w:customStyle="1" w:styleId="P00">
    <w:name w:val="P00"/>
    <w:rsid w:val="00012622"/>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ind w:left="2835"/>
    </w:pPr>
    <w:rPr>
      <w:rFonts w:ascii="Times New Roman" w:eastAsia="Times New Roman" w:hAnsi="Times New Roman" w:cs="Times New Roman"/>
      <w:noProof/>
      <w:sz w:val="20"/>
      <w:szCs w:val="2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David"/>
        <w:sz w:val="32"/>
        <w:szCs w:val="32"/>
        <w:lang w:val="en-US" w:eastAsia="en-US" w:bidi="he-IL"/>
      </w:rPr>
    </w:rPrDefault>
    <w:pPrDefault>
      <w:pPr>
        <w:bidi/>
        <w:spacing w:before="7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qFormat/>
    <w:rsid w:val="002D2D2A"/>
    <w:pPr>
      <w:spacing w:before="240" w:after="60"/>
      <w:jc w:val="left"/>
      <w:outlineLvl w:val="6"/>
    </w:pPr>
    <w:rPr>
      <w:rFonts w:ascii="Calibri" w:eastAsia="Times New Roman" w:hAnsi="Calibri" w:cs="Arial"/>
      <w:sz w:val="24"/>
      <w:szCs w:val="24"/>
      <w:lang w:val="x-none"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075883"/>
    <w:pPr>
      <w:spacing w:before="0"/>
    </w:pPr>
    <w:rPr>
      <w:sz w:val="20"/>
      <w:szCs w:val="20"/>
    </w:rPr>
  </w:style>
  <w:style w:type="character" w:customStyle="1" w:styleId="a4">
    <w:name w:val="טקסט הערת סיום תו"/>
    <w:basedOn w:val="a0"/>
    <w:link w:val="a3"/>
    <w:uiPriority w:val="99"/>
    <w:semiHidden/>
    <w:rsid w:val="00075883"/>
    <w:rPr>
      <w:sz w:val="20"/>
      <w:szCs w:val="20"/>
    </w:rPr>
  </w:style>
  <w:style w:type="character" w:styleId="a5">
    <w:name w:val="endnote reference"/>
    <w:basedOn w:val="a0"/>
    <w:uiPriority w:val="99"/>
    <w:semiHidden/>
    <w:unhideWhenUsed/>
    <w:rsid w:val="00075883"/>
    <w:rPr>
      <w:vertAlign w:val="superscript"/>
    </w:rPr>
  </w:style>
  <w:style w:type="paragraph" w:styleId="a6">
    <w:name w:val="footnote text"/>
    <w:basedOn w:val="a"/>
    <w:link w:val="a7"/>
    <w:semiHidden/>
    <w:unhideWhenUsed/>
    <w:rsid w:val="00075883"/>
    <w:pPr>
      <w:spacing w:before="0"/>
    </w:pPr>
    <w:rPr>
      <w:sz w:val="20"/>
      <w:szCs w:val="20"/>
    </w:rPr>
  </w:style>
  <w:style w:type="character" w:customStyle="1" w:styleId="a7">
    <w:name w:val="טקסט הערת שוליים תו"/>
    <w:basedOn w:val="a0"/>
    <w:link w:val="a6"/>
    <w:uiPriority w:val="99"/>
    <w:semiHidden/>
    <w:rsid w:val="00075883"/>
    <w:rPr>
      <w:sz w:val="20"/>
      <w:szCs w:val="20"/>
    </w:rPr>
  </w:style>
  <w:style w:type="character" w:styleId="a8">
    <w:name w:val="footnote reference"/>
    <w:basedOn w:val="a0"/>
    <w:uiPriority w:val="99"/>
    <w:semiHidden/>
    <w:unhideWhenUsed/>
    <w:rsid w:val="00075883"/>
    <w:rPr>
      <w:vertAlign w:val="superscript"/>
    </w:rPr>
  </w:style>
  <w:style w:type="paragraph" w:customStyle="1" w:styleId="Default">
    <w:name w:val="Default"/>
    <w:rsid w:val="00414DD3"/>
    <w:pPr>
      <w:autoSpaceDE w:val="0"/>
      <w:autoSpaceDN w:val="0"/>
      <w:bidi w:val="0"/>
      <w:adjustRightInd w:val="0"/>
      <w:spacing w:before="0"/>
      <w:jc w:val="left"/>
    </w:pPr>
    <w:rPr>
      <w:rFonts w:ascii="Cambria" w:hAnsi="Cambria" w:cs="Cambria"/>
      <w:color w:val="000000"/>
      <w:sz w:val="24"/>
      <w:szCs w:val="24"/>
    </w:rPr>
  </w:style>
  <w:style w:type="character" w:customStyle="1" w:styleId="70">
    <w:name w:val="כותרת 7 תו"/>
    <w:basedOn w:val="a0"/>
    <w:link w:val="7"/>
    <w:rsid w:val="002D2D2A"/>
    <w:rPr>
      <w:rFonts w:ascii="Calibri" w:eastAsia="Times New Roman" w:hAnsi="Calibri" w:cs="Arial"/>
      <w:sz w:val="24"/>
      <w:szCs w:val="24"/>
      <w:lang w:val="x-none" w:eastAsia="he-IL"/>
    </w:rPr>
  </w:style>
  <w:style w:type="character" w:customStyle="1" w:styleId="FootnoteTextChar1">
    <w:name w:val="Footnote Text Char1"/>
    <w:semiHidden/>
    <w:locked/>
    <w:rsid w:val="0047377B"/>
    <w:rPr>
      <w:rFonts w:cs="Times New Roman"/>
      <w:sz w:val="20"/>
      <w:szCs w:val="20"/>
      <w:lang w:val="x-none" w:eastAsia="he-IL" w:bidi="he-IL"/>
    </w:rPr>
  </w:style>
  <w:style w:type="character" w:customStyle="1" w:styleId="default0">
    <w:name w:val="default"/>
    <w:rsid w:val="0096134F"/>
    <w:rPr>
      <w:rFonts w:ascii="Times New Roman" w:hAnsi="Times New Roman" w:cs="Times New Roman"/>
      <w:sz w:val="20"/>
      <w:szCs w:val="26"/>
    </w:rPr>
  </w:style>
  <w:style w:type="paragraph" w:styleId="a9">
    <w:name w:val="header"/>
    <w:basedOn w:val="a"/>
    <w:link w:val="aa"/>
    <w:uiPriority w:val="99"/>
    <w:unhideWhenUsed/>
    <w:rsid w:val="003C415B"/>
    <w:pPr>
      <w:tabs>
        <w:tab w:val="center" w:pos="4320"/>
        <w:tab w:val="right" w:pos="8640"/>
      </w:tabs>
      <w:spacing w:before="0"/>
    </w:pPr>
  </w:style>
  <w:style w:type="character" w:customStyle="1" w:styleId="aa">
    <w:name w:val="כותרת עליונה תו"/>
    <w:basedOn w:val="a0"/>
    <w:link w:val="a9"/>
    <w:uiPriority w:val="99"/>
    <w:rsid w:val="003C415B"/>
  </w:style>
  <w:style w:type="paragraph" w:styleId="ab">
    <w:name w:val="footer"/>
    <w:basedOn w:val="a"/>
    <w:link w:val="ac"/>
    <w:uiPriority w:val="99"/>
    <w:unhideWhenUsed/>
    <w:rsid w:val="003C415B"/>
    <w:pPr>
      <w:tabs>
        <w:tab w:val="center" w:pos="4320"/>
        <w:tab w:val="right" w:pos="8640"/>
      </w:tabs>
      <w:spacing w:before="0"/>
    </w:pPr>
  </w:style>
  <w:style w:type="character" w:customStyle="1" w:styleId="ac">
    <w:name w:val="כותרת תחתונה תו"/>
    <w:basedOn w:val="a0"/>
    <w:link w:val="ab"/>
    <w:uiPriority w:val="99"/>
    <w:rsid w:val="003C415B"/>
  </w:style>
  <w:style w:type="paragraph" w:customStyle="1" w:styleId="P00">
    <w:name w:val="P00"/>
    <w:rsid w:val="00012622"/>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ind w:left="2835"/>
    </w:pPr>
    <w:rPr>
      <w:rFonts w:ascii="Times New Roman" w:eastAsia="Times New Roman" w:hAnsi="Times New Roman" w:cs="Times New Roman"/>
      <w:noProof/>
      <w:sz w:val="20"/>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11409-DA02-4735-B32F-D64AB2448D5A}"/>
</file>

<file path=customXml/itemProps2.xml><?xml version="1.0" encoding="utf-8"?>
<ds:datastoreItem xmlns:ds="http://schemas.openxmlformats.org/officeDocument/2006/customXml" ds:itemID="{D3B55EB4-8E35-401C-8106-F62A527EC3C2}"/>
</file>

<file path=customXml/itemProps3.xml><?xml version="1.0" encoding="utf-8"?>
<ds:datastoreItem xmlns:ds="http://schemas.openxmlformats.org/officeDocument/2006/customXml" ds:itemID="{606C8582-35B9-4F98-A945-F2CD9B435519}"/>
</file>

<file path=customXml/itemProps4.xml><?xml version="1.0" encoding="utf-8"?>
<ds:datastoreItem xmlns:ds="http://schemas.openxmlformats.org/officeDocument/2006/customXml" ds:itemID="{BE7C8BED-5090-41AC-B253-4C5BB92980D9}"/>
</file>

<file path=docProps/app.xml><?xml version="1.0" encoding="utf-8"?>
<Properties xmlns="http://schemas.openxmlformats.org/officeDocument/2006/extended-properties" xmlns:vt="http://schemas.openxmlformats.org/officeDocument/2006/docPropsVTypes">
  <Template>Normal</Template>
  <TotalTime>1</TotalTime>
  <Pages>16</Pages>
  <Words>3317</Words>
  <Characters>16588</Characters>
  <Application>Microsoft Office Word</Application>
  <DocSecurity>4</DocSecurity>
  <Lines>138</Lines>
  <Paragraphs>39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19866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עידן פז</cp:lastModifiedBy>
  <cp:revision>2</cp:revision>
  <dcterms:created xsi:type="dcterms:W3CDTF">2015-10-12T10:16:00Z</dcterms:created>
  <dcterms:modified xsi:type="dcterms:W3CDTF">2015-10-12T10:16:00Z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