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59A" w:rsidRDefault="0090059A" w:rsidP="0090059A">
      <w:pPr>
        <w:spacing w:after="0" w:line="240" w:lineRule="auto"/>
        <w:jc w:val="both"/>
        <w:rPr>
          <w:rFonts w:cs="David"/>
          <w:sz w:val="24"/>
          <w:szCs w:val="24"/>
        </w:rPr>
      </w:pPr>
      <w:bookmarkStart w:id="0" w:name="_GoBack"/>
      <w:bookmarkEnd w:id="0"/>
      <w:r>
        <w:rPr>
          <w:rFonts w:cs="David" w:hint="cs"/>
          <w:sz w:val="24"/>
          <w:szCs w:val="24"/>
          <w:rtl/>
        </w:rPr>
        <w:t xml:space="preserve">אל: חברי ועדת החוקה חוק ומשפט </w:t>
      </w:r>
      <w:r>
        <w:rPr>
          <w:rFonts w:cs="David" w:hint="cs"/>
          <w:sz w:val="24"/>
          <w:szCs w:val="24"/>
          <w:rtl/>
        </w:rPr>
        <w:tab/>
      </w:r>
      <w:r>
        <w:rPr>
          <w:rFonts w:cs="David" w:hint="cs"/>
          <w:sz w:val="24"/>
          <w:szCs w:val="24"/>
          <w:rtl/>
        </w:rPr>
        <w:tab/>
      </w:r>
      <w:r>
        <w:rPr>
          <w:rFonts w:cs="David" w:hint="cs"/>
          <w:sz w:val="24"/>
          <w:szCs w:val="24"/>
          <w:rtl/>
        </w:rPr>
        <w:tab/>
        <w:t xml:space="preserve">  </w:t>
      </w:r>
      <w:r>
        <w:rPr>
          <w:rFonts w:cs="David" w:hint="cs"/>
          <w:sz w:val="24"/>
          <w:szCs w:val="24"/>
          <w:rtl/>
        </w:rPr>
        <w:tab/>
        <w:t xml:space="preserve">  כ"ה בתשרי תשע"ה</w:t>
      </w:r>
    </w:p>
    <w:p w:rsidR="0090059A" w:rsidRDefault="0090059A" w:rsidP="0090059A">
      <w:pPr>
        <w:spacing w:after="0" w:line="240" w:lineRule="auto"/>
        <w:jc w:val="both"/>
        <w:rPr>
          <w:rFonts w:cs="David"/>
          <w:sz w:val="24"/>
          <w:szCs w:val="24"/>
          <w:rtl/>
        </w:rPr>
      </w:pPr>
      <w:r>
        <w:rPr>
          <w:rFonts w:cs="David" w:hint="cs"/>
          <w:sz w:val="24"/>
          <w:szCs w:val="24"/>
          <w:rtl/>
        </w:rPr>
        <w:t>מאת: הייעוץ המשפטי לוועדה</w:t>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8 באוקטובר 2015</w:t>
      </w:r>
    </w:p>
    <w:p w:rsidR="000B140C" w:rsidRPr="00217246" w:rsidRDefault="000B140C" w:rsidP="000B140C">
      <w:pPr>
        <w:spacing w:before="10" w:line="360" w:lineRule="auto"/>
        <w:jc w:val="both"/>
        <w:rPr>
          <w:rFonts w:cs="David"/>
          <w:sz w:val="24"/>
          <w:szCs w:val="24"/>
          <w:rtl/>
        </w:rPr>
      </w:pPr>
    </w:p>
    <w:p w:rsidR="009B0270" w:rsidRDefault="009B0270" w:rsidP="009B0270">
      <w:pPr>
        <w:spacing w:before="10" w:after="0" w:line="360" w:lineRule="auto"/>
        <w:jc w:val="center"/>
        <w:rPr>
          <w:rFonts w:cs="David"/>
          <w:b/>
          <w:bCs/>
          <w:sz w:val="24"/>
          <w:szCs w:val="24"/>
          <w:u w:val="single"/>
          <w:rtl/>
        </w:rPr>
      </w:pPr>
      <w:r w:rsidRPr="00217246">
        <w:rPr>
          <w:rFonts w:cs="David"/>
          <w:b/>
          <w:bCs/>
          <w:sz w:val="24"/>
          <w:szCs w:val="24"/>
          <w:u w:val="single"/>
          <w:rtl/>
        </w:rPr>
        <w:t xml:space="preserve">הצעת </w:t>
      </w:r>
      <w:r w:rsidRPr="00217246">
        <w:rPr>
          <w:rFonts w:cs="David" w:hint="cs"/>
          <w:b/>
          <w:bCs/>
          <w:sz w:val="24"/>
          <w:szCs w:val="24"/>
          <w:u w:val="single"/>
          <w:rtl/>
        </w:rPr>
        <w:t xml:space="preserve">חוק המאבק בטרור, </w:t>
      </w:r>
      <w:proofErr w:type="spellStart"/>
      <w:r w:rsidRPr="00217246">
        <w:rPr>
          <w:rFonts w:cs="David" w:hint="cs"/>
          <w:b/>
          <w:bCs/>
          <w:sz w:val="24"/>
          <w:szCs w:val="24"/>
          <w:u w:val="single"/>
          <w:rtl/>
        </w:rPr>
        <w:t>התשע"א</w:t>
      </w:r>
      <w:proofErr w:type="spellEnd"/>
      <w:r w:rsidRPr="00217246">
        <w:rPr>
          <w:rFonts w:cs="David" w:hint="cs"/>
          <w:b/>
          <w:bCs/>
          <w:sz w:val="24"/>
          <w:szCs w:val="24"/>
          <w:u w:val="single"/>
          <w:rtl/>
        </w:rPr>
        <w:t>–2011</w:t>
      </w:r>
      <w:r>
        <w:rPr>
          <w:rFonts w:cs="David" w:hint="cs"/>
          <w:b/>
          <w:bCs/>
          <w:sz w:val="24"/>
          <w:szCs w:val="24"/>
          <w:u w:val="single"/>
          <w:rtl/>
        </w:rPr>
        <w:t xml:space="preserve">  </w:t>
      </w:r>
      <w:r>
        <w:rPr>
          <w:rFonts w:cs="David"/>
          <w:b/>
          <w:bCs/>
          <w:sz w:val="24"/>
          <w:szCs w:val="24"/>
          <w:u w:val="single"/>
          <w:rtl/>
        </w:rPr>
        <w:softHyphen/>
      </w:r>
      <w:r>
        <w:rPr>
          <w:rFonts w:cs="David" w:hint="cs"/>
          <w:b/>
          <w:bCs/>
          <w:sz w:val="24"/>
          <w:szCs w:val="24"/>
          <w:u w:val="single"/>
          <w:rtl/>
        </w:rPr>
        <w:t xml:space="preserve">– הגדרת "ארגון טרור" ונוסח לדיון </w:t>
      </w:r>
    </w:p>
    <w:p w:rsidR="009B0270" w:rsidRDefault="009B0270" w:rsidP="009B0270">
      <w:pPr>
        <w:spacing w:after="0" w:line="240" w:lineRule="auto"/>
        <w:jc w:val="both"/>
        <w:rPr>
          <w:rFonts w:ascii="Garamond" w:hAnsi="Garamond" w:cs="David"/>
          <w:sz w:val="24"/>
          <w:szCs w:val="24"/>
          <w:rtl/>
        </w:rPr>
      </w:pPr>
      <w:r>
        <w:rPr>
          <w:rFonts w:ascii="Garamond" w:hAnsi="Garamond" w:cs="David" w:hint="cs"/>
          <w:sz w:val="24"/>
          <w:szCs w:val="24"/>
          <w:rtl/>
        </w:rPr>
        <w:t>(מבוסס על דיוני ועדת החוקה חוק ומשפט בכנסת ה-19, שאומצו בידי ועדת השרים לענייני חקיקה הנוכחית)</w:t>
      </w:r>
    </w:p>
    <w:p w:rsidR="000B140C" w:rsidRPr="00217246" w:rsidRDefault="000B140C" w:rsidP="000B140C">
      <w:pPr>
        <w:spacing w:line="360" w:lineRule="auto"/>
        <w:jc w:val="both"/>
        <w:rPr>
          <w:rFonts w:ascii="Garamond" w:hAnsi="Garamond" w:cs="David"/>
          <w:sz w:val="24"/>
          <w:szCs w:val="24"/>
          <w:rtl/>
        </w:rPr>
      </w:pPr>
    </w:p>
    <w:p w:rsidR="009B0270" w:rsidRPr="00217246" w:rsidRDefault="009B0270" w:rsidP="009B0270">
      <w:pPr>
        <w:spacing w:line="360" w:lineRule="auto"/>
        <w:jc w:val="both"/>
        <w:rPr>
          <w:rFonts w:ascii="Garamond" w:hAnsi="Garamond" w:cs="David"/>
          <w:sz w:val="24"/>
          <w:szCs w:val="24"/>
          <w:rtl/>
        </w:rPr>
      </w:pPr>
      <w:r w:rsidRPr="00217246">
        <w:rPr>
          <w:rFonts w:ascii="Garamond" w:hAnsi="Garamond" w:cs="David" w:hint="cs"/>
          <w:sz w:val="24"/>
          <w:szCs w:val="24"/>
          <w:rtl/>
        </w:rPr>
        <w:t xml:space="preserve">במהלך כהונתה של הכנסת ה-19, קיימה ועדת החוקה מספר דיונים מעמיקים בהצעת חוק המאבק בטרור, </w:t>
      </w:r>
      <w:proofErr w:type="spellStart"/>
      <w:r w:rsidRPr="00217246">
        <w:rPr>
          <w:rFonts w:ascii="Garamond" w:hAnsi="Garamond" w:cs="David" w:hint="cs"/>
          <w:sz w:val="24"/>
          <w:szCs w:val="24"/>
          <w:rtl/>
        </w:rPr>
        <w:t>התשע"א</w:t>
      </w:r>
      <w:proofErr w:type="spellEnd"/>
      <w:r w:rsidRPr="00217246">
        <w:rPr>
          <w:rFonts w:ascii="Garamond" w:hAnsi="Garamond" w:cs="David" w:hint="cs"/>
          <w:sz w:val="24"/>
          <w:szCs w:val="24"/>
          <w:rtl/>
        </w:rPr>
        <w:t>–2011, והגיעה להסכמה עקרונית על שלוש ההגדרות העיקריות שעליהן מתבססות הצעת החוק "מעשה טרור", "ארגון טרור" ו-"חבר בארגון טרור"</w:t>
      </w:r>
      <w:r>
        <w:rPr>
          <w:rFonts w:ascii="Garamond" w:hAnsi="Garamond" w:cs="David" w:hint="cs"/>
          <w:sz w:val="24"/>
          <w:szCs w:val="24"/>
          <w:rtl/>
        </w:rPr>
        <w:t>, ו</w:t>
      </w:r>
      <w:r w:rsidRPr="00217246">
        <w:rPr>
          <w:rFonts w:ascii="Garamond" w:hAnsi="Garamond" w:cs="David" w:hint="cs"/>
          <w:sz w:val="24"/>
          <w:szCs w:val="24"/>
          <w:rtl/>
        </w:rPr>
        <w:t>בנוסף</w:t>
      </w:r>
      <w:r>
        <w:rPr>
          <w:rFonts w:ascii="Garamond" w:hAnsi="Garamond" w:cs="David" w:hint="cs"/>
          <w:sz w:val="24"/>
          <w:szCs w:val="24"/>
          <w:rtl/>
        </w:rPr>
        <w:t xml:space="preserve"> - </w:t>
      </w:r>
      <w:r w:rsidRPr="00217246">
        <w:rPr>
          <w:rFonts w:ascii="Garamond" w:hAnsi="Garamond" w:cs="David" w:hint="cs"/>
          <w:sz w:val="24"/>
          <w:szCs w:val="24"/>
          <w:rtl/>
        </w:rPr>
        <w:t>על מספר הגדרות "קטנות"</w:t>
      </w:r>
      <w:r>
        <w:rPr>
          <w:rFonts w:ascii="Garamond" w:hAnsi="Garamond" w:cs="David" w:hint="cs"/>
          <w:sz w:val="24"/>
          <w:szCs w:val="24"/>
          <w:rtl/>
        </w:rPr>
        <w:t xml:space="preserve"> שמלוות את ההגדרה "מעשה טרור"</w:t>
      </w:r>
      <w:r w:rsidRPr="00217246">
        <w:rPr>
          <w:rFonts w:ascii="Garamond" w:hAnsi="Garamond" w:cs="David" w:hint="cs"/>
          <w:sz w:val="24"/>
          <w:szCs w:val="24"/>
          <w:rtl/>
        </w:rPr>
        <w:t xml:space="preserve">. </w:t>
      </w:r>
      <w:r>
        <w:rPr>
          <w:rFonts w:ascii="Garamond" w:hAnsi="Garamond" w:cs="David" w:hint="cs"/>
          <w:sz w:val="24"/>
          <w:szCs w:val="24"/>
          <w:rtl/>
        </w:rPr>
        <w:t>ועדת השרים לענייני חקיקה הסכימה לאמץ את פרי הדיונים הללו בשינויים מעטים שצוינו במסמך שעסק ב"מעשה טרור". אף אנו ממליצות לוועדה</w:t>
      </w:r>
      <w:r w:rsidRPr="00217246">
        <w:rPr>
          <w:rFonts w:ascii="Garamond" w:hAnsi="Garamond" w:cs="David" w:hint="cs"/>
          <w:sz w:val="24"/>
          <w:szCs w:val="24"/>
          <w:rtl/>
        </w:rPr>
        <w:t xml:space="preserve"> להתבסס על העבודה שנעשתה בעבר, </w:t>
      </w:r>
      <w:r>
        <w:rPr>
          <w:rFonts w:ascii="Garamond" w:hAnsi="Garamond" w:cs="David" w:hint="cs"/>
          <w:sz w:val="24"/>
          <w:szCs w:val="24"/>
          <w:rtl/>
        </w:rPr>
        <w:t xml:space="preserve">לאמץ את ההגדרות שנדונו, </w:t>
      </w:r>
      <w:r w:rsidRPr="00217246">
        <w:rPr>
          <w:rFonts w:ascii="Garamond" w:hAnsi="Garamond" w:cs="David" w:hint="cs"/>
          <w:sz w:val="24"/>
          <w:szCs w:val="24"/>
          <w:rtl/>
        </w:rPr>
        <w:t>ולהמשיך את הדיונים מהנקודה שבה עצרה הוועדה. במסמך זה נסקור בקצרה את ההגדרה "</w:t>
      </w:r>
      <w:r>
        <w:rPr>
          <w:rFonts w:ascii="Garamond" w:hAnsi="Garamond" w:cs="David" w:hint="cs"/>
          <w:sz w:val="24"/>
          <w:szCs w:val="24"/>
          <w:rtl/>
        </w:rPr>
        <w:t>ארגון</w:t>
      </w:r>
      <w:r w:rsidRPr="00217246">
        <w:rPr>
          <w:rFonts w:ascii="Garamond" w:hAnsi="Garamond" w:cs="David" w:hint="cs"/>
          <w:sz w:val="24"/>
          <w:szCs w:val="24"/>
          <w:rtl/>
        </w:rPr>
        <w:t xml:space="preserve"> טרור" כפי שהוצעה על ידי הוועדה, </w:t>
      </w:r>
      <w:r>
        <w:rPr>
          <w:rFonts w:ascii="Garamond" w:hAnsi="Garamond" w:cs="David" w:hint="cs"/>
          <w:sz w:val="24"/>
          <w:szCs w:val="24"/>
          <w:rtl/>
        </w:rPr>
        <w:t>ונציין את</w:t>
      </w:r>
      <w:r w:rsidRPr="00217246">
        <w:rPr>
          <w:rFonts w:ascii="Garamond" w:hAnsi="Garamond" w:cs="David" w:hint="cs"/>
          <w:sz w:val="24"/>
          <w:szCs w:val="24"/>
          <w:rtl/>
        </w:rPr>
        <w:t xml:space="preserve"> השינויים שהוועדה ביקשה לעשות בהצעה הממשלתית</w:t>
      </w:r>
      <w:r>
        <w:rPr>
          <w:rFonts w:ascii="Garamond" w:hAnsi="Garamond" w:cs="David" w:hint="cs"/>
          <w:sz w:val="24"/>
          <w:szCs w:val="24"/>
          <w:rtl/>
        </w:rPr>
        <w:t xml:space="preserve"> המקורית</w:t>
      </w:r>
      <w:r w:rsidRPr="00217246">
        <w:rPr>
          <w:rFonts w:ascii="Garamond" w:hAnsi="Garamond" w:cs="David" w:hint="cs"/>
          <w:sz w:val="24"/>
          <w:szCs w:val="24"/>
          <w:rtl/>
        </w:rPr>
        <w:t xml:space="preserve">, </w:t>
      </w:r>
      <w:r>
        <w:rPr>
          <w:rFonts w:ascii="Garamond" w:hAnsi="Garamond" w:cs="David" w:hint="cs"/>
          <w:sz w:val="24"/>
          <w:szCs w:val="24"/>
          <w:rtl/>
        </w:rPr>
        <w:t>שינויים שלהם</w:t>
      </w:r>
      <w:r w:rsidRPr="00217246">
        <w:rPr>
          <w:rFonts w:ascii="Garamond" w:hAnsi="Garamond" w:cs="David" w:hint="cs"/>
          <w:sz w:val="24"/>
          <w:szCs w:val="24"/>
          <w:rtl/>
        </w:rPr>
        <w:t xml:space="preserve"> הסכימו נציגי הממשלה</w:t>
      </w:r>
      <w:r>
        <w:rPr>
          <w:rFonts w:ascii="Garamond" w:hAnsi="Garamond" w:cs="David" w:hint="cs"/>
          <w:sz w:val="24"/>
          <w:szCs w:val="24"/>
          <w:rtl/>
        </w:rPr>
        <w:t xml:space="preserve">. </w:t>
      </w:r>
    </w:p>
    <w:p w:rsidR="000B140C" w:rsidRPr="009B0270" w:rsidRDefault="000B140C" w:rsidP="000B140C">
      <w:pPr>
        <w:spacing w:line="360" w:lineRule="auto"/>
        <w:jc w:val="both"/>
        <w:rPr>
          <w:rFonts w:ascii="Garamond" w:hAnsi="Garamond" w:cs="David"/>
          <w:b/>
          <w:bCs/>
          <w:sz w:val="24"/>
          <w:szCs w:val="24"/>
          <w:u w:val="single"/>
          <w:rtl/>
        </w:rPr>
      </w:pPr>
      <w:r w:rsidRPr="009B0270">
        <w:rPr>
          <w:rFonts w:ascii="Garamond" w:hAnsi="Garamond" w:cs="David" w:hint="cs"/>
          <w:b/>
          <w:bCs/>
          <w:sz w:val="24"/>
          <w:szCs w:val="24"/>
          <w:u w:val="single"/>
          <w:rtl/>
        </w:rPr>
        <w:t>"ארגון טרור"</w:t>
      </w:r>
    </w:p>
    <w:p w:rsidR="0026625C" w:rsidRPr="001509EC" w:rsidRDefault="005E1FC5" w:rsidP="001509EC">
      <w:pPr>
        <w:spacing w:after="120" w:line="360" w:lineRule="auto"/>
        <w:jc w:val="both"/>
        <w:rPr>
          <w:rFonts w:cs="David"/>
          <w:sz w:val="24"/>
          <w:szCs w:val="24"/>
          <w:rtl/>
        </w:rPr>
      </w:pPr>
      <w:r w:rsidRPr="00DB407E">
        <w:rPr>
          <w:rFonts w:cs="David" w:hint="cs"/>
          <w:sz w:val="24"/>
          <w:szCs w:val="24"/>
          <w:rtl/>
        </w:rPr>
        <w:t xml:space="preserve">ההגדרה </w:t>
      </w:r>
      <w:r>
        <w:rPr>
          <w:rFonts w:cs="David" w:hint="cs"/>
          <w:sz w:val="24"/>
          <w:szCs w:val="24"/>
          <w:rtl/>
        </w:rPr>
        <w:t>"</w:t>
      </w:r>
      <w:r w:rsidRPr="00DB407E">
        <w:rPr>
          <w:rFonts w:cs="David" w:hint="cs"/>
          <w:sz w:val="24"/>
          <w:szCs w:val="24"/>
          <w:rtl/>
        </w:rPr>
        <w:t>ארגון טרור</w:t>
      </w:r>
      <w:r>
        <w:rPr>
          <w:rFonts w:cs="David" w:hint="cs"/>
          <w:sz w:val="24"/>
          <w:szCs w:val="24"/>
          <w:rtl/>
        </w:rPr>
        <w:t>"</w:t>
      </w:r>
      <w:r w:rsidRPr="00DB407E">
        <w:rPr>
          <w:rFonts w:cs="David" w:hint="cs"/>
          <w:sz w:val="24"/>
          <w:szCs w:val="24"/>
          <w:rtl/>
        </w:rPr>
        <w:t xml:space="preserve"> כוללת בתוכה שני סוגים של ארגונים</w:t>
      </w:r>
      <w:r>
        <w:rPr>
          <w:rFonts w:cs="David" w:hint="cs"/>
          <w:sz w:val="24"/>
          <w:szCs w:val="24"/>
          <w:rtl/>
        </w:rPr>
        <w:t xml:space="preserve"> שפועלים נגד ישראל: ארגון שמבצע מעשי טרור, וארגון "מעטפת" שתומך בו</w:t>
      </w:r>
      <w:r w:rsidR="00F76113">
        <w:rPr>
          <w:rFonts w:cs="David" w:hint="cs"/>
          <w:sz w:val="24"/>
          <w:szCs w:val="24"/>
          <w:rtl/>
        </w:rPr>
        <w:t xml:space="preserve"> </w:t>
      </w:r>
      <w:r w:rsidR="00965675">
        <w:rPr>
          <w:rFonts w:cs="David" w:hint="cs"/>
          <w:sz w:val="24"/>
          <w:szCs w:val="24"/>
          <w:rtl/>
        </w:rPr>
        <w:t xml:space="preserve">אך לא מבצע בעצמו מעשי טרור. </w:t>
      </w:r>
      <w:r w:rsidR="00F76113">
        <w:rPr>
          <w:rFonts w:cs="David" w:hint="cs"/>
          <w:sz w:val="24"/>
          <w:szCs w:val="24"/>
          <w:rtl/>
        </w:rPr>
        <w:t xml:space="preserve">בנוסף, ההגדרה כוללת </w:t>
      </w:r>
      <w:r w:rsidR="00965675">
        <w:rPr>
          <w:rFonts w:cs="David" w:hint="cs"/>
          <w:sz w:val="24"/>
          <w:szCs w:val="24"/>
          <w:rtl/>
        </w:rPr>
        <w:t xml:space="preserve">גם </w:t>
      </w:r>
      <w:r w:rsidR="00F76113">
        <w:rPr>
          <w:rFonts w:cs="David" w:hint="cs"/>
          <w:sz w:val="24"/>
          <w:szCs w:val="24"/>
          <w:rtl/>
        </w:rPr>
        <w:t>ארגון טרור שמוכרז על דרך של אימוץ הכרזה זרה במסגרת שיתוף פעולה בינלאומי</w:t>
      </w:r>
      <w:r>
        <w:rPr>
          <w:rFonts w:cs="David" w:hint="cs"/>
          <w:sz w:val="24"/>
          <w:szCs w:val="24"/>
          <w:rtl/>
        </w:rPr>
        <w:t xml:space="preserve">. ארגון הטרור </w:t>
      </w:r>
      <w:r w:rsidR="00965675">
        <w:rPr>
          <w:rFonts w:cs="David" w:hint="cs"/>
          <w:sz w:val="24"/>
          <w:szCs w:val="24"/>
          <w:rtl/>
        </w:rPr>
        <w:t>"</w:t>
      </w:r>
      <w:r>
        <w:rPr>
          <w:rFonts w:cs="David" w:hint="cs"/>
          <w:sz w:val="24"/>
          <w:szCs w:val="24"/>
          <w:rtl/>
        </w:rPr>
        <w:t>הראשי</w:t>
      </w:r>
      <w:r w:rsidR="00965675">
        <w:rPr>
          <w:rFonts w:cs="David" w:hint="cs"/>
          <w:sz w:val="24"/>
          <w:szCs w:val="24"/>
          <w:rtl/>
        </w:rPr>
        <w:t>"</w:t>
      </w:r>
      <w:r>
        <w:rPr>
          <w:rFonts w:cs="David" w:hint="cs"/>
          <w:sz w:val="24"/>
          <w:szCs w:val="24"/>
          <w:rtl/>
        </w:rPr>
        <w:t>, לפי ההצע</w:t>
      </w:r>
      <w:r w:rsidR="001509EC">
        <w:rPr>
          <w:rFonts w:cs="David" w:hint="cs"/>
          <w:sz w:val="24"/>
          <w:szCs w:val="24"/>
          <w:rtl/>
        </w:rPr>
        <w:t>ה, הוא ארגון שמבצע מעשי טרור</w:t>
      </w:r>
      <w:r w:rsidR="00A720C1" w:rsidRPr="00A720C1">
        <w:rPr>
          <w:rFonts w:cs="David" w:hint="cs"/>
          <w:sz w:val="24"/>
          <w:szCs w:val="24"/>
          <w:rtl/>
        </w:rPr>
        <w:t xml:space="preserve"> </w:t>
      </w:r>
      <w:r w:rsidR="00A720C1" w:rsidRPr="00DB407E">
        <w:rPr>
          <w:rFonts w:cs="David" w:hint="cs"/>
          <w:sz w:val="24"/>
          <w:szCs w:val="24"/>
          <w:rtl/>
        </w:rPr>
        <w:t xml:space="preserve">או לחילופין פועל </w:t>
      </w:r>
      <w:r w:rsidR="00A720C1" w:rsidRPr="00665A73">
        <w:rPr>
          <w:rFonts w:cs="David" w:hint="cs"/>
          <w:sz w:val="24"/>
          <w:szCs w:val="24"/>
          <w:rtl/>
        </w:rPr>
        <w:t xml:space="preserve">במטרה </w:t>
      </w:r>
      <w:r w:rsidR="00A720C1" w:rsidRPr="0026625C">
        <w:rPr>
          <w:rFonts w:cs="David"/>
          <w:sz w:val="24"/>
          <w:szCs w:val="24"/>
          <w:rtl/>
        </w:rPr>
        <w:t>שיבוצעו מעשי טרור</w:t>
      </w:r>
      <w:r w:rsidR="00A720C1">
        <w:rPr>
          <w:rFonts w:cs="David" w:hint="cs"/>
          <w:sz w:val="24"/>
          <w:szCs w:val="24"/>
          <w:rtl/>
        </w:rPr>
        <w:t>,</w:t>
      </w:r>
      <w:r w:rsidR="001509EC">
        <w:rPr>
          <w:rFonts w:cs="David" w:hint="cs"/>
          <w:sz w:val="24"/>
          <w:szCs w:val="24"/>
          <w:rtl/>
        </w:rPr>
        <w:t xml:space="preserve"> או עוסק באימונים לטרור או בעבירות נשק</w:t>
      </w:r>
      <w:r w:rsidRPr="00DB407E">
        <w:rPr>
          <w:rFonts w:cs="David" w:hint="cs"/>
          <w:sz w:val="24"/>
          <w:szCs w:val="24"/>
          <w:rtl/>
        </w:rPr>
        <w:t>.</w:t>
      </w:r>
      <w:r>
        <w:rPr>
          <w:rFonts w:cs="David" w:hint="cs"/>
          <w:sz w:val="24"/>
          <w:szCs w:val="24"/>
          <w:rtl/>
        </w:rPr>
        <w:t xml:space="preserve"> ארגון כזה ייחשב כארגון טרור בין אם הוכרז ככזה בהתאם למנגנון הכרזה מסודר, ובין אם לא. ואילו ארגון מהמעגל השני, שמכונה בדיוני </w:t>
      </w:r>
      <w:r w:rsidR="003B2C12">
        <w:rPr>
          <w:rFonts w:cs="David" w:hint="cs"/>
          <w:sz w:val="24"/>
          <w:szCs w:val="24"/>
          <w:rtl/>
        </w:rPr>
        <w:t>הוועדה</w:t>
      </w:r>
      <w:r>
        <w:rPr>
          <w:rFonts w:cs="David" w:hint="cs"/>
          <w:sz w:val="24"/>
          <w:szCs w:val="24"/>
          <w:rtl/>
        </w:rPr>
        <w:t xml:space="preserve"> לצורך הנוחות, "ארגון מעטפת"</w:t>
      </w:r>
      <w:r w:rsidR="0026625C">
        <w:rPr>
          <w:rFonts w:cs="David" w:hint="cs"/>
          <w:sz w:val="24"/>
          <w:szCs w:val="24"/>
          <w:rtl/>
        </w:rPr>
        <w:t>,</w:t>
      </w:r>
      <w:r>
        <w:rPr>
          <w:rFonts w:cs="David" w:hint="cs"/>
          <w:sz w:val="24"/>
          <w:szCs w:val="24"/>
          <w:rtl/>
        </w:rPr>
        <w:t xml:space="preserve"> ייחשב כארגון טרור רק לאחר שהוכרז ככזה</w:t>
      </w:r>
      <w:r w:rsidR="0026625C">
        <w:rPr>
          <w:rFonts w:cs="David" w:hint="cs"/>
          <w:sz w:val="24"/>
          <w:szCs w:val="24"/>
          <w:rtl/>
        </w:rPr>
        <w:t xml:space="preserve"> (לפי הוראות פרק ב' להצע</w:t>
      </w:r>
      <w:r w:rsidR="00965675">
        <w:rPr>
          <w:rFonts w:cs="David" w:hint="cs"/>
          <w:sz w:val="24"/>
          <w:szCs w:val="24"/>
          <w:rtl/>
        </w:rPr>
        <w:t xml:space="preserve">ה), שכן </w:t>
      </w:r>
      <w:r>
        <w:rPr>
          <w:rFonts w:cs="David" w:hint="cs"/>
          <w:sz w:val="24"/>
          <w:szCs w:val="24"/>
          <w:rtl/>
        </w:rPr>
        <w:t xml:space="preserve">פעולתו היא תמיכה בארגון מהסוג הראשון, </w:t>
      </w:r>
      <w:r w:rsidR="00965675">
        <w:rPr>
          <w:rFonts w:cs="David" w:hint="cs"/>
          <w:sz w:val="24"/>
          <w:szCs w:val="24"/>
          <w:rtl/>
        </w:rPr>
        <w:t>(</w:t>
      </w:r>
      <w:r>
        <w:rPr>
          <w:rFonts w:cs="David" w:hint="cs"/>
          <w:sz w:val="24"/>
          <w:szCs w:val="24"/>
          <w:rtl/>
        </w:rPr>
        <w:t>בדרך כלל כספית</w:t>
      </w:r>
      <w:r w:rsidR="00965675">
        <w:rPr>
          <w:rFonts w:cs="David" w:hint="cs"/>
          <w:sz w:val="24"/>
          <w:szCs w:val="24"/>
          <w:rtl/>
        </w:rPr>
        <w:t xml:space="preserve"> או לוגיסטית)</w:t>
      </w:r>
      <w:r>
        <w:rPr>
          <w:rFonts w:cs="David" w:hint="cs"/>
          <w:sz w:val="24"/>
          <w:szCs w:val="24"/>
          <w:rtl/>
        </w:rPr>
        <w:t xml:space="preserve">. </w:t>
      </w:r>
      <w:r w:rsidRPr="00965675">
        <w:rPr>
          <w:rFonts w:cs="David" w:hint="cs"/>
          <w:sz w:val="24"/>
          <w:szCs w:val="24"/>
          <w:u w:val="single"/>
          <w:rtl/>
        </w:rPr>
        <w:t xml:space="preserve">כאמור, כוונת ההגדרה היא לכלול בתוכה גם ארגונים שמבצעים מעשי טרור וגם כאלה שתומכים בראשונים ואינם מבצעים מעשי טרור בעצמם. </w:t>
      </w:r>
      <w:r w:rsidR="001509EC">
        <w:rPr>
          <w:rFonts w:cs="David" w:hint="cs"/>
          <w:sz w:val="24"/>
          <w:szCs w:val="24"/>
          <w:u w:val="single"/>
          <w:rtl/>
        </w:rPr>
        <w:t>ההחלטה לגבי האחרונים התקבלה לאחר שהוועדה השתכנעה שההכרזה על ארגון מעטפת מוצדקת לגופה (כפי שיפורט להלן) וגם חשובה ביותר מבחינת שיתוף הפעולה הבינלאומי והמלחמה בארגון.</w:t>
      </w:r>
      <w:r w:rsidR="001509EC">
        <w:rPr>
          <w:rFonts w:cs="David" w:hint="cs"/>
          <w:sz w:val="24"/>
          <w:szCs w:val="24"/>
          <w:rtl/>
        </w:rPr>
        <w:t xml:space="preserve"> הערנו בוועדה שאף אם "מכריזים" על ארגוני מעטפת ופועלים נגדם, בהמשך הליך החקיקה, ניתן יהיה לייצר הבדלים בהשלכות שישקפו את ההבדל בסיכון הנשקף מהפעילות של שני סוגי הארגונים.</w:t>
      </w:r>
    </w:p>
    <w:p w:rsidR="0026625C" w:rsidRDefault="005E1FC5" w:rsidP="0026625C">
      <w:pPr>
        <w:spacing w:after="120" w:line="360" w:lineRule="auto"/>
        <w:jc w:val="both"/>
        <w:rPr>
          <w:rFonts w:cs="David"/>
          <w:sz w:val="24"/>
          <w:szCs w:val="24"/>
          <w:rtl/>
        </w:rPr>
      </w:pPr>
      <w:r w:rsidRPr="005E1FC5">
        <w:rPr>
          <w:rFonts w:cs="David" w:hint="cs"/>
          <w:sz w:val="24"/>
          <w:szCs w:val="24"/>
          <w:rtl/>
        </w:rPr>
        <w:t>ההשלכות שנובעות מהיות ארגון אחד משני סוגי הארגונים, לפי ההצעה, הן זהות (יש כמובן הבדל מעשי מבחינת מידיות הפעולה נגד הארגונים השונים בשל התנאי שנדרשת הכרזה על ארגון מעטפת בטרם ייחשב ארגון טרור).</w:t>
      </w:r>
      <w:r w:rsidR="0026625C">
        <w:rPr>
          <w:rFonts w:cs="David" w:hint="cs"/>
          <w:sz w:val="24"/>
          <w:szCs w:val="24"/>
          <w:rtl/>
        </w:rPr>
        <w:t xml:space="preserve"> </w:t>
      </w:r>
      <w:r w:rsidR="0026625C" w:rsidRPr="0026625C">
        <w:rPr>
          <w:rFonts w:cs="David"/>
          <w:sz w:val="24"/>
          <w:szCs w:val="24"/>
          <w:rtl/>
        </w:rPr>
        <w:t>ראשית, ההגדרה רלבנטי</w:t>
      </w:r>
      <w:r w:rsidR="0026625C">
        <w:rPr>
          <w:rFonts w:cs="David"/>
          <w:sz w:val="24"/>
          <w:szCs w:val="24"/>
          <w:rtl/>
        </w:rPr>
        <w:t>ת לעבירות הקשורות לארגוני טרור:</w:t>
      </w:r>
      <w:r w:rsidR="0026625C" w:rsidRPr="0026625C">
        <w:rPr>
          <w:rFonts w:cs="David"/>
          <w:sz w:val="24"/>
          <w:szCs w:val="24"/>
          <w:rtl/>
        </w:rPr>
        <w:t xml:space="preserve"> עמידה בראש ארגון טרור, חברות בארגון טרור וגיוס חברים, </w:t>
      </w:r>
      <w:r w:rsidR="0026625C" w:rsidRPr="0026625C">
        <w:rPr>
          <w:rFonts w:cs="David"/>
          <w:sz w:val="24"/>
          <w:szCs w:val="24"/>
          <w:rtl/>
        </w:rPr>
        <w:lastRenderedPageBreak/>
        <w:t>מתן שירות או העמדת אמצעים לארגון טרור, גילוי הזדהות עם ארגון טרור והסתה לטרור, אימונים או הדרכה למטרות טרור, פעולה או עסקה בנשק, בחומר מזיק או במיתקן רגיש למטרות טרור, איסור פעולה ברכוש למטרות טרור, ואיסור פעולה ברכוש טרור. שנית, ההגדרה רלבנטית להסדרי החילוט ותפיסה, שכן בית המשפט רשאי, לפי המוצע, לחלט כל רכוש של ארגון טרור (בחילוט לאחר הרשעה ובחילוט אזרחי, לפי סעיפים 59 ו-65). [בנוסף, שר הביטחון רשאי להוציא צו זמני (90 יום, עם אפשרות להארכה) לתפיסת רכוש של ארגון שאינו מוכרז, לפי סעיף 91, כאשר כבר הוגשה בקשה להכריז על הארגון.] שלישית, לפי פרק ח' המוצע, ארגון טרור חשוף לצווים למניעת פעילות ולהגבלת שימוש במקום, ורביעית, הביטוי "ארגון טרור" נכלל בהגדרות אחרות בהצעת החוק, כגון, "חבר" בארגון טרור, "רכוש של ארגון טרור" ו"רכוש טרור", ואף בחזקה המופיעה בהגדרת "מעשה טרור", לפיה כאשר מעשה הטרור נעשה על ידי ארגון טרור או חבר בארגון טרור, חזקה שהמניע והמטרה הם כאלה הנדרשים בהגדרה "מעשה טרור". חמישית, היות ארגון הטרור ארגון מוכרז הוא מרכיב בקביעת סמכות אקסטריטוריאלית לבתי המשפט, שמוצעת בסעיף 46 להצעה לגבי עבירת טרור שהיא עבירת חוץ .</w:t>
      </w:r>
    </w:p>
    <w:p w:rsidR="0026625C" w:rsidRDefault="00F75E34" w:rsidP="00477E7F">
      <w:pPr>
        <w:spacing w:after="120" w:line="360" w:lineRule="auto"/>
        <w:jc w:val="both"/>
        <w:rPr>
          <w:rFonts w:cs="David"/>
          <w:sz w:val="24"/>
          <w:szCs w:val="24"/>
          <w:rtl/>
        </w:rPr>
      </w:pPr>
      <w:r>
        <w:rPr>
          <w:rFonts w:cs="David" w:hint="cs"/>
          <w:sz w:val="24"/>
          <w:szCs w:val="24"/>
          <w:rtl/>
        </w:rPr>
        <w:t xml:space="preserve">בכנסת ה-19, </w:t>
      </w:r>
      <w:r w:rsidR="0026625C" w:rsidRPr="008C5FCA">
        <w:rPr>
          <w:rFonts w:cs="David" w:hint="cs"/>
          <w:sz w:val="24"/>
          <w:szCs w:val="24"/>
          <w:rtl/>
        </w:rPr>
        <w:t xml:space="preserve">הוועדה שמעה הסבר </w:t>
      </w:r>
      <w:r w:rsidR="0026625C">
        <w:rPr>
          <w:rFonts w:cs="David" w:hint="cs"/>
          <w:sz w:val="24"/>
          <w:szCs w:val="24"/>
          <w:rtl/>
        </w:rPr>
        <w:t xml:space="preserve">מפי א' ממשרד ראש הממשלה </w:t>
      </w:r>
      <w:r w:rsidR="0026625C" w:rsidRPr="008C5FCA">
        <w:rPr>
          <w:rFonts w:cs="David" w:hint="cs"/>
          <w:sz w:val="24"/>
          <w:szCs w:val="24"/>
          <w:rtl/>
        </w:rPr>
        <w:t>ו</w:t>
      </w:r>
      <w:r w:rsidR="0026625C">
        <w:rPr>
          <w:rFonts w:cs="David" w:hint="cs"/>
          <w:sz w:val="24"/>
          <w:szCs w:val="24"/>
          <w:rtl/>
        </w:rPr>
        <w:t>צפתה</w:t>
      </w:r>
      <w:r w:rsidR="0026625C" w:rsidRPr="008C5FCA">
        <w:rPr>
          <w:rFonts w:cs="David" w:hint="cs"/>
          <w:sz w:val="24"/>
          <w:szCs w:val="24"/>
          <w:rtl/>
        </w:rPr>
        <w:t xml:space="preserve"> </w:t>
      </w:r>
      <w:r w:rsidR="0026625C">
        <w:rPr>
          <w:rFonts w:cs="David" w:hint="cs"/>
          <w:sz w:val="24"/>
          <w:szCs w:val="24"/>
          <w:rtl/>
        </w:rPr>
        <w:t>ב</w:t>
      </w:r>
      <w:r w:rsidR="0026625C" w:rsidRPr="008C5FCA">
        <w:rPr>
          <w:rFonts w:cs="David" w:hint="cs"/>
          <w:sz w:val="24"/>
          <w:szCs w:val="24"/>
          <w:rtl/>
        </w:rPr>
        <w:t xml:space="preserve">מצגת </w:t>
      </w:r>
      <w:r w:rsidR="0026625C">
        <w:rPr>
          <w:rFonts w:cs="David" w:hint="cs"/>
          <w:sz w:val="24"/>
          <w:szCs w:val="24"/>
          <w:rtl/>
        </w:rPr>
        <w:t xml:space="preserve">שהכין </w:t>
      </w:r>
      <w:r w:rsidR="00965675">
        <w:rPr>
          <w:rFonts w:cs="David" w:hint="cs"/>
          <w:sz w:val="24"/>
          <w:szCs w:val="24"/>
          <w:rtl/>
        </w:rPr>
        <w:t xml:space="preserve">(הסבר ומצגת שניתן לחזור עליהם גם בוועדה הנוכחית) </w:t>
      </w:r>
      <w:r w:rsidR="0026625C">
        <w:rPr>
          <w:rFonts w:cs="David" w:hint="cs"/>
          <w:sz w:val="24"/>
          <w:szCs w:val="24"/>
          <w:rtl/>
        </w:rPr>
        <w:t>בנוגע</w:t>
      </w:r>
      <w:r w:rsidR="0026625C" w:rsidRPr="008C5FCA">
        <w:rPr>
          <w:rFonts w:cs="David" w:hint="cs"/>
          <w:sz w:val="24"/>
          <w:szCs w:val="24"/>
          <w:rtl/>
        </w:rPr>
        <w:t xml:space="preserve"> </w:t>
      </w:r>
      <w:r w:rsidR="0026625C">
        <w:rPr>
          <w:rFonts w:cs="David" w:hint="cs"/>
          <w:sz w:val="24"/>
          <w:szCs w:val="24"/>
          <w:rtl/>
        </w:rPr>
        <w:t xml:space="preserve">למבנה ולפעילות של </w:t>
      </w:r>
      <w:r w:rsidR="0026625C" w:rsidRPr="008C5FCA">
        <w:rPr>
          <w:rFonts w:cs="David" w:hint="cs"/>
          <w:sz w:val="24"/>
          <w:szCs w:val="24"/>
          <w:rtl/>
        </w:rPr>
        <w:t>ארגוני הטרור</w:t>
      </w:r>
      <w:r w:rsidR="0026625C">
        <w:rPr>
          <w:rFonts w:cs="David" w:hint="cs"/>
          <w:sz w:val="24"/>
          <w:szCs w:val="24"/>
          <w:rtl/>
        </w:rPr>
        <w:t xml:space="preserve">, </w:t>
      </w:r>
      <w:r w:rsidR="00965675">
        <w:rPr>
          <w:rFonts w:cs="David" w:hint="cs"/>
          <w:sz w:val="24"/>
          <w:szCs w:val="24"/>
          <w:rtl/>
        </w:rPr>
        <w:t>והשתכנעה כי</w:t>
      </w:r>
      <w:r w:rsidR="0026625C" w:rsidRPr="008C5FCA">
        <w:rPr>
          <w:rFonts w:cs="David" w:hint="cs"/>
          <w:sz w:val="24"/>
          <w:szCs w:val="24"/>
          <w:rtl/>
        </w:rPr>
        <w:t xml:space="preserve"> אין </w:t>
      </w:r>
      <w:r w:rsidR="00965675">
        <w:rPr>
          <w:rFonts w:cs="David" w:hint="cs"/>
          <w:sz w:val="24"/>
          <w:szCs w:val="24"/>
          <w:rtl/>
        </w:rPr>
        <w:t xml:space="preserve">מקום </w:t>
      </w:r>
      <w:r w:rsidR="0026625C" w:rsidRPr="008C5FCA">
        <w:rPr>
          <w:rFonts w:cs="David" w:hint="cs"/>
          <w:sz w:val="24"/>
          <w:szCs w:val="24"/>
          <w:rtl/>
        </w:rPr>
        <w:t xml:space="preserve">להבחין בין זרוע צבאית </w:t>
      </w:r>
      <w:r w:rsidR="0026625C">
        <w:rPr>
          <w:rFonts w:cs="David" w:hint="cs"/>
          <w:sz w:val="24"/>
          <w:szCs w:val="24"/>
          <w:rtl/>
        </w:rPr>
        <w:t xml:space="preserve">לבין זרוע אזרחית של ארגון טרור </w:t>
      </w:r>
      <w:r w:rsidR="00965675">
        <w:rPr>
          <w:rFonts w:cs="David" w:hint="cs"/>
          <w:sz w:val="24"/>
          <w:szCs w:val="24"/>
          <w:rtl/>
        </w:rPr>
        <w:t>"ראשי" (=</w:t>
      </w:r>
      <w:r w:rsidR="0026625C">
        <w:rPr>
          <w:rFonts w:cs="David" w:hint="cs"/>
          <w:sz w:val="24"/>
          <w:szCs w:val="24"/>
          <w:rtl/>
        </w:rPr>
        <w:t>ש</w:t>
      </w:r>
      <w:r w:rsidR="0026625C" w:rsidRPr="008C5FCA">
        <w:rPr>
          <w:rFonts w:cs="David" w:hint="cs"/>
          <w:sz w:val="24"/>
          <w:szCs w:val="24"/>
          <w:rtl/>
        </w:rPr>
        <w:t xml:space="preserve">מבצע </w:t>
      </w:r>
      <w:r w:rsidR="00965675">
        <w:rPr>
          <w:rFonts w:cs="David" w:hint="cs"/>
          <w:sz w:val="24"/>
          <w:szCs w:val="24"/>
          <w:rtl/>
        </w:rPr>
        <w:t xml:space="preserve">בעצמו </w:t>
      </w:r>
      <w:r w:rsidR="0026625C" w:rsidRPr="008C5FCA">
        <w:rPr>
          <w:rFonts w:cs="David" w:hint="cs"/>
          <w:sz w:val="24"/>
          <w:szCs w:val="24"/>
          <w:rtl/>
        </w:rPr>
        <w:t>מעש</w:t>
      </w:r>
      <w:r w:rsidR="0026625C">
        <w:rPr>
          <w:rFonts w:cs="David" w:hint="cs"/>
          <w:sz w:val="24"/>
          <w:szCs w:val="24"/>
          <w:rtl/>
        </w:rPr>
        <w:t>י</w:t>
      </w:r>
      <w:r w:rsidR="0026625C" w:rsidRPr="008C5FCA">
        <w:rPr>
          <w:rFonts w:cs="David" w:hint="cs"/>
          <w:sz w:val="24"/>
          <w:szCs w:val="24"/>
          <w:rtl/>
        </w:rPr>
        <w:t xml:space="preserve"> טרור</w:t>
      </w:r>
      <w:r w:rsidR="00965675">
        <w:rPr>
          <w:rFonts w:cs="David" w:hint="cs"/>
          <w:sz w:val="24"/>
          <w:szCs w:val="24"/>
          <w:rtl/>
        </w:rPr>
        <w:t>)</w:t>
      </w:r>
      <w:r w:rsidR="0026625C" w:rsidRPr="008C5FCA">
        <w:rPr>
          <w:rFonts w:cs="David" w:hint="cs"/>
          <w:sz w:val="24"/>
          <w:szCs w:val="24"/>
          <w:rtl/>
        </w:rPr>
        <w:t xml:space="preserve"> וכל מי שנוטל חלק בפעולתו חד הוא</w:t>
      </w:r>
      <w:r w:rsidR="0026625C">
        <w:rPr>
          <w:rFonts w:cs="David" w:hint="cs"/>
          <w:sz w:val="24"/>
          <w:szCs w:val="24"/>
          <w:rtl/>
        </w:rPr>
        <w:t>, ומקבל הוראות מ</w:t>
      </w:r>
      <w:r w:rsidR="0026625C" w:rsidRPr="008C5FCA">
        <w:rPr>
          <w:rFonts w:cs="David" w:hint="cs"/>
          <w:sz w:val="24"/>
          <w:szCs w:val="24"/>
          <w:rtl/>
        </w:rPr>
        <w:t>הנה</w:t>
      </w:r>
      <w:r w:rsidR="0026625C">
        <w:rPr>
          <w:rFonts w:cs="David" w:hint="cs"/>
          <w:sz w:val="24"/>
          <w:szCs w:val="24"/>
          <w:rtl/>
        </w:rPr>
        <w:t>ג</w:t>
      </w:r>
      <w:r w:rsidR="0026625C" w:rsidRPr="008C5FCA">
        <w:rPr>
          <w:rFonts w:cs="David" w:hint="cs"/>
          <w:sz w:val="24"/>
          <w:szCs w:val="24"/>
          <w:rtl/>
        </w:rPr>
        <w:t>ת הארגון ותורם לפעולתו בכל המישורים</w:t>
      </w:r>
      <w:r>
        <w:rPr>
          <w:rFonts w:cs="David" w:hint="cs"/>
          <w:sz w:val="24"/>
          <w:szCs w:val="24"/>
          <w:rtl/>
        </w:rPr>
        <w:t xml:space="preserve"> (כך גם קובעת </w:t>
      </w:r>
      <w:r w:rsidR="00965675">
        <w:rPr>
          <w:rFonts w:cs="David" w:hint="cs"/>
          <w:sz w:val="24"/>
          <w:szCs w:val="24"/>
          <w:rtl/>
        </w:rPr>
        <w:t>פסיקת בית המשפט העליון</w:t>
      </w:r>
      <w:r>
        <w:rPr>
          <w:rFonts w:cs="David" w:hint="cs"/>
          <w:sz w:val="24"/>
          <w:szCs w:val="24"/>
          <w:rtl/>
        </w:rPr>
        <w:t xml:space="preserve"> היום</w:t>
      </w:r>
      <w:r w:rsidR="00965675">
        <w:rPr>
          <w:rStyle w:val="a5"/>
          <w:rFonts w:cs="David"/>
          <w:sz w:val="24"/>
          <w:szCs w:val="24"/>
          <w:rtl/>
        </w:rPr>
        <w:footnoteReference w:id="1"/>
      </w:r>
      <w:r>
        <w:rPr>
          <w:rFonts w:cs="David" w:hint="cs"/>
          <w:sz w:val="24"/>
          <w:szCs w:val="24"/>
          <w:rtl/>
        </w:rPr>
        <w:t>)</w:t>
      </w:r>
      <w:r w:rsidR="0026625C" w:rsidRPr="008C5FCA">
        <w:rPr>
          <w:rFonts w:cs="David" w:hint="cs"/>
          <w:sz w:val="24"/>
          <w:szCs w:val="24"/>
          <w:rtl/>
        </w:rPr>
        <w:t>;</w:t>
      </w:r>
      <w:r w:rsidR="0026625C">
        <w:rPr>
          <w:rFonts w:cs="David" w:hint="cs"/>
          <w:sz w:val="24"/>
          <w:szCs w:val="24"/>
          <w:rtl/>
        </w:rPr>
        <w:t xml:space="preserve"> </w:t>
      </w:r>
      <w:r w:rsidR="00477E7F">
        <w:rPr>
          <w:rFonts w:cs="David" w:hint="cs"/>
          <w:sz w:val="24"/>
          <w:szCs w:val="24"/>
          <w:rtl/>
        </w:rPr>
        <w:t>כמו כן השתכנעה הוועדה</w:t>
      </w:r>
      <w:r w:rsidR="0026625C" w:rsidRPr="008C5FCA">
        <w:rPr>
          <w:rFonts w:cs="David" w:hint="cs"/>
          <w:sz w:val="24"/>
          <w:szCs w:val="24"/>
          <w:rtl/>
        </w:rPr>
        <w:t xml:space="preserve"> </w:t>
      </w:r>
      <w:r w:rsidR="00477E7F">
        <w:rPr>
          <w:rFonts w:cs="David" w:hint="cs"/>
          <w:sz w:val="24"/>
          <w:szCs w:val="24"/>
          <w:rtl/>
        </w:rPr>
        <w:t>ש</w:t>
      </w:r>
      <w:r w:rsidR="0026625C" w:rsidRPr="008C5FCA">
        <w:rPr>
          <w:rFonts w:cs="David" w:hint="cs"/>
          <w:sz w:val="24"/>
          <w:szCs w:val="24"/>
          <w:rtl/>
        </w:rPr>
        <w:t>ארגוני "מעטפת" שאינם כפופים ישירות לארגון הטרור "הראשי" אך תומכים בו (בעיקר על ידי הזרמת כספים רבים) הם חלק חיוני מפעולתו, ובלעדיהם ארגון הטרור "הראשי" ייחלש מאוד</w:t>
      </w:r>
      <w:r w:rsidR="0026625C">
        <w:rPr>
          <w:rFonts w:cs="David" w:hint="cs"/>
          <w:sz w:val="24"/>
          <w:szCs w:val="24"/>
          <w:rtl/>
        </w:rPr>
        <w:t xml:space="preserve"> (גם החלק שמבצע מעשי טרור),</w:t>
      </w:r>
      <w:r w:rsidR="0026625C" w:rsidRPr="008C5FCA">
        <w:rPr>
          <w:rFonts w:cs="David" w:hint="cs"/>
          <w:sz w:val="24"/>
          <w:szCs w:val="24"/>
          <w:rtl/>
        </w:rPr>
        <w:t xml:space="preserve"> </w:t>
      </w:r>
      <w:r w:rsidR="0026625C">
        <w:rPr>
          <w:rFonts w:cs="David" w:hint="cs"/>
          <w:sz w:val="24"/>
          <w:szCs w:val="24"/>
          <w:rtl/>
        </w:rPr>
        <w:t>ו</w:t>
      </w:r>
      <w:r w:rsidR="0026625C" w:rsidRPr="008C5FCA">
        <w:rPr>
          <w:rFonts w:cs="David" w:hint="cs"/>
          <w:sz w:val="24"/>
          <w:szCs w:val="24"/>
          <w:rtl/>
        </w:rPr>
        <w:t>לכן, מוצדק להילחם גם בהם</w:t>
      </w:r>
      <w:r w:rsidR="0026625C">
        <w:rPr>
          <w:rFonts w:cs="David" w:hint="cs"/>
          <w:sz w:val="24"/>
          <w:szCs w:val="24"/>
          <w:rtl/>
        </w:rPr>
        <w:t>. לא זו אף זו</w:t>
      </w:r>
      <w:r w:rsidR="0026625C" w:rsidRPr="008C5FCA">
        <w:rPr>
          <w:rFonts w:cs="David" w:hint="cs"/>
          <w:sz w:val="24"/>
          <w:szCs w:val="24"/>
          <w:rtl/>
        </w:rPr>
        <w:t xml:space="preserve">, </w:t>
      </w:r>
      <w:r w:rsidR="0026625C" w:rsidRPr="007F41CB">
        <w:rPr>
          <w:rFonts w:cs="David" w:hint="cs"/>
          <w:sz w:val="24"/>
          <w:szCs w:val="24"/>
          <w:rtl/>
        </w:rPr>
        <w:t>לארגוני המעטפת יש אפיקים חוקיים רבים לפעולה, שכן בשטח פועלים מאות ארגונים הומניטריים חוקיים שמסייעים לאוכלוסייה המקומית, ואין הכרח לבחור בהזרמת כספים ובסיוע לאנשים דווקא באמצעות ארגון טרור שמבצע מעשי טרור אלא ש</w:t>
      </w:r>
      <w:r w:rsidR="0026625C">
        <w:rPr>
          <w:rFonts w:cs="David" w:hint="cs"/>
          <w:sz w:val="24"/>
          <w:szCs w:val="24"/>
          <w:rtl/>
        </w:rPr>
        <w:t>ארגוני המעטפת</w:t>
      </w:r>
      <w:r w:rsidR="0026625C" w:rsidRPr="007F41CB">
        <w:rPr>
          <w:rFonts w:cs="David" w:hint="cs"/>
          <w:sz w:val="24"/>
          <w:szCs w:val="24"/>
          <w:rtl/>
        </w:rPr>
        <w:t xml:space="preserve"> בוחרים לסייע דווקא לארגוני טרור "ראשיים", ופעמים רבות בשל הזדהות עמם.</w:t>
      </w:r>
      <w:r w:rsidR="0026625C" w:rsidRPr="008C5FCA">
        <w:rPr>
          <w:rFonts w:cs="David" w:hint="cs"/>
          <w:sz w:val="24"/>
          <w:szCs w:val="24"/>
          <w:rtl/>
        </w:rPr>
        <w:t xml:space="preserve"> </w:t>
      </w:r>
    </w:p>
    <w:p w:rsidR="0026625C" w:rsidRDefault="00477E7F" w:rsidP="00477E7F">
      <w:pPr>
        <w:spacing w:after="120" w:line="360" w:lineRule="auto"/>
        <w:jc w:val="both"/>
        <w:rPr>
          <w:rFonts w:cs="David"/>
          <w:sz w:val="24"/>
          <w:szCs w:val="24"/>
          <w:rtl/>
        </w:rPr>
      </w:pPr>
      <w:r>
        <w:rPr>
          <w:rFonts w:cs="David" w:hint="cs"/>
          <w:sz w:val="24"/>
          <w:szCs w:val="24"/>
          <w:rtl/>
        </w:rPr>
        <w:t>עם זאת</w:t>
      </w:r>
      <w:r w:rsidR="001509EC">
        <w:rPr>
          <w:rFonts w:cs="David" w:hint="cs"/>
          <w:sz w:val="24"/>
          <w:szCs w:val="24"/>
          <w:rtl/>
        </w:rPr>
        <w:t>,</w:t>
      </w:r>
      <w:r>
        <w:rPr>
          <w:rFonts w:cs="David" w:hint="cs"/>
          <w:sz w:val="24"/>
          <w:szCs w:val="24"/>
          <w:rtl/>
        </w:rPr>
        <w:t xml:space="preserve"> הכירה הוועדה בכך שיש חשש שהגדרה עמומה יכולה להביא להכרזות</w:t>
      </w:r>
      <w:r w:rsidR="0026625C">
        <w:rPr>
          <w:rFonts w:cs="David" w:hint="cs"/>
          <w:sz w:val="24"/>
          <w:szCs w:val="24"/>
          <w:rtl/>
        </w:rPr>
        <w:t xml:space="preserve"> על ארגון שהוא רחוק ממעגל ביצוע מעשי טרור </w:t>
      </w:r>
      <w:r>
        <w:rPr>
          <w:rFonts w:cs="David" w:hint="cs"/>
          <w:sz w:val="24"/>
          <w:szCs w:val="24"/>
          <w:rtl/>
        </w:rPr>
        <w:t xml:space="preserve">ועוסק בפעילות הומניטרית </w:t>
      </w:r>
      <w:r w:rsidR="0026625C">
        <w:rPr>
          <w:rFonts w:cs="David" w:hint="cs"/>
          <w:sz w:val="24"/>
          <w:szCs w:val="24"/>
          <w:rtl/>
        </w:rPr>
        <w:t xml:space="preserve">כעל ארגון טרור. בנוסף, ההשלכות הזהות </w:t>
      </w:r>
      <w:r>
        <w:rPr>
          <w:rFonts w:cs="David" w:hint="cs"/>
          <w:sz w:val="24"/>
          <w:szCs w:val="24"/>
          <w:rtl/>
        </w:rPr>
        <w:t xml:space="preserve">שמוצעות </w:t>
      </w:r>
      <w:r w:rsidR="0026625C">
        <w:rPr>
          <w:rFonts w:cs="David" w:hint="cs"/>
          <w:sz w:val="24"/>
          <w:szCs w:val="24"/>
          <w:rtl/>
        </w:rPr>
        <w:t xml:space="preserve">בנוגע לשני סוגי הארגונים יכולות להביא להרשעות של אנשים שרחוקים מאוד מפעילות עבריינית פלילית </w:t>
      </w:r>
      <w:r>
        <w:rPr>
          <w:rFonts w:cs="David" w:hint="cs"/>
          <w:sz w:val="24"/>
          <w:szCs w:val="24"/>
          <w:rtl/>
        </w:rPr>
        <w:t xml:space="preserve">כחברים בארגון טרור, </w:t>
      </w:r>
      <w:r w:rsidR="0026625C">
        <w:rPr>
          <w:rFonts w:cs="David" w:hint="cs"/>
          <w:sz w:val="24"/>
          <w:szCs w:val="24"/>
          <w:rtl/>
        </w:rPr>
        <w:t>ולפעולות מרחיקות לכת נגד ארגונים הומניטריים (חילוט כל רכושם, איסור על פעילותם).</w:t>
      </w:r>
    </w:p>
    <w:p w:rsidR="0026625C" w:rsidRPr="0026625C" w:rsidRDefault="0026625C" w:rsidP="0026625C">
      <w:pPr>
        <w:pStyle w:val="a0"/>
        <w:rPr>
          <w:rtl/>
        </w:rPr>
      </w:pPr>
    </w:p>
    <w:p w:rsidR="00F75E34" w:rsidRDefault="0026625C" w:rsidP="001509EC">
      <w:pPr>
        <w:spacing w:after="120" w:line="360" w:lineRule="auto"/>
        <w:jc w:val="both"/>
        <w:rPr>
          <w:rFonts w:cs="David"/>
          <w:sz w:val="24"/>
          <w:szCs w:val="24"/>
          <w:rtl/>
        </w:rPr>
      </w:pPr>
      <w:r>
        <w:rPr>
          <w:rFonts w:cs="David" w:hint="cs"/>
          <w:sz w:val="24"/>
          <w:szCs w:val="24"/>
          <w:rtl/>
        </w:rPr>
        <w:t xml:space="preserve">לכן, הוועדה </w:t>
      </w:r>
      <w:r w:rsidR="00477E7F">
        <w:rPr>
          <w:rFonts w:cs="David" w:hint="cs"/>
          <w:sz w:val="24"/>
          <w:szCs w:val="24"/>
          <w:rtl/>
        </w:rPr>
        <w:t>החליטה</w:t>
      </w:r>
      <w:r>
        <w:rPr>
          <w:rFonts w:cs="David" w:hint="cs"/>
          <w:sz w:val="24"/>
          <w:szCs w:val="24"/>
          <w:rtl/>
        </w:rPr>
        <w:t xml:space="preserve"> </w:t>
      </w:r>
      <w:r w:rsidR="001509EC">
        <w:rPr>
          <w:rFonts w:cs="David" w:hint="cs"/>
          <w:sz w:val="24"/>
          <w:szCs w:val="24"/>
          <w:rtl/>
        </w:rPr>
        <w:t xml:space="preserve">לקבוע הגדרה מהותית שמפרטת, ראשית, מה סוג הפעילות הנחשבת פעילות במעגל הראשון של הטרור, ושנית, מה סוג הזיקה ועוצמת התרומה </w:t>
      </w:r>
      <w:r w:rsidR="001509EC">
        <w:rPr>
          <w:rFonts w:cs="David" w:hint="cs"/>
          <w:sz w:val="24"/>
          <w:szCs w:val="24"/>
          <w:rtl/>
        </w:rPr>
        <w:lastRenderedPageBreak/>
        <w:t xml:space="preserve">שתחשב פעילות במעגל השני של הטרור. </w:t>
      </w:r>
      <w:r w:rsidR="00477E7F">
        <w:rPr>
          <w:rFonts w:cs="David" w:hint="cs"/>
          <w:sz w:val="24"/>
          <w:szCs w:val="24"/>
          <w:rtl/>
        </w:rPr>
        <w:t>אתגר נוסף שעמד בפני הוועדה הוא ליצור הגדרה שמחד גיסה, מכלילה את כל סוגי הארגונים (ובעניין זה המבנים של ארגוני טרור הם מגוונים ביותר) ומאידך גיסה, מבחינה</w:t>
      </w:r>
      <w:r w:rsidRPr="0026625C">
        <w:rPr>
          <w:rFonts w:cs="David"/>
          <w:sz w:val="24"/>
          <w:szCs w:val="24"/>
          <w:rtl/>
        </w:rPr>
        <w:t xml:space="preserve"> בין "ארגון" לבין ביצוע בצוותא של עבירות</w:t>
      </w:r>
      <w:r w:rsidR="00477E7F">
        <w:rPr>
          <w:rFonts w:cs="David" w:hint="cs"/>
          <w:sz w:val="24"/>
          <w:szCs w:val="24"/>
          <w:rtl/>
        </w:rPr>
        <w:t>: לא כל קבוצה של אנשים שחוברת יחדיו לעשיית מעשה או לקשירת קשר היא "ארגון".</w:t>
      </w:r>
      <w:r w:rsidRPr="0026625C">
        <w:rPr>
          <w:rFonts w:cs="David"/>
          <w:sz w:val="24"/>
          <w:szCs w:val="24"/>
          <w:rtl/>
        </w:rPr>
        <w:t xml:space="preserve"> </w:t>
      </w:r>
    </w:p>
    <w:p w:rsidR="00F75E34" w:rsidRDefault="00F75E34" w:rsidP="00F75E34">
      <w:pPr>
        <w:spacing w:after="120" w:line="360" w:lineRule="auto"/>
        <w:jc w:val="both"/>
        <w:rPr>
          <w:rFonts w:cs="David"/>
          <w:sz w:val="24"/>
          <w:szCs w:val="24"/>
          <w:rtl/>
        </w:rPr>
      </w:pPr>
    </w:p>
    <w:p w:rsidR="005E1FC5" w:rsidRPr="00477E7F" w:rsidRDefault="00F75E34" w:rsidP="00477E7F">
      <w:pPr>
        <w:spacing w:after="120" w:line="360" w:lineRule="auto"/>
        <w:jc w:val="both"/>
        <w:rPr>
          <w:rFonts w:cs="David"/>
          <w:b/>
          <w:bCs/>
          <w:sz w:val="24"/>
          <w:szCs w:val="24"/>
          <w:rtl/>
        </w:rPr>
      </w:pPr>
      <w:r w:rsidRPr="00477E7F">
        <w:rPr>
          <w:rFonts w:cs="David" w:hint="cs"/>
          <w:b/>
          <w:bCs/>
          <w:sz w:val="24"/>
          <w:szCs w:val="24"/>
          <w:rtl/>
        </w:rPr>
        <w:t xml:space="preserve">להלן נוסח ההגדרה </w:t>
      </w:r>
      <w:r w:rsidR="00477E7F" w:rsidRPr="00477E7F">
        <w:rPr>
          <w:rFonts w:cs="David" w:hint="cs"/>
          <w:b/>
          <w:bCs/>
          <w:sz w:val="24"/>
          <w:szCs w:val="24"/>
          <w:rtl/>
        </w:rPr>
        <w:t>אותו קבלה ועדת החוקה חוק ומשפט בכנסת ה-19 (שאומץ כעת בהחלטת ועדת השרים לענייני חקיקה)</w:t>
      </w:r>
      <w:r w:rsidRPr="00477E7F">
        <w:rPr>
          <w:rFonts w:cs="David" w:hint="cs"/>
          <w:b/>
          <w:bCs/>
          <w:sz w:val="24"/>
          <w:szCs w:val="24"/>
          <w:rtl/>
        </w:rPr>
        <w:t>:</w:t>
      </w:r>
      <w:r w:rsidR="0026625C" w:rsidRPr="00477E7F">
        <w:rPr>
          <w:rFonts w:cs="David" w:hint="cs"/>
          <w:b/>
          <w:bCs/>
          <w:sz w:val="24"/>
          <w:szCs w:val="24"/>
          <w:rtl/>
        </w:rPr>
        <w:t xml:space="preserve"> </w:t>
      </w:r>
    </w:p>
    <w:tbl>
      <w:tblPr>
        <w:bidiVisual/>
        <w:tblW w:w="9639"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520"/>
      </w:tblGrid>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7144" w:type="dxa"/>
            <w:gridSpan w:val="2"/>
            <w:shd w:val="clear" w:color="auto" w:fill="auto"/>
            <w:tcMar>
              <w:top w:w="91" w:type="dxa"/>
              <w:left w:w="0" w:type="dxa"/>
              <w:bottom w:w="91" w:type="dxa"/>
              <w:right w:w="0" w:type="dxa"/>
            </w:tcMar>
          </w:tcPr>
          <w:p w:rsidR="003B6604" w:rsidRDefault="003B6604" w:rsidP="00901B25">
            <w:pPr>
              <w:pStyle w:val="TableBlockOutdent"/>
              <w:rPr>
                <w:rtl/>
              </w:rPr>
            </w:pPr>
            <w:r>
              <w:rPr>
                <w:rtl/>
              </w:rPr>
              <w:t xml:space="preserve">"ארגון טרור" </w:t>
            </w:r>
            <w:r>
              <w:rPr>
                <w:rFonts w:hint="cs"/>
                <w:rtl/>
              </w:rPr>
              <w:t>–</w:t>
            </w:r>
            <w:r>
              <w:rPr>
                <w:rtl/>
              </w:rPr>
              <w:t xml:space="preserve"> </w:t>
            </w:r>
            <w:r>
              <w:rPr>
                <w:rFonts w:hint="cs"/>
                <w:rtl/>
              </w:rPr>
              <w:t>כל</w:t>
            </w:r>
            <w:r>
              <w:rPr>
                <w:rtl/>
              </w:rPr>
              <w:t xml:space="preserve"> אחד מאלה: </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tl/>
              </w:rPr>
              <w:t>(1)</w:t>
            </w:r>
            <w:r>
              <w:rPr>
                <w:rtl/>
              </w:rPr>
              <w:tab/>
            </w:r>
            <w:r>
              <w:rPr>
                <w:rFonts w:hint="cs"/>
                <w:rtl/>
              </w:rPr>
              <w:t xml:space="preserve">חבר בני אדם בתבנית מאורגנת ומתמשכת, שמבצע או פועל במטרה </w:t>
            </w:r>
            <w:r w:rsidRPr="00303391">
              <w:rPr>
                <w:rFonts w:hint="cs"/>
                <w:rtl/>
              </w:rPr>
              <w:t>שיבוצעו מ</w:t>
            </w:r>
            <w:r>
              <w:rPr>
                <w:rFonts w:hint="cs"/>
                <w:rtl/>
              </w:rPr>
              <w:t>עשי טרור, ובכלל זה עוסק באימונים והדרכה לביצוע מעשי טרור או עושה פעולה או עסקה בנשק לביצוע מעשי טרור, בין שהוכרז ככזה לפי פרק ב' ובין שלא</w:t>
            </w:r>
            <w:r>
              <w:rPr>
                <w:rtl/>
              </w:rPr>
              <w:t>;</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tl/>
              </w:rPr>
              <w:t>(2)</w:t>
            </w:r>
            <w:r>
              <w:rPr>
                <w:rtl/>
              </w:rPr>
              <w:tab/>
            </w:r>
            <w:r>
              <w:rPr>
                <w:rFonts w:hint="cs"/>
                <w:rtl/>
              </w:rPr>
              <w:t>חבר בני אדם בתבנית מאורגנת ומתמשכת, שפועל, במישרין או בעקיפין, כדי לסייע לארגון כאמור בפסקה (1), או במטרה לקדם את פעילותו, ובכלל זה לממנו, והכל באופן שיש בו תרומה ממשית או מתמשכת לפעילות הארגון או בזיקה ממשית אליו, ובלבד שהוכרז ככזה לפי פרק ב';</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Fonts w:hint="cs"/>
                <w:rtl/>
              </w:rPr>
              <w:t>(3)</w:t>
            </w:r>
            <w:r>
              <w:rPr>
                <w:rtl/>
              </w:rPr>
              <w:tab/>
            </w:r>
            <w:r>
              <w:rPr>
                <w:rFonts w:hint="cs"/>
                <w:rtl/>
              </w:rPr>
              <w:t>ארגון שנקבע מחוץ לישראל כארגון טרור ובלבד שהוכרז ככזה לפי פרק ב'.</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7144" w:type="dxa"/>
            <w:gridSpan w:val="2"/>
            <w:shd w:val="clear" w:color="auto" w:fill="auto"/>
            <w:tcMar>
              <w:top w:w="91" w:type="dxa"/>
              <w:left w:w="0" w:type="dxa"/>
              <w:bottom w:w="91" w:type="dxa"/>
              <w:right w:w="0" w:type="dxa"/>
            </w:tcMar>
          </w:tcPr>
          <w:p w:rsidR="003B6604" w:rsidRDefault="003B6604" w:rsidP="00901B25">
            <w:pPr>
              <w:pStyle w:val="TableBlock"/>
              <w:rPr>
                <w:rtl/>
              </w:rPr>
            </w:pPr>
            <w:r>
              <w:rPr>
                <w:rtl/>
              </w:rPr>
              <w:t xml:space="preserve">לעניין הגדרה זו </w:t>
            </w:r>
            <w:r>
              <w:rPr>
                <w:rFonts w:hint="cs"/>
                <w:rtl/>
              </w:rPr>
              <w:t>–</w:t>
            </w:r>
            <w:r>
              <w:rPr>
                <w:rtl/>
              </w:rPr>
              <w:t xml:space="preserve"> </w:t>
            </w:r>
          </w:p>
        </w:tc>
      </w:tr>
      <w:tr w:rsidR="003B6604" w:rsidTr="0026625C">
        <w:trPr>
          <w:cantSplit/>
          <w:trHeight w:val="17"/>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Fonts w:hint="cs"/>
                <w:rtl/>
              </w:rPr>
              <w:t>(א)</w:t>
            </w:r>
            <w:r>
              <w:rPr>
                <w:rtl/>
              </w:rPr>
              <w:tab/>
            </w:r>
            <w:r>
              <w:rPr>
                <w:rFonts w:hint="cs"/>
                <w:rtl/>
              </w:rPr>
              <w:t xml:space="preserve">"תבנית מאורגנת ומתמשכת" </w:t>
            </w:r>
            <w:r>
              <w:rPr>
                <w:rtl/>
              </w:rPr>
              <w:t>–</w:t>
            </w:r>
            <w:r>
              <w:rPr>
                <w:rFonts w:hint="cs"/>
                <w:rtl/>
              </w:rPr>
              <w:t xml:space="preserve"> שאינה אקראית, שנועדה להתקיים פרק זמן, אף אם אין מדרג בין החברים ואין להם תפקידים מוגדרים;</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tl/>
              </w:rPr>
              <w:t>(</w:t>
            </w:r>
            <w:r>
              <w:rPr>
                <w:rFonts w:hint="cs"/>
                <w:rtl/>
              </w:rPr>
              <w:t>ב</w:t>
            </w:r>
            <w:r>
              <w:rPr>
                <w:rtl/>
              </w:rPr>
              <w:t>)</w:t>
            </w:r>
            <w:r>
              <w:rPr>
                <w:rtl/>
              </w:rPr>
              <w:tab/>
              <w:t>אין נפקא מינה אם חברי הארגון יודעים את זהות החברים האחרים אם לאו, אם הרכב חברי הארגון קבוע או משתנה, אם הארגון מבצע גם פעילות חוקית ואם הוא פועל גם למטרות חוקיות;</w:t>
            </w:r>
          </w:p>
        </w:tc>
      </w:tr>
      <w:tr w:rsidR="003B6604" w:rsidTr="00135BFA">
        <w:trPr>
          <w:cantSplit/>
        </w:trPr>
        <w:tc>
          <w:tcPr>
            <w:tcW w:w="1871" w:type="dxa"/>
            <w:shd w:val="clear" w:color="auto" w:fill="auto"/>
            <w:tcMar>
              <w:top w:w="91" w:type="dxa"/>
              <w:left w:w="0" w:type="dxa"/>
              <w:bottom w:w="91" w:type="dxa"/>
              <w:right w:w="0" w:type="dxa"/>
            </w:tcMar>
          </w:tcPr>
          <w:p w:rsidR="003B6604" w:rsidRDefault="003B6604" w:rsidP="00901B25">
            <w:pPr>
              <w:pStyle w:val="TableSideHeading"/>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24" w:type="dxa"/>
            <w:shd w:val="clear" w:color="auto" w:fill="auto"/>
            <w:tcMar>
              <w:top w:w="91" w:type="dxa"/>
              <w:left w:w="0" w:type="dxa"/>
              <w:bottom w:w="91" w:type="dxa"/>
              <w:right w:w="0" w:type="dxa"/>
            </w:tcMar>
          </w:tcPr>
          <w:p w:rsidR="003B6604" w:rsidRDefault="003B6604" w:rsidP="00901B25">
            <w:pPr>
              <w:pStyle w:val="TableText"/>
              <w:rPr>
                <w:rtl/>
              </w:rPr>
            </w:pPr>
          </w:p>
        </w:tc>
        <w:tc>
          <w:tcPr>
            <w:tcW w:w="6520" w:type="dxa"/>
            <w:shd w:val="clear" w:color="auto" w:fill="auto"/>
            <w:tcMar>
              <w:top w:w="91" w:type="dxa"/>
              <w:left w:w="0" w:type="dxa"/>
              <w:bottom w:w="91" w:type="dxa"/>
              <w:right w:w="0" w:type="dxa"/>
            </w:tcMar>
          </w:tcPr>
          <w:p w:rsidR="003B6604" w:rsidRDefault="003B6604" w:rsidP="00901B25">
            <w:pPr>
              <w:pStyle w:val="TableBlock"/>
              <w:rPr>
                <w:rtl/>
              </w:rPr>
            </w:pPr>
            <w:r>
              <w:rPr>
                <w:rtl/>
              </w:rPr>
              <w:t>(</w:t>
            </w:r>
            <w:r>
              <w:rPr>
                <w:rFonts w:hint="cs"/>
                <w:rtl/>
              </w:rPr>
              <w:t>ג</w:t>
            </w:r>
            <w:r>
              <w:rPr>
                <w:rtl/>
              </w:rPr>
              <w:t>)</w:t>
            </w:r>
            <w:r>
              <w:rPr>
                <w:rtl/>
              </w:rPr>
              <w:tab/>
              <w:t>יראו פלג, סניף, סיעה או מוסד של חבר בני אדם כאמור וכל גוף הכפוף לו, כחלק מארגון הטרור, גם אם הם קרויים בשם אחר;</w:t>
            </w:r>
          </w:p>
        </w:tc>
      </w:tr>
    </w:tbl>
    <w:p w:rsidR="003B6604" w:rsidRPr="003B6604" w:rsidRDefault="003B6604" w:rsidP="003B6604">
      <w:pPr>
        <w:pStyle w:val="a0"/>
      </w:pPr>
    </w:p>
    <w:sectPr w:rsidR="003B6604" w:rsidRPr="003B6604" w:rsidSect="00986A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B4" w:rsidRDefault="007B78B4" w:rsidP="005E1FC5">
      <w:pPr>
        <w:spacing w:after="0" w:line="240" w:lineRule="auto"/>
      </w:pPr>
      <w:r>
        <w:separator/>
      </w:r>
    </w:p>
  </w:endnote>
  <w:endnote w:type="continuationSeparator" w:id="0">
    <w:p w:rsidR="007B78B4" w:rsidRDefault="007B78B4" w:rsidP="005E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B4" w:rsidRDefault="007B78B4" w:rsidP="005E1FC5">
      <w:pPr>
        <w:spacing w:after="0" w:line="240" w:lineRule="auto"/>
      </w:pPr>
      <w:r>
        <w:separator/>
      </w:r>
    </w:p>
  </w:footnote>
  <w:footnote w:type="continuationSeparator" w:id="0">
    <w:p w:rsidR="007B78B4" w:rsidRDefault="007B78B4" w:rsidP="005E1FC5">
      <w:pPr>
        <w:spacing w:after="0" w:line="240" w:lineRule="auto"/>
      </w:pPr>
      <w:r>
        <w:continuationSeparator/>
      </w:r>
    </w:p>
  </w:footnote>
  <w:footnote w:id="1">
    <w:p w:rsidR="00965675" w:rsidRPr="00477E7F" w:rsidRDefault="00965675" w:rsidP="00477E7F">
      <w:pPr>
        <w:pStyle w:val="a0"/>
        <w:jc w:val="both"/>
        <w:rPr>
          <w:rFonts w:cs="David"/>
          <w:rtl/>
        </w:rPr>
      </w:pPr>
      <w:r w:rsidRPr="00477E7F">
        <w:rPr>
          <w:rStyle w:val="a5"/>
          <w:rFonts w:cs="David"/>
        </w:rPr>
        <w:footnoteRef/>
      </w:r>
      <w:r w:rsidRPr="00477E7F">
        <w:rPr>
          <w:rFonts w:cs="David"/>
          <w:rtl/>
        </w:rPr>
        <w:t xml:space="preserve"> </w:t>
      </w:r>
      <w:r w:rsidRPr="00477E7F">
        <w:rPr>
          <w:rFonts w:cs="David" w:hint="cs"/>
          <w:rtl/>
        </w:rPr>
        <w:t xml:space="preserve">כך למשל  </w:t>
      </w:r>
      <w:proofErr w:type="spellStart"/>
      <w:r w:rsidRPr="00477E7F">
        <w:rPr>
          <w:rFonts w:cs="David" w:hint="cs"/>
          <w:rtl/>
        </w:rPr>
        <w:t>בש"פ</w:t>
      </w:r>
      <w:proofErr w:type="spellEnd"/>
      <w:r w:rsidRPr="00477E7F">
        <w:rPr>
          <w:rFonts w:cs="David" w:hint="cs"/>
          <w:rtl/>
        </w:rPr>
        <w:t xml:space="preserve"> 6552/05 </w:t>
      </w:r>
      <w:proofErr w:type="spellStart"/>
      <w:r w:rsidRPr="00477E7F">
        <w:rPr>
          <w:rFonts w:cs="David" w:hint="cs"/>
          <w:b/>
          <w:bCs/>
          <w:rtl/>
        </w:rPr>
        <w:t>ראסם</w:t>
      </w:r>
      <w:proofErr w:type="spellEnd"/>
      <w:r w:rsidRPr="00477E7F">
        <w:rPr>
          <w:rFonts w:cs="David" w:hint="cs"/>
          <w:b/>
          <w:bCs/>
          <w:rtl/>
        </w:rPr>
        <w:t xml:space="preserve"> </w:t>
      </w:r>
      <w:proofErr w:type="spellStart"/>
      <w:r w:rsidRPr="00477E7F">
        <w:rPr>
          <w:rFonts w:cs="David" w:hint="cs"/>
          <w:b/>
          <w:bCs/>
          <w:rtl/>
        </w:rPr>
        <w:t>עבידאת</w:t>
      </w:r>
      <w:proofErr w:type="spellEnd"/>
      <w:r w:rsidRPr="00477E7F">
        <w:rPr>
          <w:rFonts w:cs="David" w:hint="cs"/>
          <w:b/>
          <w:bCs/>
          <w:rtl/>
        </w:rPr>
        <w:t xml:space="preserve"> נ' מדינת ישראל</w:t>
      </w:r>
      <w:r w:rsidR="00477E7F" w:rsidRPr="00477E7F">
        <w:rPr>
          <w:rFonts w:cs="David" w:hint="cs"/>
          <w:rtl/>
        </w:rPr>
        <w:t xml:space="preserve">; בג"ץ 4120/07 </w:t>
      </w:r>
      <w:r w:rsidR="00477E7F" w:rsidRPr="00477E7F">
        <w:rPr>
          <w:rFonts w:cs="David" w:hint="cs"/>
          <w:b/>
          <w:bCs/>
          <w:rtl/>
        </w:rPr>
        <w:t>אגודת הצדקה שכם ואח' נ' מדינת ישראל ואח'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0C"/>
    <w:rsid w:val="00046274"/>
    <w:rsid w:val="000B140C"/>
    <w:rsid w:val="00135BFA"/>
    <w:rsid w:val="001509EC"/>
    <w:rsid w:val="001E31B3"/>
    <w:rsid w:val="0026625C"/>
    <w:rsid w:val="003B2C12"/>
    <w:rsid w:val="003B6604"/>
    <w:rsid w:val="00477E7F"/>
    <w:rsid w:val="00496B52"/>
    <w:rsid w:val="005E1FC5"/>
    <w:rsid w:val="007518B3"/>
    <w:rsid w:val="007B78B4"/>
    <w:rsid w:val="0090059A"/>
    <w:rsid w:val="00965675"/>
    <w:rsid w:val="00986A2A"/>
    <w:rsid w:val="009B0270"/>
    <w:rsid w:val="009B1EAB"/>
    <w:rsid w:val="00A220D3"/>
    <w:rsid w:val="00A720C1"/>
    <w:rsid w:val="00A90C32"/>
    <w:rsid w:val="00B50995"/>
    <w:rsid w:val="00F75E34"/>
    <w:rsid w:val="00F76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140C"/>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semiHidden/>
    <w:unhideWhenUsed/>
    <w:rsid w:val="000B140C"/>
    <w:pPr>
      <w:spacing w:after="0" w:line="240" w:lineRule="auto"/>
    </w:pPr>
    <w:rPr>
      <w:szCs w:val="20"/>
    </w:rPr>
  </w:style>
  <w:style w:type="character" w:customStyle="1" w:styleId="a4">
    <w:name w:val="טקסט הערת שוליים תו"/>
    <w:basedOn w:val="a1"/>
    <w:link w:val="a0"/>
    <w:uiPriority w:val="99"/>
    <w:semiHidden/>
    <w:rsid w:val="000B140C"/>
    <w:rPr>
      <w:rFonts w:ascii="David" w:hAnsi="David"/>
      <w:sz w:val="20"/>
      <w:szCs w:val="20"/>
    </w:rPr>
  </w:style>
  <w:style w:type="paragraph" w:customStyle="1" w:styleId="TableText">
    <w:name w:val="Table Text"/>
    <w:basedOn w:val="a"/>
    <w:rsid w:val="003B6604"/>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3B6604"/>
    <w:pPr>
      <w:ind w:right="0"/>
      <w:jc w:val="both"/>
    </w:pPr>
  </w:style>
  <w:style w:type="paragraph" w:customStyle="1" w:styleId="TableSideHeading">
    <w:name w:val="Table SideHeading"/>
    <w:basedOn w:val="TableText"/>
    <w:rsid w:val="003B6604"/>
  </w:style>
  <w:style w:type="paragraph" w:customStyle="1" w:styleId="TableBlockOutdent">
    <w:name w:val="Table BlockOutdent"/>
    <w:basedOn w:val="TableBlock"/>
    <w:rsid w:val="003B6604"/>
    <w:pPr>
      <w:ind w:left="624" w:hanging="624"/>
    </w:pPr>
  </w:style>
  <w:style w:type="paragraph" w:customStyle="1" w:styleId="p00">
    <w:name w:val="p00"/>
    <w:basedOn w:val="a"/>
    <w:rsid w:val="005E1FC5"/>
    <w:pPr>
      <w:bidi w:val="0"/>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default">
    <w:name w:val="default"/>
    <w:basedOn w:val="a1"/>
    <w:rsid w:val="005E1FC5"/>
  </w:style>
  <w:style w:type="character" w:customStyle="1" w:styleId="apple-converted-space">
    <w:name w:val="apple-converted-space"/>
    <w:basedOn w:val="a1"/>
    <w:rsid w:val="005E1FC5"/>
  </w:style>
  <w:style w:type="character" w:styleId="a5">
    <w:name w:val="footnote reference"/>
    <w:basedOn w:val="a1"/>
    <w:semiHidden/>
    <w:unhideWhenUsed/>
    <w:rsid w:val="005E1F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140C"/>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semiHidden/>
    <w:unhideWhenUsed/>
    <w:rsid w:val="000B140C"/>
    <w:pPr>
      <w:spacing w:after="0" w:line="240" w:lineRule="auto"/>
    </w:pPr>
    <w:rPr>
      <w:szCs w:val="20"/>
    </w:rPr>
  </w:style>
  <w:style w:type="character" w:customStyle="1" w:styleId="a4">
    <w:name w:val="טקסט הערת שוליים תו"/>
    <w:basedOn w:val="a1"/>
    <w:link w:val="a0"/>
    <w:uiPriority w:val="99"/>
    <w:semiHidden/>
    <w:rsid w:val="000B140C"/>
    <w:rPr>
      <w:rFonts w:ascii="David" w:hAnsi="David"/>
      <w:sz w:val="20"/>
      <w:szCs w:val="20"/>
    </w:rPr>
  </w:style>
  <w:style w:type="paragraph" w:customStyle="1" w:styleId="TableText">
    <w:name w:val="Table Text"/>
    <w:basedOn w:val="a"/>
    <w:rsid w:val="003B6604"/>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3B6604"/>
    <w:pPr>
      <w:ind w:right="0"/>
      <w:jc w:val="both"/>
    </w:pPr>
  </w:style>
  <w:style w:type="paragraph" w:customStyle="1" w:styleId="TableSideHeading">
    <w:name w:val="Table SideHeading"/>
    <w:basedOn w:val="TableText"/>
    <w:rsid w:val="003B6604"/>
  </w:style>
  <w:style w:type="paragraph" w:customStyle="1" w:styleId="TableBlockOutdent">
    <w:name w:val="Table BlockOutdent"/>
    <w:basedOn w:val="TableBlock"/>
    <w:rsid w:val="003B6604"/>
    <w:pPr>
      <w:ind w:left="624" w:hanging="624"/>
    </w:pPr>
  </w:style>
  <w:style w:type="paragraph" w:customStyle="1" w:styleId="p00">
    <w:name w:val="p00"/>
    <w:basedOn w:val="a"/>
    <w:rsid w:val="005E1FC5"/>
    <w:pPr>
      <w:bidi w:val="0"/>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default">
    <w:name w:val="default"/>
    <w:basedOn w:val="a1"/>
    <w:rsid w:val="005E1FC5"/>
  </w:style>
  <w:style w:type="character" w:customStyle="1" w:styleId="apple-converted-space">
    <w:name w:val="apple-converted-space"/>
    <w:basedOn w:val="a1"/>
    <w:rsid w:val="005E1FC5"/>
  </w:style>
  <w:style w:type="character" w:styleId="a5">
    <w:name w:val="footnote reference"/>
    <w:basedOn w:val="a1"/>
    <w:semiHidden/>
    <w:unhideWhenUsed/>
    <w:rsid w:val="005E1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C0952-BEC1-49AE-A920-585E00FF222E}"/>
</file>

<file path=customXml/itemProps2.xml><?xml version="1.0" encoding="utf-8"?>
<ds:datastoreItem xmlns:ds="http://schemas.openxmlformats.org/officeDocument/2006/customXml" ds:itemID="{CDE0C804-38F9-4A9F-86F3-0D9A33FFE252}"/>
</file>

<file path=customXml/itemProps3.xml><?xml version="1.0" encoding="utf-8"?>
<ds:datastoreItem xmlns:ds="http://schemas.openxmlformats.org/officeDocument/2006/customXml" ds:itemID="{888E2DE9-87FB-4EF9-ABDF-71B3B8314195}"/>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5247</Characters>
  <Application>Microsoft Office Word</Application>
  <DocSecurity>4</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dcterms:created xsi:type="dcterms:W3CDTF">2015-10-08T11:37:00Z</dcterms:created>
  <dcterms:modified xsi:type="dcterms:W3CDTF">2015-10-08T11:37:00Z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