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FB" w:rsidRPr="0000131B" w:rsidRDefault="003A18FB" w:rsidP="003A18FB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565124</w:t>
      </w:r>
      <w:bookmarkEnd w:id="0"/>
    </w:p>
    <w:p w:rsidR="003A18FB" w:rsidRPr="00DB7060" w:rsidRDefault="003A18FB" w:rsidP="003A18FB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:rsidR="003A18FB" w:rsidRPr="00F67051" w:rsidRDefault="003A18FB" w:rsidP="003A18FB">
      <w:pPr>
        <w:rPr>
          <w:rFonts w:cs="David"/>
          <w:b/>
          <w:bCs/>
          <w:sz w:val="26"/>
          <w:szCs w:val="26"/>
          <w:rtl/>
        </w:rPr>
      </w:pPr>
    </w:p>
    <w:p w:rsidR="003A18FB" w:rsidRDefault="003A18FB" w:rsidP="003A18FB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רועי פולקמן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טלי פלוסקוב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מנחם אליעזר מוזס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איילת נחמיאס ורבין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מכלוף מיקי זוהר</w:t>
      </w:r>
      <w:bookmarkEnd w:id="3"/>
    </w:p>
    <w:p w:rsidR="003A18FB" w:rsidRPr="00CF1AA2" w:rsidRDefault="003A18FB" w:rsidP="003A18FB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:rsidR="003A18FB" w:rsidRPr="00904591" w:rsidRDefault="003A18FB" w:rsidP="003A18FB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:rsidR="003A18FB" w:rsidRDefault="006B53FF" w:rsidP="003A18FB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>פ/1749/20</w:t>
      </w:r>
    </w:p>
    <w:p w:rsidR="003A18FB" w:rsidRPr="00F67051" w:rsidRDefault="003A18FB" w:rsidP="003A18FB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חובת המכרזים (תיקון – העדפה במכרזים לעסקים קטנים ובינוניים), התשע"ה–2015</w:t>
      </w:r>
      <w:bookmarkEnd w:id="6"/>
    </w:p>
    <w:p w:rsidR="003A18FB" w:rsidRDefault="003A18FB" w:rsidP="003A18FB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624"/>
        <w:gridCol w:w="6520"/>
      </w:tblGrid>
      <w:tr w:rsidR="003A18FB" w:rsidRPr="00137927" w:rsidTr="008C0F00">
        <w:trPr>
          <w:cantSplit/>
        </w:trPr>
        <w:tc>
          <w:tcPr>
            <w:tcW w:w="1870" w:type="dxa"/>
          </w:tcPr>
          <w:p w:rsidR="003A18FB" w:rsidRPr="003D1696" w:rsidRDefault="003A18FB" w:rsidP="008C0F00">
            <w:pPr>
              <w:pStyle w:val="TableSideHeading"/>
              <w:keepLines w:val="0"/>
              <w:rPr>
                <w:snapToGrid/>
                <w:rtl/>
              </w:rPr>
            </w:pPr>
            <w:r>
              <w:rPr>
                <w:rFonts w:hint="cs"/>
                <w:snapToGrid/>
                <w:rtl/>
              </w:rPr>
              <w:t>תיקון סעיף 3א</w:t>
            </w:r>
          </w:p>
        </w:tc>
        <w:tc>
          <w:tcPr>
            <w:tcW w:w="624" w:type="dxa"/>
          </w:tcPr>
          <w:p w:rsidR="003A18FB" w:rsidRPr="003D1696" w:rsidRDefault="003A18FB" w:rsidP="008C0F00">
            <w:pPr>
              <w:pStyle w:val="TableText"/>
              <w:rPr>
                <w:snapToGrid/>
                <w:rtl/>
              </w:rPr>
            </w:pPr>
            <w:r>
              <w:rPr>
                <w:rFonts w:hint="cs"/>
                <w:snapToGrid/>
                <w:rtl/>
              </w:rPr>
              <w:t xml:space="preserve">1. </w:t>
            </w:r>
          </w:p>
        </w:tc>
        <w:tc>
          <w:tcPr>
            <w:tcW w:w="7144" w:type="dxa"/>
            <w:gridSpan w:val="2"/>
          </w:tcPr>
          <w:p w:rsidR="003A18FB" w:rsidRPr="00667CBE" w:rsidRDefault="003A18FB" w:rsidP="008C0F0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חובת המכרזים, התשנ"ב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1992</w:t>
            </w:r>
            <w:r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החוק העיקרי), בסעיף 3א, אחרי סעיף קטן (א1) יבוא: </w:t>
            </w:r>
          </w:p>
        </w:tc>
      </w:tr>
      <w:tr w:rsidR="003A18FB" w:rsidTr="008C0F0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3A18FB" w:rsidRDefault="003A18FB" w:rsidP="008C0F00">
            <w:pPr>
              <w:pStyle w:val="TableSideHeading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</w:pPr>
            <w:r>
              <w:rPr>
                <w:rFonts w:hint="cs"/>
                <w:rtl/>
              </w:rPr>
              <w:t>"(א2)</w:t>
            </w:r>
          </w:p>
        </w:tc>
        <w:tc>
          <w:tcPr>
            <w:tcW w:w="6520" w:type="dxa"/>
          </w:tcPr>
          <w:p w:rsidR="003A18FB" w:rsidRDefault="003A18FB" w:rsidP="008C0F00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העדפה של עסקים זעירים, קטנים ובינוניים הפועלים במדינת ישראל; לעניין זה</w:t>
            </w:r>
            <w:r w:rsidR="006B53FF">
              <w:rPr>
                <w:rFonts w:hint="cs"/>
                <w:rtl/>
              </w:rPr>
              <w:t xml:space="preserve">, עסקים זעירים, קטנים ובינוניים </w:t>
            </w:r>
            <w:r w:rsidR="006B53FF">
              <w:rPr>
                <w:rFonts w:hint="eastAsia"/>
                <w:rtl/>
              </w:rPr>
              <w:t>–</w:t>
            </w:r>
            <w:r w:rsidR="006B53F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כהגדרתם בתקנות.</w:t>
            </w:r>
          </w:p>
        </w:tc>
      </w:tr>
      <w:tr w:rsidR="003A18FB" w:rsidTr="008C0F0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3A18FB" w:rsidRDefault="003A18FB" w:rsidP="008C0F00">
            <w:pPr>
              <w:pStyle w:val="TableSideHeading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  <w:rPr>
                <w:rtl/>
              </w:rPr>
            </w:pPr>
          </w:p>
        </w:tc>
        <w:tc>
          <w:tcPr>
            <w:tcW w:w="6520" w:type="dxa"/>
          </w:tcPr>
          <w:p w:rsidR="003A18FB" w:rsidRDefault="003A18FB" w:rsidP="006B53F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667CBE">
              <w:rPr>
                <w:rFonts w:hint="cs"/>
                <w:rtl/>
              </w:rPr>
              <w:t>קבע עורך המכרז כי אופיו או מהותו של המכרז אינ</w:t>
            </w:r>
            <w:r>
              <w:rPr>
                <w:rFonts w:hint="cs"/>
                <w:rtl/>
              </w:rPr>
              <w:t xml:space="preserve">ם מאפשרים לנהוג כאמור </w:t>
            </w:r>
            <w:r w:rsidR="006B53FF">
              <w:rPr>
                <w:rFonts w:hint="cs"/>
                <w:rtl/>
              </w:rPr>
              <w:t>בפסקה (1)</w:t>
            </w:r>
            <w:r>
              <w:rPr>
                <w:rFonts w:hint="cs"/>
                <w:rtl/>
              </w:rPr>
              <w:t>, ינמק את החלטתו במסמכי המכרז.</w:t>
            </w:r>
          </w:p>
        </w:tc>
      </w:tr>
      <w:tr w:rsidR="003A18FB" w:rsidTr="008C0F00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3A18FB" w:rsidRDefault="003A18FB" w:rsidP="008C0F00">
            <w:pPr>
              <w:pStyle w:val="TableSideHeading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</w:pPr>
          </w:p>
        </w:tc>
        <w:tc>
          <w:tcPr>
            <w:tcW w:w="624" w:type="dxa"/>
          </w:tcPr>
          <w:p w:rsidR="003A18FB" w:rsidRDefault="003A18FB" w:rsidP="008C0F00">
            <w:pPr>
              <w:pStyle w:val="TableText"/>
              <w:rPr>
                <w:rtl/>
              </w:rPr>
            </w:pPr>
          </w:p>
        </w:tc>
        <w:tc>
          <w:tcPr>
            <w:tcW w:w="6520" w:type="dxa"/>
          </w:tcPr>
          <w:p w:rsidR="003A18FB" w:rsidRDefault="003A18FB" w:rsidP="008C0F0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פורסם מכרז</w:t>
            </w:r>
            <w:r w:rsidRPr="000838CA">
              <w:rPr>
                <w:rFonts w:hint="cs"/>
                <w:rtl/>
              </w:rPr>
              <w:t xml:space="preserve"> לפי הוראות חוק זה, ולאחר שקלול התוצאות, קיבלו שתי הצעות או יותר תוצאה משוקללת זהה שהיא התוצאה הגבוהה ביותר, ואחת מן ההצעות היא של עסק זעיר</w:t>
            </w:r>
            <w:r>
              <w:rPr>
                <w:rFonts w:hint="cs"/>
                <w:rtl/>
              </w:rPr>
              <w:t>,</w:t>
            </w:r>
            <w:r w:rsidRPr="000838CA">
              <w:rPr>
                <w:rFonts w:hint="cs"/>
                <w:rtl/>
              </w:rPr>
              <w:t xml:space="preserve"> קטן או בינוני, תיבחר ההצעה האמורה כזוכה במכרז</w:t>
            </w:r>
            <w:r>
              <w:rPr>
                <w:rFonts w:hint="cs"/>
                <w:rtl/>
              </w:rPr>
              <w:t>."</w:t>
            </w:r>
          </w:p>
        </w:tc>
      </w:tr>
      <w:tr w:rsidR="00780041" w:rsidTr="00C03E7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780041" w:rsidRDefault="00780041" w:rsidP="008C0F00">
            <w:pPr>
              <w:pStyle w:val="TableSideHeading"/>
            </w:pPr>
            <w:r>
              <w:rPr>
                <w:rFonts w:hint="cs"/>
                <w:rtl/>
              </w:rPr>
              <w:t>חובת התקנת תקנות</w:t>
            </w:r>
          </w:p>
        </w:tc>
        <w:tc>
          <w:tcPr>
            <w:tcW w:w="624" w:type="dxa"/>
          </w:tcPr>
          <w:p w:rsidR="00780041" w:rsidRDefault="00780041" w:rsidP="008C0F00">
            <w:pPr>
              <w:pStyle w:val="TableText"/>
            </w:pPr>
            <w:r>
              <w:rPr>
                <w:rFonts w:hint="cs"/>
                <w:rtl/>
              </w:rPr>
              <w:t xml:space="preserve">2. </w:t>
            </w:r>
          </w:p>
        </w:tc>
        <w:tc>
          <w:tcPr>
            <w:tcW w:w="7144" w:type="dxa"/>
            <w:gridSpan w:val="2"/>
          </w:tcPr>
          <w:p w:rsidR="00780041" w:rsidRDefault="00780041" w:rsidP="008C0F0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הממשלה תביא לאישור ועדת החוקה חוק ומשפט של הכנסת תקנות לפי סעיף 3א(א2) לחוק העיקרי, כנוסחו בסעיף 1 לחוק זה, בתוך שלושה חודשים מיום תחילתו של חוק זה.</w:t>
            </w:r>
          </w:p>
        </w:tc>
      </w:tr>
    </w:tbl>
    <w:p w:rsidR="006B53FF" w:rsidRDefault="006B53FF" w:rsidP="003A18FB">
      <w:pPr>
        <w:pStyle w:val="HeadDivreiHesber"/>
        <w:rPr>
          <w:rtl/>
        </w:rPr>
      </w:pPr>
    </w:p>
    <w:p w:rsidR="003A18FB" w:rsidRDefault="003A18FB" w:rsidP="003A18FB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="003A18FB" w:rsidRDefault="003A18FB" w:rsidP="00283B63">
      <w:pPr>
        <w:pStyle w:val="Hesber"/>
        <w:rPr>
          <w:rtl/>
        </w:rPr>
      </w:pPr>
      <w:r w:rsidRPr="0012442E">
        <w:rPr>
          <w:rtl/>
        </w:rPr>
        <w:t>עסקים</w:t>
      </w:r>
      <w:r w:rsidR="005D5243">
        <w:rPr>
          <w:rFonts w:hint="cs"/>
          <w:rtl/>
        </w:rPr>
        <w:t xml:space="preserve"> זעירים,</w:t>
      </w:r>
      <w:r w:rsidRPr="0012442E">
        <w:rPr>
          <w:rtl/>
        </w:rPr>
        <w:t xml:space="preserve"> קטנים ובינוניים מהווים את אחד היסודות החשובים ביותר של הכלכלה המודרנית. על פי נתוני הלשכה המרכזית לסטטיסטיקה פועלים היום בישראל כ-210 אלף עסקים זעירים, קטנים ובינוניים</w:t>
      </w:r>
      <w:r w:rsidRPr="00843BCB">
        <w:rPr>
          <w:rFonts w:hint="cs"/>
          <w:rtl/>
        </w:rPr>
        <w:t xml:space="preserve"> (להלן</w:t>
      </w:r>
      <w:r w:rsidR="00283B63">
        <w:rPr>
          <w:rFonts w:hint="cs"/>
          <w:rtl/>
        </w:rPr>
        <w:t xml:space="preserve"> </w:t>
      </w:r>
      <w:r w:rsidR="00283B63">
        <w:rPr>
          <w:rtl/>
        </w:rPr>
        <w:t>–</w:t>
      </w:r>
      <w:r w:rsidR="00283B63">
        <w:rPr>
          <w:rFonts w:hint="cs"/>
          <w:rtl/>
        </w:rPr>
        <w:t xml:space="preserve"> </w:t>
      </w:r>
      <w:r w:rsidR="006B53FF">
        <w:rPr>
          <w:rFonts w:hint="cs"/>
          <w:rtl/>
        </w:rPr>
        <w:t xml:space="preserve">עסקים </w:t>
      </w:r>
      <w:r w:rsidRPr="00843BCB">
        <w:rPr>
          <w:rFonts w:hint="cs"/>
          <w:rtl/>
        </w:rPr>
        <w:t>קטנים)</w:t>
      </w:r>
      <w:r w:rsidR="00283B63">
        <w:rPr>
          <w:rFonts w:hint="cs"/>
          <w:rtl/>
        </w:rPr>
        <w:t xml:space="preserve">. עסקים קטנים </w:t>
      </w:r>
      <w:r w:rsidRPr="00843BCB">
        <w:rPr>
          <w:rFonts w:hint="cs"/>
          <w:rtl/>
        </w:rPr>
        <w:t xml:space="preserve">כמעט שאינם זוכים להנות מהנתח העצום של העבודות והשירותים המוזמנים על ידי המדינה </w:t>
      </w:r>
      <w:r>
        <w:rPr>
          <w:rFonts w:hint="cs"/>
          <w:rtl/>
        </w:rPr>
        <w:t xml:space="preserve">או תאגידיה. </w:t>
      </w:r>
      <w:r w:rsidR="006B53FF">
        <w:rPr>
          <w:rFonts w:hint="cs"/>
          <w:rtl/>
        </w:rPr>
        <w:t xml:space="preserve">שיתוף עסקים </w:t>
      </w:r>
      <w:r w:rsidRPr="00843BCB">
        <w:rPr>
          <w:rFonts w:hint="cs"/>
          <w:rtl/>
        </w:rPr>
        <w:t xml:space="preserve">קטנים במכרזים </w:t>
      </w:r>
      <w:r w:rsidR="00283B63">
        <w:rPr>
          <w:rFonts w:hint="cs"/>
          <w:rtl/>
        </w:rPr>
        <w:t>אלה</w:t>
      </w:r>
      <w:r w:rsidRPr="00843BCB">
        <w:rPr>
          <w:rFonts w:hint="cs"/>
          <w:rtl/>
        </w:rPr>
        <w:t xml:space="preserve"> יגרום לחלוקה </w:t>
      </w:r>
      <w:r w:rsidR="006B53FF">
        <w:rPr>
          <w:rFonts w:hint="cs"/>
          <w:rtl/>
        </w:rPr>
        <w:t>שוויונית יותר של העוגה הלאומית ו</w:t>
      </w:r>
      <w:r w:rsidRPr="00843BCB">
        <w:rPr>
          <w:rFonts w:hint="cs"/>
          <w:rtl/>
        </w:rPr>
        <w:t xml:space="preserve">למיצוי טוב יותר של הפוטנציאל הגלום בהם ויתרום לצמיחה מואצת של המשק. </w:t>
      </w:r>
    </w:p>
    <w:p w:rsidR="003F424A" w:rsidRDefault="003A18FB" w:rsidP="006B53FF">
      <w:pPr>
        <w:pStyle w:val="Hesber"/>
        <w:rPr>
          <w:rtl/>
        </w:rPr>
      </w:pPr>
      <w:r w:rsidRPr="00843BCB">
        <w:rPr>
          <w:rFonts w:hint="cs"/>
          <w:rtl/>
        </w:rPr>
        <w:t xml:space="preserve">נוסף </w:t>
      </w:r>
      <w:r w:rsidR="006B53FF">
        <w:rPr>
          <w:rFonts w:hint="cs"/>
          <w:rtl/>
        </w:rPr>
        <w:t>ע</w:t>
      </w:r>
      <w:r w:rsidRPr="00843BCB">
        <w:rPr>
          <w:rFonts w:hint="cs"/>
          <w:rtl/>
        </w:rPr>
        <w:t>ל</w:t>
      </w:r>
      <w:r w:rsidR="006B53FF">
        <w:rPr>
          <w:rFonts w:hint="cs"/>
          <w:rtl/>
        </w:rPr>
        <w:t xml:space="preserve"> </w:t>
      </w:r>
      <w:r w:rsidRPr="00843BCB">
        <w:rPr>
          <w:rFonts w:hint="cs"/>
          <w:rtl/>
        </w:rPr>
        <w:t>כך, הרחבת מעגל המציעים במכרזים עשויה לצמצם את עלויות הסחורות, העבודות והשירותים המוזמנים על ידי המדינה, לתועלת הקופה הציבורית. צעד חשוב בכיוון זה נעשה בחוק חובת המכרזים (תיקון מס' 19), התשס"ח</w:t>
      </w:r>
      <w:r>
        <w:rPr>
          <w:rtl/>
        </w:rPr>
        <w:t>–</w:t>
      </w:r>
      <w:r>
        <w:rPr>
          <w:rFonts w:hint="cs"/>
          <w:rtl/>
        </w:rPr>
        <w:t>2008.</w:t>
      </w:r>
      <w:r w:rsidRPr="00843BCB">
        <w:rPr>
          <w:rFonts w:hint="cs"/>
          <w:rtl/>
        </w:rPr>
        <w:t xml:space="preserve"> מטרת</w:t>
      </w:r>
      <w:r>
        <w:rPr>
          <w:rFonts w:hint="cs"/>
          <w:rtl/>
        </w:rPr>
        <w:t xml:space="preserve"> </w:t>
      </w:r>
      <w:r w:rsidR="006B53FF">
        <w:rPr>
          <w:rFonts w:hint="cs"/>
          <w:rtl/>
        </w:rPr>
        <w:t>אותו החוק היתה</w:t>
      </w:r>
      <w:r w:rsidRPr="00843BCB">
        <w:rPr>
          <w:rFonts w:hint="cs"/>
          <w:rtl/>
        </w:rPr>
        <w:t xml:space="preserve"> להסיר חסמים מיותרים שמ</w:t>
      </w:r>
      <w:r w:rsidR="006B53FF">
        <w:rPr>
          <w:rFonts w:hint="cs"/>
          <w:rtl/>
        </w:rPr>
        <w:t>נעו</w:t>
      </w:r>
      <w:r w:rsidRPr="00843BCB">
        <w:rPr>
          <w:rFonts w:hint="cs"/>
          <w:rtl/>
        </w:rPr>
        <w:t xml:space="preserve"> מסקטור העסקים הקטנ</w:t>
      </w:r>
      <w:r w:rsidR="005D5243">
        <w:rPr>
          <w:rFonts w:hint="cs"/>
          <w:rtl/>
        </w:rPr>
        <w:t>ים מלהשתתף ולזכות במכרזי הממשלה. החסמים שנותרו עדיין מכבידים מאד על העסקים הקטנים והם עלולים לגרום להחטאת המטרה.</w:t>
      </w:r>
      <w:r w:rsidRPr="00843BCB">
        <w:rPr>
          <w:rFonts w:hint="cs"/>
          <w:rtl/>
        </w:rPr>
        <w:t xml:space="preserve"> </w:t>
      </w:r>
      <w:r w:rsidR="00283B63">
        <w:rPr>
          <w:rFonts w:hint="cs"/>
          <w:rtl/>
        </w:rPr>
        <w:t>מטרת הצעת החוק</w:t>
      </w:r>
      <w:r w:rsidR="003F424A">
        <w:rPr>
          <w:rFonts w:hint="cs"/>
          <w:rtl/>
        </w:rPr>
        <w:t xml:space="preserve"> </w:t>
      </w:r>
      <w:r w:rsidR="005D5243">
        <w:rPr>
          <w:rFonts w:hint="cs"/>
          <w:rtl/>
        </w:rPr>
        <w:t>היא</w:t>
      </w:r>
      <w:r w:rsidRPr="00843BCB">
        <w:rPr>
          <w:rFonts w:hint="cs"/>
          <w:rtl/>
        </w:rPr>
        <w:t xml:space="preserve"> </w:t>
      </w:r>
      <w:r>
        <w:rPr>
          <w:rFonts w:hint="cs"/>
          <w:rtl/>
        </w:rPr>
        <w:t>ליצור העדפה לעסקים קטנים במכרזי המדינה על ידי התקנת תקנות שיתנו עדיפות לעסקים קטנים ובכך יגדילו את נתח המכרזים</w:t>
      </w:r>
      <w:r w:rsidR="003F424A">
        <w:rPr>
          <w:rFonts w:hint="cs"/>
          <w:rtl/>
        </w:rPr>
        <w:t xml:space="preserve">. </w:t>
      </w:r>
      <w:r w:rsidR="005D5243">
        <w:rPr>
          <w:rFonts w:hint="cs"/>
          <w:rtl/>
        </w:rPr>
        <w:t xml:space="preserve">נוסף </w:t>
      </w:r>
      <w:r w:rsidR="006B53FF">
        <w:rPr>
          <w:rFonts w:hint="cs"/>
          <w:rtl/>
        </w:rPr>
        <w:t>ע</w:t>
      </w:r>
      <w:r w:rsidR="005D5243">
        <w:rPr>
          <w:rFonts w:hint="cs"/>
          <w:rtl/>
        </w:rPr>
        <w:t>ל</w:t>
      </w:r>
      <w:r w:rsidR="006B53FF">
        <w:rPr>
          <w:rFonts w:hint="cs"/>
          <w:rtl/>
        </w:rPr>
        <w:t xml:space="preserve"> </w:t>
      </w:r>
      <w:r w:rsidR="005D5243">
        <w:rPr>
          <w:rFonts w:hint="cs"/>
          <w:rtl/>
        </w:rPr>
        <w:t>כך</w:t>
      </w:r>
      <w:r>
        <w:rPr>
          <w:rFonts w:hint="cs"/>
          <w:rtl/>
        </w:rPr>
        <w:t xml:space="preserve"> </w:t>
      </w:r>
      <w:r w:rsidR="006B53FF">
        <w:rPr>
          <w:rFonts w:hint="cs"/>
          <w:rtl/>
        </w:rPr>
        <w:t xml:space="preserve">מוצע </w:t>
      </w:r>
      <w:r w:rsidR="005D5243">
        <w:rPr>
          <w:rFonts w:hint="cs"/>
          <w:rtl/>
        </w:rPr>
        <w:t xml:space="preserve">לתת העדפה </w:t>
      </w:r>
      <w:r w:rsidR="00283B63">
        <w:rPr>
          <w:rFonts w:hint="cs"/>
          <w:rtl/>
        </w:rPr>
        <w:t xml:space="preserve">לעסקים קטנים </w:t>
      </w:r>
      <w:r w:rsidR="003F424A">
        <w:rPr>
          <w:rFonts w:hint="cs"/>
          <w:rtl/>
        </w:rPr>
        <w:t>שקיבלו את התוצאה הגבוה ביותר בשקלול הסופי</w:t>
      </w:r>
      <w:r w:rsidR="00364E01">
        <w:rPr>
          <w:rFonts w:hint="cs"/>
          <w:rtl/>
        </w:rPr>
        <w:t xml:space="preserve"> במכרז</w:t>
      </w:r>
      <w:r w:rsidR="003F424A">
        <w:rPr>
          <w:rFonts w:hint="cs"/>
          <w:rtl/>
        </w:rPr>
        <w:t xml:space="preserve">, על פני עסקים אחרים שקיבלו תוצאה זהה. </w:t>
      </w:r>
    </w:p>
    <w:p w:rsidR="003A18FB" w:rsidRDefault="003A18FB" w:rsidP="003A18FB">
      <w:pPr>
        <w:pStyle w:val="Hesber"/>
        <w:rPr>
          <w:rtl/>
        </w:rPr>
      </w:pPr>
    </w:p>
    <w:p w:rsidR="006B53FF" w:rsidRDefault="006B53FF" w:rsidP="003A18FB">
      <w:pPr>
        <w:pStyle w:val="Hesber"/>
        <w:rPr>
          <w:rtl/>
        </w:rPr>
      </w:pPr>
    </w:p>
    <w:p w:rsidR="006B53FF" w:rsidRPr="002E331C" w:rsidRDefault="006B53FF" w:rsidP="003A18FB">
      <w:pPr>
        <w:pStyle w:val="Hesber"/>
        <w:rPr>
          <w:rtl/>
        </w:rPr>
      </w:pPr>
    </w:p>
    <w:p w:rsidR="006B53FF" w:rsidRDefault="006B53FF" w:rsidP="006B53FF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6B53FF" w:rsidRDefault="006B53FF" w:rsidP="006B53FF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6B53FF" w:rsidRDefault="006B53FF" w:rsidP="006B53FF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6B53FF" w:rsidRDefault="006B53FF" w:rsidP="006B53FF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ד'  באב התשע"ה – 20.7.15</w:t>
      </w:r>
    </w:p>
    <w:p w:rsidR="006B53FF" w:rsidRDefault="006B53FF" w:rsidP="006B53FF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</w:p>
    <w:p w:rsidR="006B53FF" w:rsidRDefault="006B53FF" w:rsidP="006B53FF">
      <w:pPr>
        <w:rPr>
          <w:rtl/>
        </w:rPr>
      </w:pPr>
    </w:p>
    <w:p w:rsidR="00E13C27" w:rsidRPr="003A18FB" w:rsidRDefault="00E13C27" w:rsidP="003A18FB">
      <w:pPr>
        <w:rPr>
          <w:rtl/>
        </w:rPr>
      </w:pPr>
    </w:p>
    <w:sectPr w:rsidR="00E13C27" w:rsidRPr="003A18FB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FD" w:rsidRDefault="00631FFD">
      <w:r>
        <w:separator/>
      </w:r>
    </w:p>
  </w:endnote>
  <w:endnote w:type="continuationSeparator" w:id="0">
    <w:p w:rsidR="00631FFD" w:rsidRDefault="00631FFD">
      <w:r>
        <w:continuationSeparator/>
      </w:r>
    </w:p>
  </w:endnote>
  <w:endnote w:type="continuationNotice" w:id="1">
    <w:p w:rsidR="00631FFD" w:rsidRDefault="00631FF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47191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FD" w:rsidRDefault="00631FFD">
      <w:r>
        <w:separator/>
      </w:r>
    </w:p>
  </w:footnote>
  <w:footnote w:type="continuationSeparator" w:id="0">
    <w:p w:rsidR="00631FFD" w:rsidRDefault="00631FFD">
      <w:r>
        <w:continuationSeparator/>
      </w:r>
    </w:p>
  </w:footnote>
  <w:footnote w:type="continuationNotice" w:id="1">
    <w:p w:rsidR="00631FFD" w:rsidRDefault="00631FFD"/>
  </w:footnote>
  <w:footnote w:id="2">
    <w:p w:rsidR="003A18FB" w:rsidRDefault="003A18FB" w:rsidP="003A18FB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התשנ"ב, עמ' 114.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906F0"/>
    <w:multiLevelType w:val="hybridMultilevel"/>
    <w:tmpl w:val="530EC46C"/>
    <w:lvl w:ilvl="0" w:tplc="D12E5BC0">
      <w:start w:val="1"/>
      <w:numFmt w:val="hebrew1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7115F"/>
    <w:multiLevelType w:val="hybridMultilevel"/>
    <w:tmpl w:val="D162386E"/>
    <w:lvl w:ilvl="0" w:tplc="036EE1A4">
      <w:start w:val="1"/>
      <w:numFmt w:val="hebrew1"/>
      <w:lvlText w:val="(%1)"/>
      <w:lvlJc w:val="left"/>
      <w:pPr>
        <w:ind w:left="4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93C49"/>
    <w:rsid w:val="000A542E"/>
    <w:rsid w:val="000D2055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3B63"/>
    <w:rsid w:val="00292712"/>
    <w:rsid w:val="002A487D"/>
    <w:rsid w:val="002C2E29"/>
    <w:rsid w:val="002C3041"/>
    <w:rsid w:val="002D1EE3"/>
    <w:rsid w:val="002E331C"/>
    <w:rsid w:val="002F1D80"/>
    <w:rsid w:val="00316328"/>
    <w:rsid w:val="003232A2"/>
    <w:rsid w:val="00325C14"/>
    <w:rsid w:val="0036422C"/>
    <w:rsid w:val="00364E01"/>
    <w:rsid w:val="003710F6"/>
    <w:rsid w:val="00386E88"/>
    <w:rsid w:val="00396585"/>
    <w:rsid w:val="003A18FB"/>
    <w:rsid w:val="003D1696"/>
    <w:rsid w:val="003D6E38"/>
    <w:rsid w:val="003D74A0"/>
    <w:rsid w:val="003F424A"/>
    <w:rsid w:val="004033D8"/>
    <w:rsid w:val="004073F0"/>
    <w:rsid w:val="00412A7D"/>
    <w:rsid w:val="00416B4D"/>
    <w:rsid w:val="00417CFC"/>
    <w:rsid w:val="0047191A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D5243"/>
    <w:rsid w:val="0062674B"/>
    <w:rsid w:val="00631FFD"/>
    <w:rsid w:val="006363B2"/>
    <w:rsid w:val="00644940"/>
    <w:rsid w:val="006818A9"/>
    <w:rsid w:val="006A2D81"/>
    <w:rsid w:val="006B53FF"/>
    <w:rsid w:val="006C1D0D"/>
    <w:rsid w:val="0070601E"/>
    <w:rsid w:val="00712C72"/>
    <w:rsid w:val="00735FE9"/>
    <w:rsid w:val="00763CAA"/>
    <w:rsid w:val="00765F66"/>
    <w:rsid w:val="00780041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BCB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5778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3766F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C20BF"/>
    <w:rsid w:val="00ED4A6F"/>
    <w:rsid w:val="00EF3A3A"/>
    <w:rsid w:val="00F628D6"/>
    <w:rsid w:val="00F67051"/>
    <w:rsid w:val="00F86A1E"/>
    <w:rsid w:val="00FA5E88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NormalWeb">
    <w:name w:val="Normal (Web)"/>
    <w:basedOn w:val="a"/>
    <w:rsid w:val="00EC20BF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  <w:style w:type="paragraph" w:styleId="ad">
    <w:name w:val="Body Text"/>
    <w:basedOn w:val="a"/>
    <w:link w:val="ae"/>
    <w:rsid w:val="00843BCB"/>
    <w:pPr>
      <w:widowControl/>
      <w:autoSpaceDE/>
      <w:autoSpaceDN/>
      <w:adjustRightInd/>
      <w:spacing w:before="0" w:line="240" w:lineRule="auto"/>
      <w:ind w:firstLine="0"/>
      <w:jc w:val="center"/>
      <w:textAlignment w:val="auto"/>
    </w:pPr>
    <w:rPr>
      <w:rFonts w:ascii="Times New Roman" w:eastAsia="Times New Roman" w:hAnsi="Times New Roman" w:cs="David"/>
      <w:color w:val="auto"/>
      <w:spacing w:val="0"/>
      <w:sz w:val="26"/>
      <w:szCs w:val="26"/>
      <w:lang w:eastAsia="he-IL"/>
    </w:rPr>
  </w:style>
  <w:style w:type="character" w:customStyle="1" w:styleId="ae">
    <w:name w:val="גוף טקסט תו"/>
    <w:basedOn w:val="a0"/>
    <w:link w:val="ad"/>
    <w:rsid w:val="00843BCB"/>
    <w:rPr>
      <w:rFonts w:eastAsia="Times New Roman" w:cs="David"/>
      <w:sz w:val="26"/>
      <w:szCs w:val="26"/>
      <w:lang w:eastAsia="he-IL"/>
    </w:rPr>
  </w:style>
  <w:style w:type="paragraph" w:styleId="af">
    <w:name w:val="List Paragraph"/>
    <w:basedOn w:val="a"/>
    <w:uiPriority w:val="34"/>
    <w:qFormat/>
    <w:rsid w:val="002E3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NormalWeb">
    <w:name w:val="Normal (Web)"/>
    <w:basedOn w:val="a"/>
    <w:rsid w:val="00EC20BF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  <w:style w:type="paragraph" w:styleId="ad">
    <w:name w:val="Body Text"/>
    <w:basedOn w:val="a"/>
    <w:link w:val="ae"/>
    <w:rsid w:val="00843BCB"/>
    <w:pPr>
      <w:widowControl/>
      <w:autoSpaceDE/>
      <w:autoSpaceDN/>
      <w:adjustRightInd/>
      <w:spacing w:before="0" w:line="240" w:lineRule="auto"/>
      <w:ind w:firstLine="0"/>
      <w:jc w:val="center"/>
      <w:textAlignment w:val="auto"/>
    </w:pPr>
    <w:rPr>
      <w:rFonts w:ascii="Times New Roman" w:eastAsia="Times New Roman" w:hAnsi="Times New Roman" w:cs="David"/>
      <w:color w:val="auto"/>
      <w:spacing w:val="0"/>
      <w:sz w:val="26"/>
      <w:szCs w:val="26"/>
      <w:lang w:eastAsia="he-IL"/>
    </w:rPr>
  </w:style>
  <w:style w:type="character" w:customStyle="1" w:styleId="ae">
    <w:name w:val="גוף טקסט תו"/>
    <w:basedOn w:val="a0"/>
    <w:link w:val="ad"/>
    <w:rsid w:val="00843BCB"/>
    <w:rPr>
      <w:rFonts w:eastAsia="Times New Roman" w:cs="David"/>
      <w:sz w:val="26"/>
      <w:szCs w:val="26"/>
      <w:lang w:eastAsia="he-IL"/>
    </w:rPr>
  </w:style>
  <w:style w:type="paragraph" w:styleId="af">
    <w:name w:val="List Paragraph"/>
    <w:basedOn w:val="a"/>
    <w:uiPriority w:val="34"/>
    <w:qFormat/>
    <w:rsid w:val="002E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83B3E-9D73-40FF-9C4B-649A1A16ABBC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customXml/itemProps4.xml><?xml version="1.0" encoding="utf-8"?>
<ds:datastoreItem xmlns:ds="http://schemas.openxmlformats.org/officeDocument/2006/customXml" ds:itemID="{CA230767-3D8B-483A-A6F1-D5DB7F0A5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389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9</cp:revision>
  <cp:lastPrinted>2015-07-15T10:41:00Z</cp:lastPrinted>
  <dcterms:created xsi:type="dcterms:W3CDTF">2015-04-20T09:58:00Z</dcterms:created>
  <dcterms:modified xsi:type="dcterms:W3CDTF">2015-07-15T10:41:00Z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565124</vt:r8>
  </property>
</Properties>
</file>