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FF660E" w:rsidRDefault="004033D8" w:rsidP="002C2E29">
      <w:pPr>
        <w:pStyle w:val="HeadHatzaotHok"/>
        <w:jc w:val="right"/>
        <w:rPr>
          <w:b w:val="0"/>
          <w:bCs w:val="0"/>
          <w:szCs w:val="20"/>
        </w:rPr>
      </w:pPr>
      <w:r w:rsidRPr="00FF660E">
        <w:rPr>
          <w:rFonts w:hint="cs"/>
          <w:b w:val="0"/>
          <w:bCs w:val="0"/>
          <w:szCs w:val="20"/>
          <w:rtl/>
        </w:rPr>
        <w:t xml:space="preserve">מספר פנימי: </w:t>
      </w:r>
      <w:bookmarkStart w:id="0" w:name="ItemID"/>
      <w:r w:rsidR="0054209A" w:rsidRPr="00FF660E">
        <w:rPr>
          <w:b w:val="0"/>
          <w:bCs w:val="0"/>
          <w:szCs w:val="20"/>
          <w:rtl/>
        </w:rPr>
        <w:t>557290</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54209A" w:rsidRPr="0054209A">
        <w:rPr>
          <w:sz w:val="28"/>
          <w:szCs w:val="28"/>
          <w:rtl/>
        </w:rPr>
        <w:t>התשע-עשרה</w:t>
      </w:r>
      <w:bookmarkEnd w:id="1"/>
    </w:p>
    <w:p w:rsidR="00E13C27" w:rsidRDefault="00E13C27" w:rsidP="00E13C27">
      <w:pPr>
        <w:rPr>
          <w:rFonts w:cs="David"/>
          <w:sz w:val="26"/>
          <w:szCs w:val="26"/>
          <w:rtl/>
        </w:rPr>
      </w:pPr>
    </w:p>
    <w:p w:rsidR="000C2C06" w:rsidRPr="003654D9" w:rsidRDefault="00F230C5" w:rsidP="0091204F">
      <w:pPr>
        <w:pStyle w:val="David"/>
        <w:ind w:left="2880" w:firstLine="663"/>
        <w:rPr>
          <w:b/>
          <w:bCs/>
        </w:rPr>
      </w:pPr>
      <w:bookmarkStart w:id="2" w:name="MKsSingleOrMulti"/>
      <w:r w:rsidRPr="003654D9">
        <w:rPr>
          <w:b/>
          <w:bCs/>
          <w:rtl/>
        </w:rPr>
        <w:t>יוזמים:      חברי הכנסת</w:t>
      </w:r>
      <w:bookmarkEnd w:id="2"/>
      <w:r w:rsidR="00B35784" w:rsidRPr="003654D9">
        <w:rPr>
          <w:b/>
          <w:bCs/>
        </w:rPr>
        <w:tab/>
      </w:r>
      <w:bookmarkStart w:id="3" w:name="MKs"/>
      <w:r w:rsidR="000C2C06" w:rsidRPr="003654D9">
        <w:rPr>
          <w:b/>
          <w:bCs/>
          <w:rtl/>
        </w:rPr>
        <w:t>אורית סטרוק</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איילת שקד</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שולי מועלם-רפאלי</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דב חנין</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פנינה תמנו-שטה</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יואב בן צור</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עמר בר-לב</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אברהם מיכאלי</w:t>
      </w:r>
    </w:p>
    <w:p w:rsidR="000C2C06" w:rsidRPr="003654D9" w:rsidRDefault="000C2C06" w:rsidP="0091204F">
      <w:pPr>
        <w:pStyle w:val="David"/>
        <w:ind w:left="2880" w:firstLine="663"/>
        <w:rPr>
          <w:b/>
          <w:bCs/>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שמעון אוחיון</w:t>
      </w:r>
    </w:p>
    <w:p w:rsidR="00E13C27" w:rsidRPr="003654D9" w:rsidRDefault="000C2C06" w:rsidP="0091204F">
      <w:pPr>
        <w:pStyle w:val="David"/>
        <w:ind w:left="2880" w:firstLine="663"/>
        <w:rPr>
          <w:b/>
          <w:bCs/>
          <w:rtl/>
        </w:rPr>
      </w:pPr>
      <w:r w:rsidRPr="003654D9">
        <w:rPr>
          <w:b/>
          <w:bCs/>
        </w:rPr>
        <w:tab/>
      </w:r>
      <w:r w:rsidRPr="003654D9">
        <w:rPr>
          <w:b/>
          <w:bCs/>
        </w:rPr>
        <w:tab/>
      </w:r>
      <w:r w:rsidRPr="003654D9">
        <w:rPr>
          <w:b/>
          <w:bCs/>
        </w:rPr>
        <w:tab/>
      </w:r>
      <w:r w:rsidRPr="003654D9">
        <w:rPr>
          <w:b/>
          <w:bCs/>
        </w:rPr>
        <w:tab/>
      </w:r>
      <w:r w:rsidRPr="003654D9">
        <w:rPr>
          <w:b/>
          <w:bCs/>
        </w:rPr>
        <w:tab/>
      </w:r>
      <w:r w:rsidRPr="003654D9">
        <w:rPr>
          <w:b/>
          <w:bCs/>
          <w:rtl/>
        </w:rPr>
        <w:t>מירי רגב</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D44018">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4A890031" wp14:editId="04D93D8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6A0677" w:rsidRPr="006A0677">
        <w:rPr>
          <w:rFonts w:cs="David"/>
          <w:sz w:val="26"/>
          <w:szCs w:val="26"/>
          <w:rtl/>
        </w:rPr>
        <w:t>פ/2901/19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FF660E" w:rsidRDefault="00FF660E" w:rsidP="00D44018">
      <w:pPr>
        <w:ind w:left="2919" w:firstLine="720"/>
        <w:rPr>
          <w:rFonts w:cs="David"/>
          <w:sz w:val="26"/>
          <w:szCs w:val="26"/>
          <w:rtl/>
        </w:rPr>
      </w:pPr>
    </w:p>
    <w:p w:rsidR="00D44018" w:rsidRDefault="00CA3B93" w:rsidP="006839C2">
      <w:pPr>
        <w:pStyle w:val="HeadHatzaotHok"/>
        <w:tabs>
          <w:tab w:val="left" w:pos="4071"/>
          <w:tab w:val="center" w:pos="4819"/>
        </w:tabs>
        <w:spacing w:before="0"/>
        <w:rPr>
          <w:sz w:val="26"/>
          <w:rtl/>
        </w:rPr>
      </w:pPr>
      <w:bookmarkStart w:id="7" w:name="Title"/>
      <w:r w:rsidRPr="00CA3B93">
        <w:rPr>
          <w:sz w:val="26"/>
          <w:rtl/>
        </w:rPr>
        <w:t xml:space="preserve">הצעת חוק הביטוח הלאומי (תיקון </w:t>
      </w:r>
      <w:r w:rsidR="006839C2">
        <w:rPr>
          <w:rFonts w:hint="cs"/>
          <w:sz w:val="26"/>
          <w:rtl/>
        </w:rPr>
        <w:t>–</w:t>
      </w:r>
      <w:r w:rsidRPr="00CA3B93">
        <w:rPr>
          <w:sz w:val="26"/>
          <w:rtl/>
        </w:rPr>
        <w:t xml:space="preserve"> הכרה בתורם אבר כמתנדב), </w:t>
      </w:r>
      <w:proofErr w:type="spellStart"/>
      <w:r w:rsidRPr="00CA3B93">
        <w:rPr>
          <w:sz w:val="26"/>
          <w:rtl/>
        </w:rPr>
        <w:t>התשע"ה</w:t>
      </w:r>
      <w:proofErr w:type="spellEnd"/>
      <w:r w:rsidR="006839C2">
        <w:rPr>
          <w:rFonts w:hint="cs"/>
          <w:sz w:val="26"/>
          <w:rtl/>
        </w:rPr>
        <w:t>–</w:t>
      </w:r>
      <w:r w:rsidRPr="00CA3B93">
        <w:rPr>
          <w:sz w:val="26"/>
          <w:rtl/>
        </w:rPr>
        <w:t>2014</w:t>
      </w:r>
      <w:bookmarkEnd w:id="7"/>
    </w:p>
    <w:p w:rsidR="00FF660E" w:rsidRDefault="00FF660E" w:rsidP="006839C2">
      <w:pPr>
        <w:pStyle w:val="HeadHatzaotHok"/>
        <w:tabs>
          <w:tab w:val="left" w:pos="4071"/>
          <w:tab w:val="center" w:pos="4819"/>
        </w:tabs>
        <w:spacing w:before="0"/>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D44018" w:rsidTr="002B4091">
        <w:trPr>
          <w:cantSplit/>
          <w:trHeight w:val="60"/>
        </w:trPr>
        <w:tc>
          <w:tcPr>
            <w:tcW w:w="1871" w:type="dxa"/>
          </w:tcPr>
          <w:p w:rsidR="00D44018" w:rsidRDefault="00A06847" w:rsidP="002B4091">
            <w:pPr>
              <w:pStyle w:val="TableSideHeading"/>
              <w:keepLines w:val="0"/>
            </w:pPr>
            <w:r>
              <w:rPr>
                <w:rFonts w:hint="cs"/>
                <w:rtl/>
              </w:rPr>
              <w:t>הוספת סעיף 289א</w:t>
            </w:r>
          </w:p>
        </w:tc>
        <w:tc>
          <w:tcPr>
            <w:tcW w:w="624" w:type="dxa"/>
          </w:tcPr>
          <w:p w:rsidR="00D44018" w:rsidRDefault="00A06847" w:rsidP="002B4091">
            <w:pPr>
              <w:pStyle w:val="TableBlock"/>
              <w:keepLines w:val="0"/>
              <w:rPr>
                <w:rtl/>
              </w:rPr>
            </w:pPr>
            <w:r>
              <w:rPr>
                <w:rFonts w:hint="cs"/>
                <w:rtl/>
              </w:rPr>
              <w:t>1.</w:t>
            </w:r>
          </w:p>
        </w:tc>
        <w:tc>
          <w:tcPr>
            <w:tcW w:w="7146" w:type="dxa"/>
            <w:gridSpan w:val="5"/>
          </w:tcPr>
          <w:p w:rsidR="00D44018" w:rsidRDefault="00D44018" w:rsidP="002B4091">
            <w:pPr>
              <w:pStyle w:val="TableBlock"/>
              <w:keepLines w:val="0"/>
              <w:rPr>
                <w:rtl/>
              </w:rPr>
            </w:pPr>
            <w:r>
              <w:rPr>
                <w:rFonts w:hint="cs"/>
                <w:rtl/>
              </w:rPr>
              <w:t xml:space="preserve">בחוק הביטוח הלאומי [נוסח משולב], </w:t>
            </w:r>
            <w:proofErr w:type="spellStart"/>
            <w:r>
              <w:rPr>
                <w:rFonts w:hint="cs"/>
                <w:rtl/>
              </w:rPr>
              <w:t>התשנ"ה</w:t>
            </w:r>
            <w:proofErr w:type="spellEnd"/>
            <w:r>
              <w:rPr>
                <w:rFonts w:hint="cs"/>
                <w:rtl/>
              </w:rPr>
              <w:t>–1995</w:t>
            </w:r>
            <w:r>
              <w:rPr>
                <w:rStyle w:val="a5"/>
                <w:rtl/>
              </w:rPr>
              <w:footnoteReference w:id="2"/>
            </w:r>
            <w:r>
              <w:rPr>
                <w:rFonts w:hint="cs"/>
                <w:rtl/>
              </w:rPr>
              <w:t>, אחרי סעיף 289 יבוא:</w:t>
            </w:r>
          </w:p>
        </w:tc>
      </w:tr>
      <w:tr w:rsidR="00D44018" w:rsidTr="002B4091">
        <w:trPr>
          <w:cantSplit/>
          <w:trHeight w:val="60"/>
        </w:trPr>
        <w:tc>
          <w:tcPr>
            <w:tcW w:w="1871" w:type="dxa"/>
          </w:tcPr>
          <w:p w:rsidR="00D44018" w:rsidRDefault="00D44018" w:rsidP="002B4091">
            <w:pPr>
              <w:pStyle w:val="TableSideHeading"/>
              <w:keepLines w:val="0"/>
            </w:pPr>
          </w:p>
        </w:tc>
        <w:tc>
          <w:tcPr>
            <w:tcW w:w="624" w:type="dxa"/>
          </w:tcPr>
          <w:p w:rsidR="00D44018" w:rsidRDefault="00D44018" w:rsidP="002B4091">
            <w:pPr>
              <w:pStyle w:val="TableText"/>
              <w:keepLines w:val="0"/>
            </w:pPr>
          </w:p>
        </w:tc>
        <w:tc>
          <w:tcPr>
            <w:tcW w:w="1872" w:type="dxa"/>
            <w:gridSpan w:val="3"/>
          </w:tcPr>
          <w:p w:rsidR="00D44018" w:rsidRDefault="00D44018" w:rsidP="002B4091">
            <w:pPr>
              <w:pStyle w:val="TableInnerSideHeading"/>
            </w:pPr>
            <w:r>
              <w:rPr>
                <w:rFonts w:hint="cs"/>
                <w:rtl/>
              </w:rPr>
              <w:t>"זכאות לגמלאות למי שנפגע במהלך תרומת אבר</w:t>
            </w:r>
          </w:p>
        </w:tc>
        <w:tc>
          <w:tcPr>
            <w:tcW w:w="624" w:type="dxa"/>
          </w:tcPr>
          <w:p w:rsidR="00D44018" w:rsidRDefault="00D44018" w:rsidP="002B4091">
            <w:pPr>
              <w:pStyle w:val="TableText"/>
            </w:pPr>
            <w:r>
              <w:rPr>
                <w:rFonts w:hint="cs"/>
                <w:rtl/>
              </w:rPr>
              <w:t>289א.</w:t>
            </w:r>
          </w:p>
        </w:tc>
        <w:tc>
          <w:tcPr>
            <w:tcW w:w="4650" w:type="dxa"/>
          </w:tcPr>
          <w:p w:rsidR="00D44018" w:rsidRDefault="00D44018" w:rsidP="002B4091">
            <w:pPr>
              <w:pStyle w:val="TableBlock"/>
            </w:pPr>
            <w:r>
              <w:rPr>
                <w:rFonts w:hint="cs"/>
                <w:rtl/>
              </w:rPr>
              <w:t xml:space="preserve">תורם כהגדרתו בחוק השתלת אברים, </w:t>
            </w:r>
            <w:proofErr w:type="spellStart"/>
            <w:r>
              <w:rPr>
                <w:rFonts w:hint="cs"/>
                <w:rtl/>
              </w:rPr>
              <w:t>התשנ"ח</w:t>
            </w:r>
            <w:proofErr w:type="spellEnd"/>
            <w:r>
              <w:rPr>
                <w:rFonts w:hint="cs"/>
                <w:rtl/>
              </w:rPr>
              <w:t>–1998</w:t>
            </w:r>
            <w:r>
              <w:rPr>
                <w:rStyle w:val="a5"/>
                <w:rtl/>
              </w:rPr>
              <w:footnoteReference w:id="3"/>
            </w:r>
            <w:r>
              <w:rPr>
                <w:rFonts w:hint="cs"/>
                <w:rtl/>
              </w:rPr>
              <w:t xml:space="preserve">, שנפגע במהלך תרומת האבר ועקב פעולה זו, יחולו עליו ועל התלויים בו, לפי העניין, הוראות פרק ה' בשינויים המחויבים; </w:t>
            </w:r>
            <w:proofErr w:type="spellStart"/>
            <w:r>
              <w:rPr>
                <w:rFonts w:hint="cs"/>
                <w:rtl/>
              </w:rPr>
              <w:t>לענין</w:t>
            </w:r>
            <w:proofErr w:type="spellEnd"/>
            <w:r>
              <w:rPr>
                <w:rFonts w:hint="cs"/>
                <w:rtl/>
              </w:rPr>
              <w:t xml:space="preserve"> זה יראו גם פגיעה שאירעה לתורם בדרך למקום שבו מבוצע ניתוח נטילת האבר או בחזרה ממנו, אף שלא ממעונו או למעונו, כפגיעה לפי הפרק האמור, ובלבד שהתקיימו שאר התנאים כאמור בסעיף 81; לעניין סעיף זה –</w:t>
            </w:r>
          </w:p>
        </w:tc>
      </w:tr>
      <w:tr w:rsidR="00D44018" w:rsidTr="002B4091">
        <w:trPr>
          <w:cantSplit/>
          <w:trHeight w:val="60"/>
        </w:trPr>
        <w:tc>
          <w:tcPr>
            <w:tcW w:w="1871" w:type="dxa"/>
          </w:tcPr>
          <w:p w:rsidR="00D44018" w:rsidRDefault="00D44018" w:rsidP="002B4091">
            <w:pPr>
              <w:pStyle w:val="TableSideHeading"/>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4650" w:type="dxa"/>
          </w:tcPr>
          <w:p w:rsidR="00D44018" w:rsidRPr="00B4679E" w:rsidRDefault="009D3424" w:rsidP="009D3424">
            <w:pPr>
              <w:pStyle w:val="TableBlockOutdent"/>
            </w:pPr>
            <w:r w:rsidRPr="00B4679E">
              <w:rPr>
                <w:rFonts w:hint="cs"/>
                <w:rtl/>
              </w:rPr>
              <w:t xml:space="preserve"> </w:t>
            </w:r>
            <w:r w:rsidR="00D44018" w:rsidRPr="00B4679E">
              <w:rPr>
                <w:rFonts w:hint="cs"/>
                <w:rtl/>
              </w:rPr>
              <w:t>"מהלך תרומת האבר" – תקופה שלא תעלה על שנה ושתחילתה במועד ניתוח נטילת האבר;</w:t>
            </w:r>
          </w:p>
        </w:tc>
      </w:tr>
      <w:tr w:rsidR="00D44018" w:rsidTr="002B4091">
        <w:trPr>
          <w:cantSplit/>
          <w:trHeight w:val="60"/>
        </w:trPr>
        <w:tc>
          <w:tcPr>
            <w:tcW w:w="1871" w:type="dxa"/>
          </w:tcPr>
          <w:p w:rsidR="00D44018" w:rsidRDefault="00D44018" w:rsidP="002B4091">
            <w:pPr>
              <w:pStyle w:val="TableSideHeading"/>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624" w:type="dxa"/>
          </w:tcPr>
          <w:p w:rsidR="00D44018" w:rsidRDefault="00D44018" w:rsidP="002B4091">
            <w:pPr>
              <w:pStyle w:val="TableText"/>
            </w:pPr>
          </w:p>
        </w:tc>
        <w:tc>
          <w:tcPr>
            <w:tcW w:w="4650" w:type="dxa"/>
          </w:tcPr>
          <w:p w:rsidR="00D44018" w:rsidRPr="00B4679E" w:rsidRDefault="00D44018" w:rsidP="002B4091">
            <w:pPr>
              <w:pStyle w:val="TableBlockOutdent"/>
              <w:rPr>
                <w:rtl/>
              </w:rPr>
            </w:pPr>
            <w:r w:rsidRPr="00B4679E">
              <w:rPr>
                <w:rFonts w:hint="cs"/>
                <w:rtl/>
              </w:rPr>
              <w:t>"נפגע" – למעט הפגיעה שבעצם נטילת האבר.</w:t>
            </w:r>
          </w:p>
        </w:tc>
      </w:tr>
      <w:tr w:rsidR="00A06847" w:rsidRPr="00C34DE2" w:rsidTr="002B4091">
        <w:trPr>
          <w:cantSplit/>
          <w:trHeight w:val="60"/>
        </w:trPr>
        <w:tc>
          <w:tcPr>
            <w:tcW w:w="1871" w:type="dxa"/>
          </w:tcPr>
          <w:p w:rsidR="00A06847" w:rsidRDefault="00A30194" w:rsidP="002B4091">
            <w:pPr>
              <w:pStyle w:val="TableSideHeading"/>
              <w:keepLines w:val="0"/>
            </w:pPr>
            <w:r>
              <w:rPr>
                <w:rFonts w:hint="cs"/>
                <w:rtl/>
              </w:rPr>
              <w:lastRenderedPageBreak/>
              <w:t>תיקון חוק השתלת אברים</w:t>
            </w:r>
          </w:p>
        </w:tc>
        <w:tc>
          <w:tcPr>
            <w:tcW w:w="624" w:type="dxa"/>
          </w:tcPr>
          <w:p w:rsidR="00A06847" w:rsidRDefault="00A06847" w:rsidP="002B4091">
            <w:pPr>
              <w:pStyle w:val="TableText"/>
              <w:keepLines w:val="0"/>
            </w:pPr>
            <w:r>
              <w:rPr>
                <w:rFonts w:hint="cs"/>
                <w:rtl/>
              </w:rPr>
              <w:t>2.</w:t>
            </w:r>
          </w:p>
        </w:tc>
        <w:tc>
          <w:tcPr>
            <w:tcW w:w="7146" w:type="dxa"/>
            <w:gridSpan w:val="5"/>
          </w:tcPr>
          <w:p w:rsidR="00A06847" w:rsidRPr="00C34DE2" w:rsidRDefault="00A06847" w:rsidP="009D3424">
            <w:pPr>
              <w:pStyle w:val="TableBlock"/>
              <w:keepLines w:val="0"/>
              <w:rPr>
                <w:rtl/>
              </w:rPr>
            </w:pPr>
            <w:r>
              <w:rPr>
                <w:rFonts w:hint="cs"/>
                <w:rtl/>
              </w:rPr>
              <w:t xml:space="preserve">בחוק השתלת אברים, </w:t>
            </w:r>
            <w:proofErr w:type="spellStart"/>
            <w:r>
              <w:rPr>
                <w:rFonts w:hint="cs"/>
                <w:rtl/>
              </w:rPr>
              <w:t>התשס"ח</w:t>
            </w:r>
            <w:proofErr w:type="spellEnd"/>
            <w:r>
              <w:rPr>
                <w:rFonts w:hint="eastAsia"/>
                <w:rtl/>
              </w:rPr>
              <w:t>–</w:t>
            </w:r>
            <w:r>
              <w:rPr>
                <w:rFonts w:hint="cs"/>
                <w:rtl/>
              </w:rPr>
              <w:t>2008</w:t>
            </w:r>
            <w:r>
              <w:rPr>
                <w:rStyle w:val="a5"/>
                <w:rtl/>
              </w:rPr>
              <w:footnoteReference w:id="4"/>
            </w:r>
            <w:r w:rsidR="009D3424">
              <w:rPr>
                <w:rFonts w:hint="cs"/>
                <w:rtl/>
              </w:rPr>
              <w:t>, בסעיף 16</w:t>
            </w:r>
            <w:r>
              <w:rPr>
                <w:rFonts w:hint="cs"/>
                <w:rtl/>
              </w:rPr>
              <w:t>(ה), במקום "שישים" יבוא "שלושים".</w:t>
            </w:r>
          </w:p>
        </w:tc>
      </w:tr>
    </w:tbl>
    <w:p w:rsidR="00E13C27" w:rsidRPr="00D44018" w:rsidRDefault="00E13C27" w:rsidP="00E13C27">
      <w:pPr>
        <w:pStyle w:val="HeadHatzaotHok"/>
        <w:tabs>
          <w:tab w:val="left" w:pos="4071"/>
          <w:tab w:val="center" w:pos="4819"/>
        </w:tabs>
        <w:spacing w:before="0"/>
        <w:rPr>
          <w:sz w:val="26"/>
          <w:rtl/>
        </w:rPr>
      </w:pPr>
    </w:p>
    <w:p w:rsidR="00B0767F" w:rsidRDefault="00E13C27" w:rsidP="00D44018">
      <w:pPr>
        <w:pStyle w:val="HeadDivreiHesber"/>
        <w:spacing w:before="0" w:after="0"/>
        <w:rPr>
          <w:rtl/>
        </w:rPr>
      </w:pPr>
      <w:r>
        <w:rPr>
          <w:rFonts w:hint="cs"/>
          <w:rtl/>
        </w:rPr>
        <w:t>דברי הסבר</w:t>
      </w:r>
    </w:p>
    <w:p w:rsidR="00D44018" w:rsidRPr="00B0767F" w:rsidRDefault="00D44018" w:rsidP="00D44018">
      <w:pPr>
        <w:pStyle w:val="Hesber"/>
        <w:rPr>
          <w:rtl/>
        </w:rPr>
      </w:pPr>
      <w:r w:rsidRPr="00B0767F">
        <w:rPr>
          <w:rtl/>
        </w:rPr>
        <w:t>מטרת הצעת החוק היא לעודד תרומת אברים מן החי שלא</w:t>
      </w:r>
      <w:r>
        <w:rPr>
          <w:rFonts w:hint="cs"/>
          <w:rtl/>
        </w:rPr>
        <w:t xml:space="preserve"> </w:t>
      </w:r>
      <w:r w:rsidRPr="00B0767F">
        <w:rPr>
          <w:rtl/>
        </w:rPr>
        <w:t>על</w:t>
      </w:r>
      <w:r>
        <w:rPr>
          <w:rFonts w:hint="cs"/>
          <w:rtl/>
        </w:rPr>
        <w:t xml:space="preserve"> </w:t>
      </w:r>
      <w:r w:rsidRPr="00B0767F">
        <w:rPr>
          <w:rtl/>
        </w:rPr>
        <w:t>מנת</w:t>
      </w:r>
      <w:r>
        <w:rPr>
          <w:rFonts w:hint="cs"/>
          <w:rtl/>
        </w:rPr>
        <w:t xml:space="preserve"> </w:t>
      </w:r>
      <w:r w:rsidRPr="00B0767F">
        <w:rPr>
          <w:rtl/>
        </w:rPr>
        <w:t>לקבל</w:t>
      </w:r>
      <w:r>
        <w:rPr>
          <w:rFonts w:hint="cs"/>
          <w:rtl/>
        </w:rPr>
        <w:t xml:space="preserve"> </w:t>
      </w:r>
      <w:r w:rsidRPr="00B0767F">
        <w:rPr>
          <w:rtl/>
        </w:rPr>
        <w:t>שכר</w:t>
      </w:r>
      <w:r>
        <w:rPr>
          <w:rFonts w:hint="cs"/>
          <w:rtl/>
        </w:rPr>
        <w:t>,</w:t>
      </w:r>
      <w:r w:rsidRPr="00B0767F">
        <w:rPr>
          <w:rtl/>
        </w:rPr>
        <w:t xml:space="preserve"> אלא כמעשה חסד של הצלת חיים</w:t>
      </w:r>
      <w:r>
        <w:rPr>
          <w:rFonts w:hint="cs"/>
          <w:rtl/>
        </w:rPr>
        <w:t xml:space="preserve">. </w:t>
      </w:r>
      <w:r w:rsidRPr="00B0767F">
        <w:rPr>
          <w:rtl/>
        </w:rPr>
        <w:t>בישראל ממתינים היום למעלה מ</w:t>
      </w:r>
      <w:r>
        <w:rPr>
          <w:rFonts w:hint="cs"/>
          <w:rtl/>
        </w:rPr>
        <w:t>-</w:t>
      </w:r>
      <w:r w:rsidRPr="00B0767F">
        <w:rPr>
          <w:rtl/>
        </w:rPr>
        <w:t>1,000 איש לתרומת אברים, רובם הגדול לתרומת כליה</w:t>
      </w:r>
      <w:r>
        <w:rPr>
          <w:rFonts w:hint="cs"/>
          <w:rtl/>
        </w:rPr>
        <w:t>. תרומת כליה כאמור</w:t>
      </w:r>
      <w:r w:rsidRPr="00B0767F">
        <w:rPr>
          <w:rtl/>
        </w:rPr>
        <w:t xml:space="preserve"> </w:t>
      </w:r>
      <w:r>
        <w:rPr>
          <w:rFonts w:hint="cs"/>
          <w:rtl/>
        </w:rPr>
        <w:t>יכולה להתקבל</w:t>
      </w:r>
      <w:r w:rsidRPr="00B0767F">
        <w:rPr>
          <w:rtl/>
        </w:rPr>
        <w:t xml:space="preserve"> אף מתורמים חיים.</w:t>
      </w:r>
    </w:p>
    <w:p w:rsidR="00C83A35" w:rsidRDefault="009D3424" w:rsidP="00C83A35">
      <w:pPr>
        <w:pStyle w:val="Hesber"/>
        <w:rPr>
          <w:rtl/>
        </w:rPr>
      </w:pPr>
      <w:r>
        <w:rPr>
          <w:rtl/>
        </w:rPr>
        <w:t xml:space="preserve">מאחר </w:t>
      </w:r>
      <w:r>
        <w:rPr>
          <w:rFonts w:hint="cs"/>
          <w:rtl/>
        </w:rPr>
        <w:t>ש</w:t>
      </w:r>
      <w:r w:rsidR="00C83A35" w:rsidRPr="00B0767F">
        <w:rPr>
          <w:rtl/>
        </w:rPr>
        <w:t xml:space="preserve">תרומת </w:t>
      </w:r>
      <w:r w:rsidR="00C83A35">
        <w:rPr>
          <w:rFonts w:hint="cs"/>
          <w:rtl/>
        </w:rPr>
        <w:t>אבר מן החי</w:t>
      </w:r>
      <w:r w:rsidR="00C83A35" w:rsidRPr="00B0767F">
        <w:rPr>
          <w:rtl/>
        </w:rPr>
        <w:t xml:space="preserve"> י</w:t>
      </w:r>
      <w:r w:rsidR="00C83A35">
        <w:rPr>
          <w:rFonts w:hint="cs"/>
          <w:rtl/>
        </w:rPr>
        <w:t xml:space="preserve">כולה ליצור סיכון לתורם, ומאחר שתרומה כאמור היא פעולה התנדבותית של התורם שאינו מקבל שכר, מוצע לתקן את חוק הביטוח הלאומי [נוסח משולב], </w:t>
      </w:r>
      <w:proofErr w:type="spellStart"/>
      <w:r w:rsidR="00C83A35">
        <w:rPr>
          <w:rFonts w:hint="cs"/>
          <w:rtl/>
        </w:rPr>
        <w:t>התשנ"ה</w:t>
      </w:r>
      <w:proofErr w:type="spellEnd"/>
      <w:r w:rsidR="00C83A35">
        <w:rPr>
          <w:rFonts w:hint="eastAsia"/>
          <w:rtl/>
        </w:rPr>
        <w:t>–</w:t>
      </w:r>
      <w:r w:rsidR="00C83A35">
        <w:rPr>
          <w:rFonts w:hint="cs"/>
          <w:rtl/>
        </w:rPr>
        <w:t>1995, ולקבוע כי תורם אבר שנפגע בעת ניתוח נטילת האבר ועד שנה לאחר הניתוח האמור, והפגיעה לא נבעה מעצם נטילת האבר, יחולו עליו ועל התלויים בו ההוראות לעניין נפגעי עבודה, בשינויים המחויבים, בדומה להוראות הקבועות לעניין מתנדב שנפגע בעת פעולת ההתנדבות ועקב פעולה זו.</w:t>
      </w:r>
    </w:p>
    <w:p w:rsidR="00D44018" w:rsidRPr="00B0767F" w:rsidRDefault="009E2089" w:rsidP="00D44018">
      <w:pPr>
        <w:pStyle w:val="Hesber"/>
        <w:rPr>
          <w:rtl/>
        </w:rPr>
      </w:pPr>
      <w:r>
        <w:rPr>
          <w:rFonts w:hint="cs"/>
          <w:rtl/>
        </w:rPr>
        <w:t xml:space="preserve">בנוסף, </w:t>
      </w:r>
      <w:r w:rsidR="00D44018" w:rsidRPr="00B0767F">
        <w:rPr>
          <w:rtl/>
        </w:rPr>
        <w:t>חוק השתלת אברים</w:t>
      </w:r>
      <w:r w:rsidR="00D44018">
        <w:rPr>
          <w:rFonts w:hint="cs"/>
          <w:rtl/>
        </w:rPr>
        <w:t xml:space="preserve">, </w:t>
      </w:r>
      <w:proofErr w:type="spellStart"/>
      <w:r w:rsidR="00D44018">
        <w:rPr>
          <w:rFonts w:hint="cs"/>
          <w:rtl/>
        </w:rPr>
        <w:t>התשס"ח</w:t>
      </w:r>
      <w:proofErr w:type="spellEnd"/>
      <w:r w:rsidR="00D44018">
        <w:rPr>
          <w:rFonts w:hint="cs"/>
          <w:rtl/>
        </w:rPr>
        <w:t>–2008,</w:t>
      </w:r>
      <w:r w:rsidR="00D44018" w:rsidRPr="00B0767F">
        <w:rPr>
          <w:rtl/>
        </w:rPr>
        <w:t xml:space="preserve"> מאפשר תרומת אברים מתורמים חיים, ומייצר</w:t>
      </w:r>
      <w:r w:rsidR="00D44018">
        <w:rPr>
          <w:rFonts w:hint="cs"/>
          <w:rtl/>
        </w:rPr>
        <w:t>, בין השאר,</w:t>
      </w:r>
      <w:r w:rsidR="00D44018" w:rsidRPr="00B0767F">
        <w:rPr>
          <w:rtl/>
        </w:rPr>
        <w:t xml:space="preserve"> מערכת בלמים המונעת תרומת אברים לשם טובת הנאה, או תרומה מתורם שאינו מתאים מסיבות שונות. </w:t>
      </w:r>
      <w:r w:rsidR="00D44018">
        <w:rPr>
          <w:rFonts w:hint="cs"/>
          <w:rtl/>
        </w:rPr>
        <w:t xml:space="preserve">החוק האמור קובע שתורם המעוניין לתרום אבר מגופו לשם </w:t>
      </w:r>
      <w:proofErr w:type="spellStart"/>
      <w:r w:rsidR="00D44018">
        <w:rPr>
          <w:rFonts w:hint="cs"/>
          <w:rtl/>
        </w:rPr>
        <w:t>השתלתו</w:t>
      </w:r>
      <w:proofErr w:type="spellEnd"/>
      <w:r w:rsidR="00D44018">
        <w:rPr>
          <w:rFonts w:hint="cs"/>
          <w:rtl/>
        </w:rPr>
        <w:t xml:space="preserve"> בנתרם מסוים, צריך לקבל את אישורה של ועדת הערכה שתפקידה לבחון האם התורם מתאים מבחינה רפואית ונפשית למתן התרומה וכן תנאים נוספים המפורטים בחוק. </w:t>
      </w:r>
    </w:p>
    <w:p w:rsidR="00D44018" w:rsidRPr="00B0767F" w:rsidRDefault="00D44018" w:rsidP="00D44018">
      <w:pPr>
        <w:pStyle w:val="Hesber"/>
        <w:rPr>
          <w:rtl/>
        </w:rPr>
      </w:pPr>
      <w:r w:rsidRPr="00B0767F">
        <w:rPr>
          <w:rtl/>
        </w:rPr>
        <w:t>תהליך הבדיקה של תורם חי שאינו קרוב משפחה אורך היום כ</w:t>
      </w:r>
      <w:r>
        <w:rPr>
          <w:rFonts w:hint="cs"/>
          <w:rtl/>
        </w:rPr>
        <w:t>-6 עד 8</w:t>
      </w:r>
      <w:r w:rsidRPr="00B0767F">
        <w:rPr>
          <w:rtl/>
        </w:rPr>
        <w:t xml:space="preserve"> חודשים, כאשר התמשכותו ופיזורו על פני תחנות שונות מקשה על התורם</w:t>
      </w:r>
      <w:r>
        <w:rPr>
          <w:rFonts w:hint="cs"/>
          <w:rtl/>
        </w:rPr>
        <w:t xml:space="preserve">. בנוסף, </w:t>
      </w:r>
      <w:r w:rsidRPr="00B0767F">
        <w:rPr>
          <w:rtl/>
        </w:rPr>
        <w:t>ככל שתהליך</w:t>
      </w:r>
      <w:r>
        <w:rPr>
          <w:rFonts w:hint="cs"/>
          <w:rtl/>
        </w:rPr>
        <w:t xml:space="preserve"> ההערכה והבדיקה</w:t>
      </w:r>
      <w:r w:rsidRPr="00B0767F">
        <w:rPr>
          <w:rtl/>
        </w:rPr>
        <w:t xml:space="preserve"> מתמשך נגרם סבל לחולה מקבל התרומה ואף </w:t>
      </w:r>
      <w:r>
        <w:rPr>
          <w:rFonts w:hint="cs"/>
          <w:rtl/>
        </w:rPr>
        <w:t>עלול להביאו ל</w:t>
      </w:r>
      <w:r w:rsidRPr="00B0767F">
        <w:rPr>
          <w:rtl/>
        </w:rPr>
        <w:t>סכנת חיים</w:t>
      </w:r>
      <w:r>
        <w:rPr>
          <w:rFonts w:hint="cs"/>
          <w:rtl/>
        </w:rPr>
        <w:t>.</w:t>
      </w:r>
    </w:p>
    <w:p w:rsidR="00D44018" w:rsidRPr="00B0767F" w:rsidRDefault="00D44018" w:rsidP="00D44018">
      <w:pPr>
        <w:pStyle w:val="Hesber"/>
        <w:rPr>
          <w:rtl/>
        </w:rPr>
      </w:pPr>
      <w:r>
        <w:rPr>
          <w:rFonts w:hint="cs"/>
          <w:rtl/>
        </w:rPr>
        <w:t>לפיכך</w:t>
      </w:r>
      <w:r w:rsidR="009D3424">
        <w:rPr>
          <w:rtl/>
        </w:rPr>
        <w:t xml:space="preserve">, </w:t>
      </w:r>
      <w:r w:rsidRPr="00B0767F">
        <w:rPr>
          <w:rtl/>
        </w:rPr>
        <w:t xml:space="preserve">בלי לפגוע בצורך להעריך את מצבו הבריאותי </w:t>
      </w:r>
      <w:r>
        <w:rPr>
          <w:rFonts w:hint="cs"/>
          <w:rtl/>
        </w:rPr>
        <w:t xml:space="preserve">והנפשי </w:t>
      </w:r>
      <w:r w:rsidRPr="00B0767F">
        <w:rPr>
          <w:rtl/>
        </w:rPr>
        <w:t>של התורם, ולוודא שה</w:t>
      </w:r>
      <w:r w:rsidR="009D3424">
        <w:rPr>
          <w:rtl/>
        </w:rPr>
        <w:t>מניע לתרומה אינו כלכלי חלילה, ו</w:t>
      </w:r>
      <w:r w:rsidRPr="00B0767F">
        <w:rPr>
          <w:rtl/>
        </w:rPr>
        <w:t>בלי לפגוע בתקופת הזמן הניתנת לתורם על מנת לשקול היטב את החלטתו</w:t>
      </w:r>
      <w:r>
        <w:rPr>
          <w:rFonts w:hint="cs"/>
          <w:rtl/>
        </w:rPr>
        <w:t xml:space="preserve"> לתרום אבר</w:t>
      </w:r>
      <w:r w:rsidRPr="00B0767F">
        <w:rPr>
          <w:rtl/>
        </w:rPr>
        <w:t xml:space="preserve"> ולהיות שלם ע</w:t>
      </w:r>
      <w:r>
        <w:rPr>
          <w:rFonts w:hint="cs"/>
          <w:rtl/>
        </w:rPr>
        <w:t>מה</w:t>
      </w:r>
      <w:r w:rsidRPr="00B0767F">
        <w:rPr>
          <w:rtl/>
        </w:rPr>
        <w:t>, מוצע ל</w:t>
      </w:r>
      <w:r>
        <w:rPr>
          <w:rFonts w:hint="cs"/>
          <w:rtl/>
        </w:rPr>
        <w:t>קבוע כי ועדת הערכה תיתן את החלטתה בתוך שלושים ימים לכל היותר ממועד הגשתה של בקשת התורם, במקום 60 ימים הקבועים כיום בחוק.</w:t>
      </w:r>
    </w:p>
    <w:p w:rsidR="007A6EB9" w:rsidRDefault="007A6EB9" w:rsidP="007A6EB9">
      <w:pPr>
        <w:pStyle w:val="Hesber"/>
        <w:rPr>
          <w:rtl/>
        </w:rPr>
      </w:pPr>
    </w:p>
    <w:p w:rsidR="007A6EB9" w:rsidRDefault="007A6EB9" w:rsidP="007A6EB9">
      <w:pPr>
        <w:pStyle w:val="Hesber"/>
        <w:rPr>
          <w:rFonts w:hint="cs"/>
          <w:rtl/>
        </w:rPr>
      </w:pPr>
      <w:r>
        <w:rPr>
          <w:rFonts w:hint="cs"/>
          <w:rtl/>
        </w:rPr>
        <w:t xml:space="preserve"> </w:t>
      </w:r>
    </w:p>
    <w:p w:rsidR="009D3424" w:rsidRDefault="009D3424" w:rsidP="007A6EB9">
      <w:pPr>
        <w:pStyle w:val="Hesber"/>
        <w:rPr>
          <w:rtl/>
        </w:rPr>
      </w:pPr>
      <w:bookmarkStart w:id="8" w:name="_GoBack"/>
      <w:bookmarkEnd w:id="8"/>
    </w:p>
    <w:p w:rsidR="00FF660E" w:rsidRDefault="007A6EB9" w:rsidP="00FF660E">
      <w:pPr>
        <w:ind w:left="340" w:firstLine="0"/>
        <w:rPr>
          <w:rFonts w:ascii="Arial" w:eastAsia="Arial Unicode MS" w:hAnsi="Arial" w:cs="David"/>
          <w:snapToGrid w:val="0"/>
          <w:spacing w:val="0"/>
          <w:sz w:val="20"/>
          <w:szCs w:val="26"/>
        </w:rPr>
      </w:pPr>
      <w:r>
        <w:rPr>
          <w:rFonts w:hint="cs"/>
          <w:rtl/>
        </w:rPr>
        <w:t xml:space="preserve"> </w:t>
      </w:r>
      <w:r w:rsidR="00FF660E">
        <w:rPr>
          <w:rFonts w:ascii="Arial" w:eastAsia="Arial Unicode MS" w:hAnsi="Arial" w:cs="David" w:hint="cs"/>
          <w:snapToGrid w:val="0"/>
          <w:spacing w:val="0"/>
          <w:sz w:val="20"/>
          <w:szCs w:val="26"/>
          <w:rtl/>
        </w:rPr>
        <w:t>---------------------------------</w:t>
      </w:r>
    </w:p>
    <w:p w:rsidR="00FF660E" w:rsidRDefault="00FF660E" w:rsidP="00FF660E">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FF660E" w:rsidRDefault="00FF660E" w:rsidP="00FF660E">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FF660E" w:rsidRDefault="00FF660E" w:rsidP="00FF660E">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 xml:space="preserve">ט' בכסלו </w:t>
      </w:r>
      <w:proofErr w:type="spellStart"/>
      <w:r>
        <w:rPr>
          <w:rFonts w:ascii="Arial" w:eastAsia="Arial Unicode MS" w:hAnsi="Arial" w:cs="David" w:hint="cs"/>
          <w:snapToGrid w:val="0"/>
          <w:spacing w:val="0"/>
          <w:sz w:val="20"/>
          <w:szCs w:val="26"/>
          <w:rtl/>
        </w:rPr>
        <w:t>התשע"ה</w:t>
      </w:r>
      <w:proofErr w:type="spellEnd"/>
      <w:r>
        <w:rPr>
          <w:rFonts w:ascii="Arial" w:eastAsia="Arial Unicode MS" w:hAnsi="Arial" w:cs="David" w:hint="cs"/>
          <w:snapToGrid w:val="0"/>
          <w:spacing w:val="0"/>
          <w:sz w:val="20"/>
          <w:szCs w:val="26"/>
          <w:rtl/>
        </w:rPr>
        <w:t xml:space="preserve"> – 1.12.14</w:t>
      </w:r>
    </w:p>
    <w:p w:rsidR="00FF660E" w:rsidRDefault="00FF660E" w:rsidP="00FF660E">
      <w:pPr>
        <w:ind w:left="340" w:firstLine="0"/>
        <w:rPr>
          <w:rFonts w:ascii="Arial" w:eastAsia="Arial Unicode MS" w:hAnsi="Arial" w:cs="David"/>
          <w:snapToGrid w:val="0"/>
          <w:spacing w:val="0"/>
          <w:sz w:val="20"/>
          <w:szCs w:val="26"/>
        </w:rPr>
      </w:pPr>
    </w:p>
    <w:p w:rsidR="00E13C27" w:rsidRDefault="007A6EB9" w:rsidP="007A6EB9">
      <w:pPr>
        <w:pStyle w:val="Hesber"/>
        <w:rPr>
          <w:rtl/>
        </w:rPr>
      </w:pPr>
      <w:r>
        <w:rPr>
          <w:rFonts w:hint="cs"/>
          <w:rtl/>
        </w:rPr>
        <w:t xml:space="preserve">  </w:t>
      </w: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D1" w:rsidRDefault="00BE3BD1">
      <w:r>
        <w:separator/>
      </w:r>
    </w:p>
  </w:endnote>
  <w:endnote w:type="continuationSeparator" w:id="0">
    <w:p w:rsidR="00BE3BD1" w:rsidRDefault="00BE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D3424">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D1" w:rsidRDefault="00BE3BD1">
      <w:r>
        <w:separator/>
      </w:r>
    </w:p>
  </w:footnote>
  <w:footnote w:type="continuationSeparator" w:id="0">
    <w:p w:rsidR="00BE3BD1" w:rsidRDefault="00BE3BD1">
      <w:r>
        <w:continuationSeparator/>
      </w:r>
    </w:p>
  </w:footnote>
  <w:footnote w:type="continuationNotice" w:id="1">
    <w:p w:rsidR="00BE3BD1" w:rsidRDefault="00BE3BD1"/>
  </w:footnote>
  <w:footnote w:id="2">
    <w:p w:rsidR="00D44018" w:rsidRDefault="00D44018" w:rsidP="00D44018">
      <w:pPr>
        <w:pStyle w:val="a4"/>
      </w:pPr>
      <w:r>
        <w:rPr>
          <w:rStyle w:val="a5"/>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 w:id="3">
    <w:p w:rsidR="00D44018" w:rsidRDefault="00D44018" w:rsidP="00D44018">
      <w:pPr>
        <w:pStyle w:val="a4"/>
        <w:rPr>
          <w:rtl/>
        </w:rPr>
      </w:pPr>
      <w:r>
        <w:rPr>
          <w:rStyle w:val="a5"/>
        </w:rPr>
        <w:footnoteRef/>
      </w:r>
      <w:r>
        <w:rPr>
          <w:rtl/>
        </w:rPr>
        <w:t xml:space="preserve"> </w:t>
      </w:r>
      <w:r w:rsidR="009D3424">
        <w:rPr>
          <w:rFonts w:hint="cs"/>
          <w:rtl/>
        </w:rPr>
        <w:t xml:space="preserve">ס"ח </w:t>
      </w:r>
      <w:proofErr w:type="spellStart"/>
      <w:r w:rsidR="009D3424">
        <w:rPr>
          <w:rFonts w:hint="cs"/>
          <w:rtl/>
        </w:rPr>
        <w:t>התשנ</w:t>
      </w:r>
      <w:r>
        <w:rPr>
          <w:rFonts w:hint="cs"/>
          <w:rtl/>
        </w:rPr>
        <w:t>"ח</w:t>
      </w:r>
      <w:proofErr w:type="spellEnd"/>
      <w:r>
        <w:rPr>
          <w:rFonts w:hint="cs"/>
          <w:rtl/>
        </w:rPr>
        <w:t>, עמ' 394.</w:t>
      </w:r>
    </w:p>
  </w:footnote>
  <w:footnote w:id="4">
    <w:p w:rsidR="00A06847" w:rsidRDefault="00A06847" w:rsidP="00A06847">
      <w:pPr>
        <w:pStyle w:val="a4"/>
        <w:rPr>
          <w:rtl/>
        </w:rPr>
      </w:pPr>
      <w:r>
        <w:rPr>
          <w:rStyle w:val="a5"/>
        </w:rPr>
        <w:footnoteRef/>
      </w:r>
      <w:r>
        <w:rPr>
          <w:rtl/>
        </w:rPr>
        <w:t xml:space="preserve"> </w:t>
      </w:r>
      <w:r>
        <w:rPr>
          <w:rFonts w:hint="cs"/>
          <w:rtl/>
        </w:rPr>
        <w:t xml:space="preserve">ס"ח </w:t>
      </w:r>
      <w:proofErr w:type="spellStart"/>
      <w:r>
        <w:rPr>
          <w:rFonts w:hint="cs"/>
          <w:rtl/>
        </w:rPr>
        <w:t>התשס"ח</w:t>
      </w:r>
      <w:proofErr w:type="spellEnd"/>
      <w:r>
        <w:rPr>
          <w:rFonts w:hint="cs"/>
          <w:rtl/>
        </w:rPr>
        <w:t>, עמ' 394.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7290lsCopyOriginal.docx"/>
    <w:docVar w:name="StartMode" w:val="4"/>
  </w:docVars>
  <w:rsids>
    <w:rsidRoot w:val="00DB7060"/>
    <w:rsid w:val="00015B27"/>
    <w:rsid w:val="000A542E"/>
    <w:rsid w:val="000C2C06"/>
    <w:rsid w:val="001207F8"/>
    <w:rsid w:val="00121924"/>
    <w:rsid w:val="001279A8"/>
    <w:rsid w:val="0014195F"/>
    <w:rsid w:val="00152609"/>
    <w:rsid w:val="00153E1B"/>
    <w:rsid w:val="001A0623"/>
    <w:rsid w:val="001C23B0"/>
    <w:rsid w:val="001E18CD"/>
    <w:rsid w:val="00203A7F"/>
    <w:rsid w:val="002200A1"/>
    <w:rsid w:val="002362BF"/>
    <w:rsid w:val="00241B97"/>
    <w:rsid w:val="00254605"/>
    <w:rsid w:val="002728B4"/>
    <w:rsid w:val="00292712"/>
    <w:rsid w:val="002C2E29"/>
    <w:rsid w:val="003232A2"/>
    <w:rsid w:val="003654D9"/>
    <w:rsid w:val="003710F6"/>
    <w:rsid w:val="00386E88"/>
    <w:rsid w:val="003D74A0"/>
    <w:rsid w:val="004033D8"/>
    <w:rsid w:val="004D3876"/>
    <w:rsid w:val="004E4552"/>
    <w:rsid w:val="0054209A"/>
    <w:rsid w:val="00553C9D"/>
    <w:rsid w:val="005B064E"/>
    <w:rsid w:val="005D51AE"/>
    <w:rsid w:val="00644940"/>
    <w:rsid w:val="006818A9"/>
    <w:rsid w:val="006839C2"/>
    <w:rsid w:val="006A0677"/>
    <w:rsid w:val="006C1D0D"/>
    <w:rsid w:val="0070601E"/>
    <w:rsid w:val="00750EBE"/>
    <w:rsid w:val="00765F66"/>
    <w:rsid w:val="007A1689"/>
    <w:rsid w:val="007A6EB9"/>
    <w:rsid w:val="007C0B0A"/>
    <w:rsid w:val="007C13C3"/>
    <w:rsid w:val="007D5A12"/>
    <w:rsid w:val="007E59F9"/>
    <w:rsid w:val="00810BCD"/>
    <w:rsid w:val="00812C98"/>
    <w:rsid w:val="00814D92"/>
    <w:rsid w:val="00824218"/>
    <w:rsid w:val="00890475"/>
    <w:rsid w:val="00892135"/>
    <w:rsid w:val="00895449"/>
    <w:rsid w:val="00897879"/>
    <w:rsid w:val="008C2DDC"/>
    <w:rsid w:val="008F0D63"/>
    <w:rsid w:val="008F2C35"/>
    <w:rsid w:val="0091204F"/>
    <w:rsid w:val="009203DB"/>
    <w:rsid w:val="00943386"/>
    <w:rsid w:val="00957589"/>
    <w:rsid w:val="00982412"/>
    <w:rsid w:val="009D3424"/>
    <w:rsid w:val="009E2089"/>
    <w:rsid w:val="00A06847"/>
    <w:rsid w:val="00A26BD6"/>
    <w:rsid w:val="00A30194"/>
    <w:rsid w:val="00A82CB7"/>
    <w:rsid w:val="00AC36F7"/>
    <w:rsid w:val="00B0767F"/>
    <w:rsid w:val="00B35784"/>
    <w:rsid w:val="00B47002"/>
    <w:rsid w:val="00B7214F"/>
    <w:rsid w:val="00BC45FB"/>
    <w:rsid w:val="00BE3BD1"/>
    <w:rsid w:val="00C83A35"/>
    <w:rsid w:val="00C9176A"/>
    <w:rsid w:val="00CA3B93"/>
    <w:rsid w:val="00D44018"/>
    <w:rsid w:val="00D867D7"/>
    <w:rsid w:val="00DB7060"/>
    <w:rsid w:val="00DE3153"/>
    <w:rsid w:val="00E13C27"/>
    <w:rsid w:val="00E33BBD"/>
    <w:rsid w:val="00E45103"/>
    <w:rsid w:val="00E665B9"/>
    <w:rsid w:val="00EA01E6"/>
    <w:rsid w:val="00EA758F"/>
    <w:rsid w:val="00ED4A6F"/>
    <w:rsid w:val="00EF3A3A"/>
    <w:rsid w:val="00F230C5"/>
    <w:rsid w:val="00FF6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default">
    <w:name w:val="default"/>
    <w:basedOn w:val="a0"/>
    <w:rsid w:val="007A6EB9"/>
    <w:rPr>
      <w:rFonts w:ascii="Times New Roman" w:hAnsi="Times New Roman" w:cs="Times New Roman"/>
      <w:sz w:val="26"/>
      <w:szCs w:val="26"/>
    </w:rPr>
  </w:style>
  <w:style w:type="paragraph" w:customStyle="1" w:styleId="P00">
    <w:name w:val="P00"/>
    <w:rsid w:val="007A6EB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styleId="ab">
    <w:name w:val="Balloon Text"/>
    <w:basedOn w:val="a"/>
    <w:link w:val="ac"/>
    <w:semiHidden/>
    <w:unhideWhenUsed/>
    <w:rsid w:val="007A6EB9"/>
    <w:pPr>
      <w:spacing w:before="0" w:line="240" w:lineRule="auto"/>
    </w:pPr>
    <w:rPr>
      <w:rFonts w:ascii="Tahoma" w:hAnsi="Tahoma" w:cs="Tahoma"/>
      <w:sz w:val="16"/>
      <w:szCs w:val="16"/>
    </w:rPr>
  </w:style>
  <w:style w:type="character" w:customStyle="1" w:styleId="ac">
    <w:name w:val="טקסט בלונים תו"/>
    <w:basedOn w:val="a0"/>
    <w:link w:val="ab"/>
    <w:semiHidden/>
    <w:rsid w:val="007A6EB9"/>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default">
    <w:name w:val="default"/>
    <w:basedOn w:val="a0"/>
    <w:rsid w:val="007A6EB9"/>
    <w:rPr>
      <w:rFonts w:ascii="Times New Roman" w:hAnsi="Times New Roman" w:cs="Times New Roman"/>
      <w:sz w:val="26"/>
      <w:szCs w:val="26"/>
    </w:rPr>
  </w:style>
  <w:style w:type="paragraph" w:customStyle="1" w:styleId="P00">
    <w:name w:val="P00"/>
    <w:rsid w:val="007A6EB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styleId="ab">
    <w:name w:val="Balloon Text"/>
    <w:basedOn w:val="a"/>
    <w:link w:val="ac"/>
    <w:semiHidden/>
    <w:unhideWhenUsed/>
    <w:rsid w:val="007A6EB9"/>
    <w:pPr>
      <w:spacing w:before="0" w:line="240" w:lineRule="auto"/>
    </w:pPr>
    <w:rPr>
      <w:rFonts w:ascii="Tahoma" w:hAnsi="Tahoma" w:cs="Tahoma"/>
      <w:sz w:val="16"/>
      <w:szCs w:val="16"/>
    </w:rPr>
  </w:style>
  <w:style w:type="character" w:customStyle="1" w:styleId="ac">
    <w:name w:val="טקסט בלונים תו"/>
    <w:basedOn w:val="a0"/>
    <w:link w:val="ab"/>
    <w:semiHidden/>
    <w:rsid w:val="007A6EB9"/>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4860">
      <w:bodyDiv w:val="1"/>
      <w:marLeft w:val="0"/>
      <w:marRight w:val="0"/>
      <w:marTop w:val="0"/>
      <w:marBottom w:val="0"/>
      <w:divBdr>
        <w:top w:val="none" w:sz="0" w:space="0" w:color="auto"/>
        <w:left w:val="none" w:sz="0" w:space="0" w:color="auto"/>
        <w:bottom w:val="none" w:sz="0" w:space="0" w:color="auto"/>
        <w:right w:val="none" w:sz="0" w:space="0" w:color="auto"/>
      </w:divBdr>
    </w:div>
    <w:div w:id="19265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D6771-A8B4-4BE2-8DF6-BC26D09CBF01}"/>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28FF1F24-5190-42AE-82C5-41053B9EB0AB}"/>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2265</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גיל ברינגר</dc:creator>
  <cp:keywords/>
  <dc:description/>
  <cp:lastModifiedBy>לילך יעיש</cp:lastModifiedBy>
  <cp:revision>2</cp:revision>
  <cp:lastPrinted>2014-11-30T06:52:00Z</cp:lastPrinted>
  <dcterms:created xsi:type="dcterms:W3CDTF">2014-11-30T06:53:00Z</dcterms:created>
  <dcterms:modified xsi:type="dcterms:W3CDTF">2014-11-30T06:53:00Z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