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21B" w:rsidRPr="0066647E" w:rsidRDefault="00C4621B" w:rsidP="00C4621B">
      <w:pPr>
        <w:pStyle w:val="HeadHatzaotHok"/>
        <w:jc w:val="right"/>
        <w:rPr>
          <w:b w:val="0"/>
          <w:bCs w:val="0"/>
          <w:szCs w:val="20"/>
        </w:rPr>
      </w:pPr>
      <w:r w:rsidRPr="0066647E">
        <w:rPr>
          <w:rFonts w:hint="cs"/>
          <w:b w:val="0"/>
          <w:bCs w:val="0"/>
          <w:szCs w:val="20"/>
          <w:rtl/>
        </w:rPr>
        <w:t xml:space="preserve">מספר פנימי: </w:t>
      </w:r>
      <w:bookmarkStart w:id="0" w:name="ItemID"/>
      <w:r w:rsidRPr="0066647E">
        <w:rPr>
          <w:b w:val="0"/>
          <w:bCs w:val="0"/>
          <w:szCs w:val="20"/>
          <w:rtl/>
        </w:rPr>
        <w:t>557877</w:t>
      </w:r>
      <w:bookmarkStart w:id="1" w:name="_GoBack"/>
      <w:bookmarkEnd w:id="0"/>
      <w:bookmarkEnd w:id="1"/>
    </w:p>
    <w:p w:rsidR="00C4621B" w:rsidRPr="00DB7060" w:rsidRDefault="00C4621B" w:rsidP="00C4621B">
      <w:pPr>
        <w:pStyle w:val="HeadHatzaotHok"/>
        <w:rPr>
          <w:sz w:val="28"/>
          <w:szCs w:val="28"/>
          <w:rtl/>
        </w:rPr>
      </w:pPr>
      <w:r w:rsidRPr="00DB7060">
        <w:rPr>
          <w:rFonts w:hint="cs"/>
          <w:sz w:val="28"/>
          <w:szCs w:val="28"/>
          <w:rtl/>
        </w:rPr>
        <w:t xml:space="preserve">הכנסת </w:t>
      </w:r>
      <w:bookmarkStart w:id="2" w:name="KnessetNum"/>
      <w:r w:rsidRPr="00DA2E97">
        <w:rPr>
          <w:sz w:val="28"/>
          <w:szCs w:val="28"/>
          <w:rtl/>
        </w:rPr>
        <w:t>התשע-עשרה</w:t>
      </w:r>
      <w:bookmarkEnd w:id="2"/>
    </w:p>
    <w:p w:rsidR="00C4621B" w:rsidRDefault="00C4621B" w:rsidP="00C4621B">
      <w:pPr>
        <w:rPr>
          <w:rFonts w:cs="David"/>
          <w:sz w:val="26"/>
          <w:szCs w:val="26"/>
          <w:rtl/>
        </w:rPr>
      </w:pPr>
    </w:p>
    <w:p w:rsidR="00C4621B" w:rsidRPr="0091423C" w:rsidRDefault="00C4621B" w:rsidP="00C4621B">
      <w:pPr>
        <w:pStyle w:val="David"/>
        <w:ind w:left="2880" w:firstLine="663"/>
        <w:rPr>
          <w:b/>
          <w:bCs/>
        </w:rPr>
      </w:pPr>
      <w:bookmarkStart w:id="3" w:name="MKsSingleOrMulti"/>
      <w:r w:rsidRPr="0091423C">
        <w:rPr>
          <w:b/>
          <w:bCs/>
          <w:rtl/>
        </w:rPr>
        <w:t>יוזמים:      חברי הכנסת</w:t>
      </w:r>
      <w:bookmarkEnd w:id="3"/>
      <w:r w:rsidRPr="0091423C">
        <w:rPr>
          <w:b/>
          <w:bCs/>
        </w:rPr>
        <w:tab/>
      </w:r>
      <w:bookmarkStart w:id="4" w:name="MKs"/>
      <w:r w:rsidRPr="0091423C">
        <w:rPr>
          <w:b/>
          <w:bCs/>
          <w:rtl/>
        </w:rPr>
        <w:t>ישראל אייכלר</w:t>
      </w:r>
    </w:p>
    <w:p w:rsidR="00C4621B" w:rsidRPr="0091423C" w:rsidRDefault="00C4621B" w:rsidP="00C4621B">
      <w:pPr>
        <w:pStyle w:val="David"/>
        <w:ind w:left="2880" w:firstLine="663"/>
        <w:rPr>
          <w:b/>
          <w:bCs/>
        </w:rPr>
      </w:pPr>
      <w:r w:rsidRPr="0091423C">
        <w:rPr>
          <w:b/>
          <w:bCs/>
        </w:rPr>
        <w:tab/>
      </w:r>
      <w:r w:rsidRPr="0091423C">
        <w:rPr>
          <w:b/>
          <w:bCs/>
        </w:rPr>
        <w:tab/>
      </w:r>
      <w:r w:rsidRPr="0091423C">
        <w:rPr>
          <w:b/>
          <w:bCs/>
        </w:rPr>
        <w:tab/>
      </w:r>
      <w:r w:rsidRPr="0091423C">
        <w:rPr>
          <w:b/>
          <w:bCs/>
        </w:rPr>
        <w:tab/>
      </w:r>
      <w:r w:rsidRPr="0091423C">
        <w:rPr>
          <w:b/>
          <w:bCs/>
        </w:rPr>
        <w:tab/>
      </w:r>
      <w:r w:rsidRPr="0091423C">
        <w:rPr>
          <w:b/>
          <w:bCs/>
          <w:rtl/>
        </w:rPr>
        <w:t>מירי רגב</w:t>
      </w:r>
    </w:p>
    <w:p w:rsidR="00C4621B" w:rsidRPr="0091423C" w:rsidRDefault="00C4621B" w:rsidP="00C4621B">
      <w:pPr>
        <w:pStyle w:val="David"/>
        <w:ind w:left="2880" w:firstLine="663"/>
        <w:rPr>
          <w:b/>
          <w:bCs/>
        </w:rPr>
      </w:pPr>
      <w:r w:rsidRPr="0091423C">
        <w:rPr>
          <w:b/>
          <w:bCs/>
        </w:rPr>
        <w:tab/>
      </w:r>
      <w:r w:rsidRPr="0091423C">
        <w:rPr>
          <w:b/>
          <w:bCs/>
        </w:rPr>
        <w:tab/>
      </w:r>
      <w:r w:rsidRPr="0091423C">
        <w:rPr>
          <w:b/>
          <w:bCs/>
        </w:rPr>
        <w:tab/>
      </w:r>
      <w:r w:rsidRPr="0091423C">
        <w:rPr>
          <w:b/>
          <w:bCs/>
        </w:rPr>
        <w:tab/>
      </w:r>
      <w:r w:rsidRPr="0091423C">
        <w:rPr>
          <w:b/>
          <w:bCs/>
        </w:rPr>
        <w:tab/>
      </w:r>
      <w:r w:rsidRPr="0091423C">
        <w:rPr>
          <w:b/>
          <w:bCs/>
          <w:rtl/>
        </w:rPr>
        <w:t>דב חנין</w:t>
      </w:r>
    </w:p>
    <w:p w:rsidR="00C4621B" w:rsidRPr="0091423C" w:rsidRDefault="00C4621B" w:rsidP="00C4621B">
      <w:pPr>
        <w:pStyle w:val="David"/>
        <w:ind w:left="2880" w:firstLine="663"/>
        <w:rPr>
          <w:b/>
          <w:bCs/>
        </w:rPr>
      </w:pPr>
      <w:r w:rsidRPr="0091423C">
        <w:rPr>
          <w:b/>
          <w:bCs/>
        </w:rPr>
        <w:tab/>
      </w:r>
      <w:r w:rsidRPr="0091423C">
        <w:rPr>
          <w:b/>
          <w:bCs/>
        </w:rPr>
        <w:tab/>
      </w:r>
      <w:r w:rsidRPr="0091423C">
        <w:rPr>
          <w:b/>
          <w:bCs/>
        </w:rPr>
        <w:tab/>
      </w:r>
      <w:r w:rsidRPr="0091423C">
        <w:rPr>
          <w:b/>
          <w:bCs/>
        </w:rPr>
        <w:tab/>
      </w:r>
      <w:r w:rsidRPr="0091423C">
        <w:rPr>
          <w:b/>
          <w:bCs/>
        </w:rPr>
        <w:tab/>
      </w:r>
      <w:r w:rsidRPr="0091423C">
        <w:rPr>
          <w:b/>
          <w:bCs/>
          <w:rtl/>
        </w:rPr>
        <w:t>יעקב ליצמן</w:t>
      </w:r>
    </w:p>
    <w:p w:rsidR="00C4621B" w:rsidRPr="00927E9A" w:rsidRDefault="00C4621B" w:rsidP="00C4621B">
      <w:pPr>
        <w:pStyle w:val="David"/>
        <w:ind w:left="2880" w:firstLine="663"/>
        <w:rPr>
          <w:b/>
          <w:bCs/>
          <w:rtl/>
        </w:rPr>
      </w:pPr>
      <w:r w:rsidRPr="0091423C">
        <w:rPr>
          <w:b/>
          <w:bCs/>
        </w:rPr>
        <w:tab/>
      </w:r>
      <w:r w:rsidRPr="0091423C">
        <w:rPr>
          <w:b/>
          <w:bCs/>
        </w:rPr>
        <w:tab/>
      </w:r>
      <w:r w:rsidRPr="0091423C">
        <w:rPr>
          <w:b/>
          <w:bCs/>
        </w:rPr>
        <w:tab/>
      </w:r>
      <w:r w:rsidRPr="0091423C">
        <w:rPr>
          <w:b/>
          <w:bCs/>
        </w:rPr>
        <w:tab/>
      </w:r>
      <w:r w:rsidRPr="0091423C">
        <w:rPr>
          <w:b/>
          <w:bCs/>
        </w:rPr>
        <w:tab/>
      </w:r>
      <w:r w:rsidRPr="0091423C">
        <w:rPr>
          <w:b/>
          <w:bCs/>
          <w:rtl/>
        </w:rPr>
        <w:t>מיכל רוזין</w:t>
      </w:r>
      <w:bookmarkEnd w:id="4"/>
    </w:p>
    <w:p w:rsidR="00C4621B" w:rsidRDefault="00C4621B" w:rsidP="00C4621B">
      <w:pPr>
        <w:pStyle w:val="David"/>
        <w:ind w:left="2880" w:firstLine="663"/>
        <w:rPr>
          <w:rtl/>
        </w:rPr>
      </w:pPr>
      <w:r>
        <w:rPr>
          <w:rFonts w:hint="cs"/>
          <w:b/>
          <w:bCs/>
          <w:rtl/>
        </w:rPr>
        <w:tab/>
      </w:r>
      <w:r>
        <w:rPr>
          <w:rFonts w:hint="cs"/>
          <w:b/>
          <w:bCs/>
          <w:rtl/>
        </w:rPr>
        <w:tab/>
      </w:r>
      <w:r>
        <w:rPr>
          <w:rFonts w:hint="cs"/>
          <w:b/>
          <w:bCs/>
          <w:rtl/>
        </w:rPr>
        <w:tab/>
      </w:r>
      <w:r>
        <w:rPr>
          <w:rFonts w:hint="cs"/>
          <w:b/>
          <w:bCs/>
          <w:rtl/>
        </w:rPr>
        <w:tab/>
      </w:r>
      <w:r>
        <w:rPr>
          <w:rFonts w:hint="cs"/>
          <w:b/>
          <w:bCs/>
          <w:rtl/>
        </w:rPr>
        <w:tab/>
      </w:r>
      <w:r>
        <w:rPr>
          <w:noProof/>
          <w:rtl/>
          <w:lang w:eastAsia="en-US"/>
        </w:rPr>
        <mc:AlternateContent>
          <mc:Choice Requires="wps">
            <w:drawing>
              <wp:anchor distT="0" distB="0" distL="114300" distR="114300" simplePos="0" relativeHeight="251660288" behindDoc="0" locked="0" layoutInCell="1" allowOverlap="1" wp14:anchorId="23A5C975" wp14:editId="2A2E531D">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5" w:name="MKsSingleOrMulti1"/>
      <w:bookmarkEnd w:id="5"/>
      <w:r>
        <w:rPr>
          <w:rFonts w:hint="cs"/>
          <w:rtl/>
        </w:rPr>
        <w:tab/>
      </w:r>
      <w:bookmarkStart w:id="6" w:name="MKs1"/>
      <w:bookmarkEnd w:id="6"/>
    </w:p>
    <w:p w:rsidR="00C4621B" w:rsidRDefault="00C4621B" w:rsidP="00C4621B">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9264" behindDoc="0" locked="0" layoutInCell="1" allowOverlap="1" wp14:anchorId="4E374F8F" wp14:editId="3AF3FA7D">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r>
      <w:bookmarkStart w:id="7" w:name="LawNum"/>
      <w:r w:rsidR="007E318C" w:rsidRPr="007E318C">
        <w:rPr>
          <w:rFonts w:cs="David"/>
          <w:sz w:val="26"/>
          <w:szCs w:val="26"/>
          <w:rtl/>
        </w:rPr>
        <w:t>פ/2890/19</w:t>
      </w:r>
      <w:bookmarkEnd w:id="7"/>
      <w:r>
        <w:rPr>
          <w:rFonts w:cs="David" w:hint="cs"/>
          <w:sz w:val="26"/>
          <w:szCs w:val="26"/>
          <w:rtl/>
        </w:rPr>
        <w:tab/>
      </w:r>
      <w:r>
        <w:rPr>
          <w:rFonts w:cs="David" w:hint="cs"/>
          <w:sz w:val="26"/>
          <w:szCs w:val="26"/>
          <w:rtl/>
        </w:rPr>
        <w:tab/>
      </w:r>
      <w:r>
        <w:rPr>
          <w:rFonts w:cs="David" w:hint="cs"/>
          <w:sz w:val="26"/>
          <w:szCs w:val="26"/>
          <w:rtl/>
        </w:rPr>
        <w:tab/>
      </w:r>
    </w:p>
    <w:p w:rsidR="00C4621B" w:rsidRDefault="00C4621B" w:rsidP="00C4621B">
      <w:pPr>
        <w:spacing w:before="0" w:line="360" w:lineRule="auto"/>
        <w:ind w:left="2880" w:firstLine="720"/>
        <w:rPr>
          <w:rFonts w:cs="David"/>
          <w:sz w:val="26"/>
          <w:szCs w:val="26"/>
          <w:rtl/>
        </w:rPr>
      </w:pPr>
    </w:p>
    <w:p w:rsidR="00C4621B" w:rsidRDefault="00C4621B" w:rsidP="00C4621B">
      <w:pPr>
        <w:pStyle w:val="HeadHatzaotHok"/>
        <w:tabs>
          <w:tab w:val="left" w:pos="4071"/>
          <w:tab w:val="center" w:pos="4819"/>
        </w:tabs>
        <w:spacing w:before="0"/>
        <w:rPr>
          <w:sz w:val="26"/>
          <w:rtl/>
        </w:rPr>
      </w:pPr>
      <w:bookmarkStart w:id="8" w:name="Title"/>
      <w:r w:rsidRPr="00F95AA9">
        <w:rPr>
          <w:sz w:val="26"/>
          <w:rtl/>
        </w:rPr>
        <w:t xml:space="preserve">הצעת חוק ההוצאה לפועל (תיקון </w:t>
      </w:r>
      <w:r>
        <w:rPr>
          <w:rFonts w:hint="cs"/>
          <w:sz w:val="26"/>
          <w:rtl/>
        </w:rPr>
        <w:t>–</w:t>
      </w:r>
      <w:r w:rsidRPr="00F95AA9">
        <w:rPr>
          <w:sz w:val="26"/>
          <w:rtl/>
        </w:rPr>
        <w:t xml:space="preserve"> ביטול האפשרות לצוות על עיכוב יציאה מהארץ בגין חוב כספי נמוך), </w:t>
      </w:r>
      <w:proofErr w:type="spellStart"/>
      <w:r w:rsidRPr="00F95AA9">
        <w:rPr>
          <w:sz w:val="26"/>
          <w:rtl/>
        </w:rPr>
        <w:t>התשע"ה</w:t>
      </w:r>
      <w:proofErr w:type="spellEnd"/>
      <w:r>
        <w:rPr>
          <w:rFonts w:hint="cs"/>
          <w:sz w:val="26"/>
          <w:rtl/>
        </w:rPr>
        <w:t>–</w:t>
      </w:r>
      <w:r w:rsidRPr="00F95AA9">
        <w:rPr>
          <w:sz w:val="26"/>
          <w:rtl/>
        </w:rPr>
        <w:t>2014</w:t>
      </w:r>
      <w:bookmarkEnd w:id="8"/>
    </w:p>
    <w:p w:rsidR="00C4621B" w:rsidRDefault="00C4621B" w:rsidP="00C4621B">
      <w:pPr>
        <w:pStyle w:val="HeadHatzaotHok"/>
        <w:tabs>
          <w:tab w:val="left" w:pos="4071"/>
          <w:tab w:val="center" w:pos="4819"/>
        </w:tabs>
        <w:spacing w:before="0"/>
        <w:rPr>
          <w:sz w:val="26"/>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C4621B" w:rsidTr="0091423C">
        <w:trPr>
          <w:cantSplit/>
          <w:trHeight w:val="60"/>
        </w:trPr>
        <w:tc>
          <w:tcPr>
            <w:tcW w:w="1871" w:type="dxa"/>
          </w:tcPr>
          <w:p w:rsidR="00C4621B" w:rsidRDefault="00C4621B" w:rsidP="0091423C">
            <w:pPr>
              <w:pStyle w:val="TableSideHeading"/>
              <w:keepLines w:val="0"/>
            </w:pPr>
            <w:r>
              <w:rPr>
                <w:rFonts w:hint="cs"/>
                <w:rtl/>
              </w:rPr>
              <w:t>תיקון סעיף 14</w:t>
            </w:r>
          </w:p>
        </w:tc>
        <w:tc>
          <w:tcPr>
            <w:tcW w:w="624" w:type="dxa"/>
          </w:tcPr>
          <w:p w:rsidR="00C4621B" w:rsidRDefault="00C4621B" w:rsidP="0091423C">
            <w:pPr>
              <w:pStyle w:val="TableText"/>
              <w:keepLines w:val="0"/>
            </w:pPr>
            <w:r>
              <w:rPr>
                <w:rFonts w:hint="cs"/>
                <w:rtl/>
              </w:rPr>
              <w:t>1.</w:t>
            </w:r>
          </w:p>
        </w:tc>
        <w:tc>
          <w:tcPr>
            <w:tcW w:w="7146" w:type="dxa"/>
          </w:tcPr>
          <w:p w:rsidR="00C4621B" w:rsidRPr="00C34DE2" w:rsidRDefault="00C4621B" w:rsidP="0091423C">
            <w:pPr>
              <w:pStyle w:val="TableBlock"/>
              <w:keepLines w:val="0"/>
            </w:pPr>
            <w:r>
              <w:rPr>
                <w:rFonts w:hint="cs"/>
                <w:rtl/>
              </w:rPr>
              <w:t xml:space="preserve">בחוק ההוצאה לפועל, </w:t>
            </w:r>
            <w:proofErr w:type="spellStart"/>
            <w:r>
              <w:rPr>
                <w:rFonts w:hint="cs"/>
                <w:rtl/>
              </w:rPr>
              <w:t>התשכ"ז</w:t>
            </w:r>
            <w:proofErr w:type="spellEnd"/>
            <w:r>
              <w:rPr>
                <w:rFonts w:hint="cs"/>
                <w:rtl/>
              </w:rPr>
              <w:t>–1967</w:t>
            </w:r>
            <w:r>
              <w:rPr>
                <w:rStyle w:val="a5"/>
                <w:rtl/>
              </w:rPr>
              <w:footnoteReference w:id="2"/>
            </w:r>
            <w:r>
              <w:rPr>
                <w:rFonts w:hint="cs"/>
                <w:rtl/>
              </w:rPr>
              <w:t>, בסעיף 14, אחרי סעיף קטן (ד) יבוא:</w:t>
            </w:r>
          </w:p>
        </w:tc>
      </w:tr>
      <w:tr w:rsidR="00C4621B" w:rsidTr="0091423C">
        <w:trPr>
          <w:cantSplit/>
          <w:trHeight w:val="60"/>
        </w:trPr>
        <w:tc>
          <w:tcPr>
            <w:tcW w:w="1871" w:type="dxa"/>
          </w:tcPr>
          <w:p w:rsidR="00C4621B" w:rsidRDefault="00C4621B" w:rsidP="0091423C">
            <w:pPr>
              <w:pStyle w:val="TableSideHeading"/>
              <w:keepLines w:val="0"/>
              <w:rPr>
                <w:rtl/>
              </w:rPr>
            </w:pPr>
          </w:p>
        </w:tc>
        <w:tc>
          <w:tcPr>
            <w:tcW w:w="624" w:type="dxa"/>
          </w:tcPr>
          <w:p w:rsidR="00C4621B" w:rsidRDefault="00C4621B" w:rsidP="0091423C">
            <w:pPr>
              <w:pStyle w:val="TableText"/>
              <w:rPr>
                <w:rtl/>
              </w:rPr>
            </w:pPr>
          </w:p>
        </w:tc>
        <w:tc>
          <w:tcPr>
            <w:tcW w:w="7146" w:type="dxa"/>
          </w:tcPr>
          <w:p w:rsidR="00C4621B" w:rsidRDefault="00C4621B" w:rsidP="0091423C">
            <w:pPr>
              <w:pStyle w:val="TableBlock"/>
              <w:keepLines w:val="0"/>
              <w:rPr>
                <w:rtl/>
              </w:rPr>
            </w:pPr>
            <w:r>
              <w:rPr>
                <w:rFonts w:hint="cs"/>
                <w:rtl/>
              </w:rPr>
              <w:t>"(ה)</w:t>
            </w:r>
            <w:r>
              <w:rPr>
                <w:rtl/>
              </w:rPr>
              <w:tab/>
            </w:r>
            <w:r>
              <w:rPr>
                <w:rFonts w:hint="cs"/>
                <w:rtl/>
              </w:rPr>
              <w:t>לא יינקטו האמצעים המנויים בסעיף קטן (א) במקרה שבו קרן החוב קטנה מ-40,000 שקלים חדשים, למעט אם מדובר בחוב מזונות."</w:t>
            </w:r>
          </w:p>
        </w:tc>
      </w:tr>
    </w:tbl>
    <w:p w:rsidR="00C4621B" w:rsidRDefault="00C4621B" w:rsidP="00C4621B">
      <w:pPr>
        <w:pStyle w:val="HeadDivreiHesber"/>
        <w:spacing w:before="0" w:after="0"/>
        <w:rPr>
          <w:rtl/>
        </w:rPr>
      </w:pPr>
    </w:p>
    <w:p w:rsidR="00C4621B" w:rsidRDefault="00C4621B" w:rsidP="00C4621B">
      <w:pPr>
        <w:pStyle w:val="HeadDivreiHesber"/>
        <w:spacing w:before="0" w:after="0"/>
        <w:rPr>
          <w:rtl/>
        </w:rPr>
      </w:pPr>
      <w:r>
        <w:rPr>
          <w:rFonts w:hint="cs"/>
          <w:rtl/>
        </w:rPr>
        <w:t>דברי הסבר</w:t>
      </w:r>
    </w:p>
    <w:p w:rsidR="00C4621B" w:rsidRDefault="00C4621B" w:rsidP="00C4621B">
      <w:pPr>
        <w:pStyle w:val="Hesber"/>
        <w:rPr>
          <w:rtl/>
        </w:rPr>
      </w:pPr>
      <w:r>
        <w:rPr>
          <w:rFonts w:hint="cs"/>
          <w:rtl/>
        </w:rPr>
        <w:t>בכל מדינות העולם מאפשרים לעכב יציאת אדם מהמדינה בשל עבירה פלילית, חובות גדולים או חוב מזונות לא</w:t>
      </w:r>
      <w:r w:rsidR="0066647E">
        <w:rPr>
          <w:rFonts w:hint="cs"/>
          <w:rtl/>
        </w:rPr>
        <w:t>י</w:t>
      </w:r>
      <w:r>
        <w:rPr>
          <w:rFonts w:hint="cs"/>
          <w:rtl/>
        </w:rPr>
        <w:t>שה.</w:t>
      </w:r>
    </w:p>
    <w:p w:rsidR="00C4621B" w:rsidRDefault="00C4621B" w:rsidP="00C4621B">
      <w:pPr>
        <w:pStyle w:val="Hesber"/>
        <w:rPr>
          <w:rtl/>
        </w:rPr>
      </w:pPr>
      <w:r>
        <w:rPr>
          <w:rFonts w:hint="cs"/>
          <w:rtl/>
        </w:rPr>
        <w:t>לעיתים נגרם עוול למעוכב היציאה, כאשר מתברר כי כבר שילם את חובו ועורכי הדין לא מיהרו להסיר את בקשת העיכוב.</w:t>
      </w:r>
    </w:p>
    <w:p w:rsidR="00C4621B" w:rsidRDefault="00C4621B" w:rsidP="00C4621B">
      <w:pPr>
        <w:pStyle w:val="Hesber"/>
        <w:rPr>
          <w:rtl/>
        </w:rPr>
      </w:pPr>
      <w:r>
        <w:rPr>
          <w:rFonts w:hint="cs"/>
          <w:rtl/>
        </w:rPr>
        <w:t>גופים כגון בנקים וחברות סלולר מפעילים סוללות עורכי דין המשתמשים בבקרי הגבול ובשערי היציאה מהארץ כמנגנון גביית חובות יעיל. נוצר מצב שבו אנשים רצים לשלם את החוב בנמל התעופה, המטוסים והנוסעים מתעכבים עד לסידור החוב והשלכות העיכובים הללו נופלות גם על הציבור וחברות התעופה.</w:t>
      </w:r>
    </w:p>
    <w:p w:rsidR="00C4621B" w:rsidRDefault="00C4621B" w:rsidP="0066647E">
      <w:pPr>
        <w:pStyle w:val="Hesber"/>
        <w:rPr>
          <w:rtl/>
        </w:rPr>
      </w:pPr>
      <w:r>
        <w:rPr>
          <w:rFonts w:hint="cs"/>
          <w:rtl/>
        </w:rPr>
        <w:t xml:space="preserve">לכן מוצע להגביל את השימוש במנגנון זה לחובות המצדיקים זאת, של סכומים שעומדים על 40,000 </w:t>
      </w:r>
      <w:r w:rsidR="0066647E">
        <w:rPr>
          <w:rFonts w:hint="cs"/>
          <w:rtl/>
        </w:rPr>
        <w:t>שקלים חדשים</w:t>
      </w:r>
      <w:r>
        <w:rPr>
          <w:rFonts w:hint="cs"/>
          <w:rtl/>
        </w:rPr>
        <w:t xml:space="preserve"> ומעלה וחובות של דמי מזונות.</w:t>
      </w:r>
    </w:p>
    <w:p w:rsidR="0066647E" w:rsidRPr="0022704F" w:rsidRDefault="0066647E" w:rsidP="0066647E">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rsidR="0066647E" w:rsidRPr="0022704F" w:rsidRDefault="0066647E" w:rsidP="0066647E">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rsidR="0066647E" w:rsidRPr="0022704F" w:rsidRDefault="0066647E" w:rsidP="0066647E">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rsidR="0066647E" w:rsidRPr="00BE2391" w:rsidRDefault="0066647E" w:rsidP="0066647E">
      <w:pPr>
        <w:ind w:left="340" w:firstLine="0"/>
      </w:pPr>
      <w:r>
        <w:rPr>
          <w:rFonts w:ascii="Arial" w:eastAsia="Arial Unicode MS" w:hAnsi="Arial" w:cs="David" w:hint="cs"/>
          <w:snapToGrid w:val="0"/>
          <w:spacing w:val="0"/>
          <w:sz w:val="20"/>
          <w:szCs w:val="26"/>
          <w:rtl/>
        </w:rPr>
        <w:t xml:space="preserve">ב' בכסלו </w:t>
      </w:r>
      <w:proofErr w:type="spellStart"/>
      <w:r>
        <w:rPr>
          <w:rFonts w:ascii="Arial" w:eastAsia="Arial Unicode MS" w:hAnsi="Arial" w:cs="David" w:hint="cs"/>
          <w:snapToGrid w:val="0"/>
          <w:spacing w:val="0"/>
          <w:sz w:val="20"/>
          <w:szCs w:val="26"/>
          <w:rtl/>
        </w:rPr>
        <w:t>התשע"ה</w:t>
      </w:r>
      <w:proofErr w:type="spellEnd"/>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24</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11</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14</w:t>
      </w:r>
    </w:p>
    <w:p w:rsidR="002F52FD" w:rsidRPr="00C4621B" w:rsidRDefault="002F52FD" w:rsidP="00C4621B">
      <w:pPr>
        <w:rPr>
          <w:rtl/>
        </w:rPr>
      </w:pPr>
    </w:p>
    <w:sectPr w:rsidR="002F52FD" w:rsidRPr="00C4621B"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256" w:rsidRDefault="00892256">
      <w:r>
        <w:separator/>
      </w:r>
    </w:p>
  </w:endnote>
  <w:endnote w:type="continuationSeparator" w:id="0">
    <w:p w:rsidR="00892256" w:rsidRDefault="0089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1A0623" w:rsidRDefault="001A062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66647E">
      <w:rPr>
        <w:rStyle w:val="aa"/>
        <w:noProof/>
        <w:rtl/>
      </w:rPr>
      <w:t>2</w:t>
    </w:r>
    <w:r>
      <w:rPr>
        <w:rStyle w:val="aa"/>
        <w:rtl/>
      </w:rPr>
      <w:fldChar w:fldCharType="end"/>
    </w:r>
  </w:p>
  <w:p w:rsidR="001A0623" w:rsidRDefault="001A06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256" w:rsidRDefault="00892256">
      <w:r>
        <w:separator/>
      </w:r>
    </w:p>
  </w:footnote>
  <w:footnote w:type="continuationSeparator" w:id="0">
    <w:p w:rsidR="00892256" w:rsidRDefault="00892256">
      <w:r>
        <w:continuationSeparator/>
      </w:r>
    </w:p>
  </w:footnote>
  <w:footnote w:type="continuationNotice" w:id="1">
    <w:p w:rsidR="00892256" w:rsidRDefault="00892256"/>
  </w:footnote>
  <w:footnote w:id="2">
    <w:p w:rsidR="00C4621B" w:rsidRDefault="00C4621B" w:rsidP="00C4621B">
      <w:pPr>
        <w:pStyle w:val="a4"/>
        <w:rPr>
          <w:rtl/>
        </w:rPr>
      </w:pPr>
      <w:r>
        <w:rPr>
          <w:rStyle w:val="a5"/>
        </w:rPr>
        <w:footnoteRef/>
      </w:r>
      <w:r>
        <w:rPr>
          <w:rtl/>
        </w:rPr>
        <w:t xml:space="preserve"> </w:t>
      </w:r>
      <w:r>
        <w:rPr>
          <w:rFonts w:hint="cs"/>
          <w:rtl/>
        </w:rPr>
        <w:t xml:space="preserve">ס"ח </w:t>
      </w:r>
      <w:proofErr w:type="spellStart"/>
      <w:r>
        <w:rPr>
          <w:rFonts w:hint="cs"/>
          <w:rtl/>
        </w:rPr>
        <w:t>התשכ"ז</w:t>
      </w:r>
      <w:proofErr w:type="spellEnd"/>
      <w:r>
        <w:rPr>
          <w:rFonts w:hint="cs"/>
          <w:rtl/>
        </w:rPr>
        <w:t>, עמ' 116.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557877lsCopyOriginal.docx"/>
    <w:docVar w:name="StartMode" w:val="3"/>
  </w:docVars>
  <w:rsids>
    <w:rsidRoot w:val="00DB7060"/>
    <w:rsid w:val="00015B27"/>
    <w:rsid w:val="000A542E"/>
    <w:rsid w:val="001207F8"/>
    <w:rsid w:val="00121924"/>
    <w:rsid w:val="001279A8"/>
    <w:rsid w:val="0014195F"/>
    <w:rsid w:val="00152609"/>
    <w:rsid w:val="00153E1B"/>
    <w:rsid w:val="001A0623"/>
    <w:rsid w:val="001C23B0"/>
    <w:rsid w:val="00203A7F"/>
    <w:rsid w:val="002200A1"/>
    <w:rsid w:val="002362BF"/>
    <w:rsid w:val="00241B97"/>
    <w:rsid w:val="00254605"/>
    <w:rsid w:val="002728B4"/>
    <w:rsid w:val="00292712"/>
    <w:rsid w:val="002A4AE4"/>
    <w:rsid w:val="002C2E29"/>
    <w:rsid w:val="002F52FD"/>
    <w:rsid w:val="003232A2"/>
    <w:rsid w:val="00332BAD"/>
    <w:rsid w:val="003710F6"/>
    <w:rsid w:val="00386E88"/>
    <w:rsid w:val="003D74A0"/>
    <w:rsid w:val="004033D8"/>
    <w:rsid w:val="0047233B"/>
    <w:rsid w:val="004D3876"/>
    <w:rsid w:val="004E4552"/>
    <w:rsid w:val="004F0F8A"/>
    <w:rsid w:val="00553C9D"/>
    <w:rsid w:val="005B064E"/>
    <w:rsid w:val="005D51AE"/>
    <w:rsid w:val="00644940"/>
    <w:rsid w:val="0066647E"/>
    <w:rsid w:val="006818A9"/>
    <w:rsid w:val="006C1D0D"/>
    <w:rsid w:val="0070601E"/>
    <w:rsid w:val="00765F66"/>
    <w:rsid w:val="007D5A12"/>
    <w:rsid w:val="007E318C"/>
    <w:rsid w:val="007E59F9"/>
    <w:rsid w:val="00810BCD"/>
    <w:rsid w:val="00812C98"/>
    <w:rsid w:val="00814D92"/>
    <w:rsid w:val="00892135"/>
    <w:rsid w:val="00892256"/>
    <w:rsid w:val="00895449"/>
    <w:rsid w:val="00897879"/>
    <w:rsid w:val="008C2DDC"/>
    <w:rsid w:val="008F0D63"/>
    <w:rsid w:val="008F2C35"/>
    <w:rsid w:val="0090278F"/>
    <w:rsid w:val="0091204F"/>
    <w:rsid w:val="009203DB"/>
    <w:rsid w:val="00943386"/>
    <w:rsid w:val="00957589"/>
    <w:rsid w:val="00982412"/>
    <w:rsid w:val="00A26BD6"/>
    <w:rsid w:val="00A82CB7"/>
    <w:rsid w:val="00A84905"/>
    <w:rsid w:val="00A94F8C"/>
    <w:rsid w:val="00AC36F7"/>
    <w:rsid w:val="00AD1050"/>
    <w:rsid w:val="00B35784"/>
    <w:rsid w:val="00BC45FB"/>
    <w:rsid w:val="00C4621B"/>
    <w:rsid w:val="00C9176A"/>
    <w:rsid w:val="00CE32F9"/>
    <w:rsid w:val="00D867D7"/>
    <w:rsid w:val="00DA2E97"/>
    <w:rsid w:val="00DB7060"/>
    <w:rsid w:val="00DE3153"/>
    <w:rsid w:val="00E13C27"/>
    <w:rsid w:val="00E33BBD"/>
    <w:rsid w:val="00E45103"/>
    <w:rsid w:val="00E665B9"/>
    <w:rsid w:val="00EA01E6"/>
    <w:rsid w:val="00EA758F"/>
    <w:rsid w:val="00ED4A6F"/>
    <w:rsid w:val="00EF3A3A"/>
    <w:rsid w:val="00F22039"/>
    <w:rsid w:val="00F50529"/>
    <w:rsid w:val="00F7746D"/>
    <w:rsid w:val="00F95A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autoRedefine/>
    <w:semiHidden/>
    <w:rsid w:val="00943386"/>
    <w:pPr>
      <w:spacing w:line="240" w:lineRule="auto"/>
      <w:ind w:left="227" w:hanging="227"/>
    </w:pPr>
    <w:rPr>
      <w:sz w:val="14"/>
      <w:szCs w:val="20"/>
    </w:rPr>
  </w:style>
  <w:style w:type="character" w:styleId="a5">
    <w:name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6">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7">
    <w:name w:val="header"/>
    <w:basedOn w:val="a"/>
    <w:rsid w:val="00943386"/>
    <w:pPr>
      <w:tabs>
        <w:tab w:val="center" w:pos="4153"/>
        <w:tab w:val="right" w:pos="8306"/>
      </w:tabs>
    </w:pPr>
  </w:style>
  <w:style w:type="paragraph" w:styleId="a8">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2F52FD"/>
    <w:pPr>
      <w:spacing w:before="0" w:line="240" w:lineRule="auto"/>
    </w:pPr>
    <w:rPr>
      <w:rFonts w:ascii="Tahoma" w:hAnsi="Tahoma" w:cs="Tahoma"/>
      <w:sz w:val="16"/>
      <w:szCs w:val="16"/>
    </w:rPr>
  </w:style>
  <w:style w:type="character" w:customStyle="1" w:styleId="ac">
    <w:name w:val="טקסט בלונים תו"/>
    <w:basedOn w:val="a0"/>
    <w:link w:val="ab"/>
    <w:semiHidden/>
    <w:rsid w:val="002F52FD"/>
    <w:rPr>
      <w:rFonts w:ascii="Tahoma" w:hAnsi="Tahoma" w:cs="Tahoma"/>
      <w:color w:val="000000"/>
      <w:spacing w:val="1"/>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autoRedefine/>
    <w:semiHidden/>
    <w:rsid w:val="00943386"/>
    <w:pPr>
      <w:spacing w:line="240" w:lineRule="auto"/>
      <w:ind w:left="227" w:hanging="227"/>
    </w:pPr>
    <w:rPr>
      <w:sz w:val="14"/>
      <w:szCs w:val="20"/>
    </w:rPr>
  </w:style>
  <w:style w:type="character" w:styleId="a5">
    <w:name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6">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7">
    <w:name w:val="header"/>
    <w:basedOn w:val="a"/>
    <w:rsid w:val="00943386"/>
    <w:pPr>
      <w:tabs>
        <w:tab w:val="center" w:pos="4153"/>
        <w:tab w:val="right" w:pos="8306"/>
      </w:tabs>
    </w:pPr>
  </w:style>
  <w:style w:type="paragraph" w:styleId="a8">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2F52FD"/>
    <w:pPr>
      <w:spacing w:before="0" w:line="240" w:lineRule="auto"/>
    </w:pPr>
    <w:rPr>
      <w:rFonts w:ascii="Tahoma" w:hAnsi="Tahoma" w:cs="Tahoma"/>
      <w:sz w:val="16"/>
      <w:szCs w:val="16"/>
    </w:rPr>
  </w:style>
  <w:style w:type="character" w:customStyle="1" w:styleId="ac">
    <w:name w:val="טקסט בלונים תו"/>
    <w:basedOn w:val="a0"/>
    <w:link w:val="ab"/>
    <w:semiHidden/>
    <w:rsid w:val="002F52FD"/>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5B401C-2895-4A32-B258-C854C41DAAD5}"/>
</file>

<file path=customXml/itemProps2.xml><?xml version="1.0" encoding="utf-8"?>
<ds:datastoreItem xmlns:ds="http://schemas.openxmlformats.org/officeDocument/2006/customXml" ds:itemID="{53CDC32B-DD97-493E-9196-3EF77D6F9C7D}"/>
</file>

<file path=customXml/itemProps3.xml><?xml version="1.0" encoding="utf-8"?>
<ds:datastoreItem xmlns:ds="http://schemas.openxmlformats.org/officeDocument/2006/customXml" ds:itemID="{88F4AFE3-9455-419C-8851-785A55F44517}"/>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1005</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יצחק פיליפ</dc:creator>
  <cp:keywords/>
  <dc:description/>
  <cp:lastModifiedBy>לילך יעיש</cp:lastModifiedBy>
  <cp:revision>2</cp:revision>
  <cp:lastPrinted>2014-11-20T09:18:00Z</cp:lastPrinted>
  <dcterms:created xsi:type="dcterms:W3CDTF">2014-11-20T09:19:00Z</dcterms:created>
  <dcterms:modified xsi:type="dcterms:W3CDTF">2014-11-20T09:19:00Z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