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825999" w:rsidRDefault="004033D8" w:rsidP="002C2E29">
      <w:pPr>
        <w:pStyle w:val="HeadHatzaotHok"/>
        <w:jc w:val="right"/>
        <w:rPr>
          <w:b w:val="0"/>
          <w:bCs w:val="0"/>
          <w:szCs w:val="20"/>
        </w:rPr>
      </w:pPr>
      <w:r w:rsidRPr="00825999">
        <w:rPr>
          <w:rFonts w:hint="cs"/>
          <w:b w:val="0"/>
          <w:bCs w:val="0"/>
          <w:szCs w:val="20"/>
          <w:rtl/>
        </w:rPr>
        <w:t xml:space="preserve">מספר פנימי: </w:t>
      </w:r>
      <w:bookmarkStart w:id="0" w:name="ItemID"/>
      <w:r w:rsidR="00377D4E" w:rsidRPr="00825999">
        <w:rPr>
          <w:b w:val="0"/>
          <w:bCs w:val="0"/>
          <w:szCs w:val="20"/>
          <w:rtl/>
        </w:rPr>
        <w:t>556495</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377D4E" w:rsidRPr="00377D4E">
        <w:rPr>
          <w:sz w:val="28"/>
          <w:szCs w:val="28"/>
          <w:rtl/>
        </w:rPr>
        <w:t>התשע-עשרה</w:t>
      </w:r>
      <w:bookmarkEnd w:id="1"/>
    </w:p>
    <w:p w:rsidR="00E13C27" w:rsidRDefault="00E13C27" w:rsidP="00E13C27">
      <w:pPr>
        <w:rPr>
          <w:rFonts w:cs="David"/>
          <w:sz w:val="26"/>
          <w:szCs w:val="26"/>
          <w:rtl/>
        </w:rPr>
      </w:pPr>
    </w:p>
    <w:p w:rsidR="00A14B7B" w:rsidRPr="000C052B" w:rsidRDefault="00D5197E" w:rsidP="0091204F">
      <w:pPr>
        <w:pStyle w:val="David"/>
        <w:ind w:left="2880" w:firstLine="663"/>
        <w:rPr>
          <w:b/>
          <w:bCs/>
        </w:rPr>
      </w:pPr>
      <w:bookmarkStart w:id="2" w:name="MKsSingleOrMulti"/>
      <w:r w:rsidRPr="000C052B">
        <w:rPr>
          <w:b/>
          <w:bCs/>
          <w:rtl/>
        </w:rPr>
        <w:t>יוזמים:      חברי הכנסת</w:t>
      </w:r>
      <w:bookmarkEnd w:id="2"/>
      <w:r w:rsidR="00B35784" w:rsidRPr="000C052B">
        <w:rPr>
          <w:b/>
          <w:bCs/>
        </w:rPr>
        <w:tab/>
      </w:r>
      <w:bookmarkStart w:id="3" w:name="MKs"/>
      <w:r w:rsidR="00A14B7B" w:rsidRPr="000C052B">
        <w:rPr>
          <w:b/>
          <w:bCs/>
          <w:rtl/>
        </w:rPr>
        <w:t>אורלי לוי אבקסיס</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גילה גמליאל</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חיים כץ</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אילן גילאון</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שולי מועלם-רפאלי</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יעקב מרגי</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דוד אזולאי</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אברהם מיכאלי</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אורי מקלב</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מיקי רוזנטל</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איתן כבל</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משה מזרחי</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זהבה גלאון</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מיכל רוזין</w:t>
      </w:r>
    </w:p>
    <w:p w:rsidR="00A14B7B" w:rsidRPr="000C052B" w:rsidRDefault="00A14B7B" w:rsidP="0091204F">
      <w:pPr>
        <w:pStyle w:val="David"/>
        <w:ind w:left="2880" w:firstLine="663"/>
        <w:rPr>
          <w:b/>
          <w:bCs/>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דב חנין</w:t>
      </w:r>
    </w:p>
    <w:p w:rsidR="00E13C27" w:rsidRPr="000C052B" w:rsidRDefault="00A14B7B" w:rsidP="0091204F">
      <w:pPr>
        <w:pStyle w:val="David"/>
        <w:ind w:left="2880" w:firstLine="663"/>
        <w:rPr>
          <w:b/>
          <w:bCs/>
          <w:rtl/>
        </w:rPr>
      </w:pPr>
      <w:r w:rsidRPr="000C052B">
        <w:rPr>
          <w:b/>
          <w:bCs/>
        </w:rPr>
        <w:tab/>
      </w:r>
      <w:r w:rsidRPr="000C052B">
        <w:rPr>
          <w:b/>
          <w:bCs/>
        </w:rPr>
        <w:tab/>
      </w:r>
      <w:r w:rsidRPr="000C052B">
        <w:rPr>
          <w:b/>
          <w:bCs/>
        </w:rPr>
        <w:tab/>
      </w:r>
      <w:r w:rsidRPr="000C052B">
        <w:rPr>
          <w:b/>
          <w:bCs/>
        </w:rPr>
        <w:tab/>
      </w:r>
      <w:r w:rsidRPr="000C052B">
        <w:rPr>
          <w:b/>
          <w:bCs/>
        </w:rPr>
        <w:tab/>
      </w:r>
      <w:r w:rsidRPr="000C052B">
        <w:rPr>
          <w:b/>
          <w:bCs/>
          <w:rtl/>
        </w:rPr>
        <w:t>איציק שמולי</w:t>
      </w:r>
      <w:bookmarkEnd w:id="3"/>
    </w:p>
    <w:p w:rsidR="00E13C27" w:rsidRDefault="0014195F" w:rsidP="00B35784">
      <w:pPr>
        <w:ind w:firstLine="3543"/>
        <w:rPr>
          <w:rFonts w:cs="David"/>
          <w:sz w:val="26"/>
          <w:szCs w:val="26"/>
          <w:rtl/>
        </w:rPr>
      </w:pPr>
      <w:r>
        <w:rPr>
          <w:noProof/>
          <w:rtl/>
          <w:lang w:eastAsia="en-US"/>
        </w:rPr>
        <mc:AlternateContent>
          <mc:Choice Requires="wps">
            <w:drawing>
              <wp:anchor distT="0" distB="0" distL="114300" distR="114300" simplePos="0" relativeHeight="251658240" behindDoc="0" locked="0" layoutInCell="1" allowOverlap="1" wp14:anchorId="25EA197B" wp14:editId="5CE95B32">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002200A1">
        <w:rPr>
          <w:rFonts w:cs="David" w:hint="cs"/>
          <w:sz w:val="26"/>
          <w:szCs w:val="26"/>
          <w:rtl/>
        </w:rPr>
        <w:tab/>
      </w:r>
      <w:bookmarkStart w:id="5" w:name="MKs1"/>
      <w:bookmarkEnd w:id="5"/>
    </w:p>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58098B07" wp14:editId="1B0811B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r w:rsidR="003C56CF" w:rsidRPr="003C56CF">
        <w:rPr>
          <w:rFonts w:cs="David"/>
          <w:sz w:val="26"/>
          <w:szCs w:val="26"/>
          <w:rtl/>
        </w:rPr>
        <w:t>פ/2848/19</w:t>
      </w:r>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105CE9" w:rsidP="00825999">
      <w:pPr>
        <w:pStyle w:val="HeadHatzaotHok"/>
        <w:tabs>
          <w:tab w:val="left" w:pos="4071"/>
          <w:tab w:val="center" w:pos="4819"/>
        </w:tabs>
        <w:spacing w:before="0" w:line="240" w:lineRule="auto"/>
        <w:rPr>
          <w:rFonts w:hint="cs"/>
          <w:sz w:val="26"/>
          <w:rtl/>
        </w:rPr>
      </w:pPr>
      <w:bookmarkStart w:id="7" w:name="Title"/>
      <w:r w:rsidRPr="00105CE9">
        <w:rPr>
          <w:sz w:val="26"/>
          <w:rtl/>
        </w:rPr>
        <w:t xml:space="preserve">הצעת חוק ביטוח בריאות ממלכתי (תיקון </w:t>
      </w:r>
      <w:r w:rsidR="00DD0246">
        <w:rPr>
          <w:rFonts w:hint="eastAsia"/>
          <w:sz w:val="26"/>
          <w:rtl/>
        </w:rPr>
        <w:t>–</w:t>
      </w:r>
      <w:r w:rsidR="00DD0246" w:rsidRPr="00105CE9">
        <w:rPr>
          <w:sz w:val="26"/>
          <w:rtl/>
        </w:rPr>
        <w:t xml:space="preserve"> </w:t>
      </w:r>
      <w:r w:rsidRPr="00105CE9">
        <w:rPr>
          <w:sz w:val="26"/>
          <w:rtl/>
        </w:rPr>
        <w:t xml:space="preserve">תוספת שנתית לסל שירותי הבריאות), </w:t>
      </w:r>
      <w:proofErr w:type="spellStart"/>
      <w:r w:rsidRPr="00105CE9">
        <w:rPr>
          <w:sz w:val="26"/>
          <w:rtl/>
        </w:rPr>
        <w:t>התשע"ה</w:t>
      </w:r>
      <w:proofErr w:type="spellEnd"/>
      <w:r w:rsidR="00DD0246">
        <w:rPr>
          <w:rFonts w:hint="cs"/>
          <w:sz w:val="26"/>
          <w:rtl/>
        </w:rPr>
        <w:t>–</w:t>
      </w:r>
      <w:r w:rsidRPr="00105CE9">
        <w:rPr>
          <w:sz w:val="26"/>
          <w:rtl/>
        </w:rPr>
        <w:t>2014</w:t>
      </w:r>
      <w:bookmarkEnd w:id="7"/>
    </w:p>
    <w:p w:rsidR="00825999" w:rsidRDefault="00825999" w:rsidP="00825999">
      <w:pPr>
        <w:pStyle w:val="HeadHatzaotHok"/>
        <w:tabs>
          <w:tab w:val="left" w:pos="4071"/>
          <w:tab w:val="center" w:pos="4819"/>
        </w:tabs>
        <w:spacing w:before="0" w:line="240" w:lineRule="auto"/>
        <w:rPr>
          <w:sz w:val="26"/>
          <w:rtl/>
        </w:rPr>
      </w:pPr>
    </w:p>
    <w:tbl>
      <w:tblPr>
        <w:bidiVisual/>
        <w:tblW w:w="9641" w:type="dxa"/>
        <w:tblCellMar>
          <w:top w:w="57" w:type="dxa"/>
          <w:left w:w="0" w:type="dxa"/>
          <w:bottom w:w="57" w:type="dxa"/>
          <w:right w:w="0" w:type="dxa"/>
        </w:tblCellMar>
        <w:tblLook w:val="04A0" w:firstRow="1" w:lastRow="0" w:firstColumn="1" w:lastColumn="0" w:noHBand="0" w:noVBand="1"/>
      </w:tblPr>
      <w:tblGrid>
        <w:gridCol w:w="1871"/>
        <w:gridCol w:w="624"/>
        <w:gridCol w:w="624"/>
        <w:gridCol w:w="6522"/>
      </w:tblGrid>
      <w:tr w:rsidR="000A1FFA" w:rsidTr="000A1FFA">
        <w:trPr>
          <w:cantSplit/>
        </w:trPr>
        <w:tc>
          <w:tcPr>
            <w:tcW w:w="1871" w:type="dxa"/>
            <w:hideMark/>
          </w:tcPr>
          <w:p w:rsidR="000A1FFA" w:rsidRDefault="000A1FFA">
            <w:pPr>
              <w:pStyle w:val="TableSideHeading"/>
              <w:ind w:right="0"/>
            </w:pPr>
            <w:r>
              <w:rPr>
                <w:rFonts w:hint="cs"/>
                <w:sz w:val="26"/>
                <w:rtl/>
              </w:rPr>
              <w:t>תיקון סעיף 9</w:t>
            </w:r>
          </w:p>
        </w:tc>
        <w:tc>
          <w:tcPr>
            <w:tcW w:w="624" w:type="dxa"/>
            <w:hideMark/>
          </w:tcPr>
          <w:p w:rsidR="000A1FFA" w:rsidRDefault="000A1FFA">
            <w:pPr>
              <w:pStyle w:val="TableText"/>
              <w:ind w:right="0"/>
              <w:jc w:val="both"/>
            </w:pPr>
            <w:r>
              <w:rPr>
                <w:rFonts w:hint="cs"/>
                <w:sz w:val="26"/>
                <w:rtl/>
              </w:rPr>
              <w:t>1.</w:t>
            </w:r>
          </w:p>
        </w:tc>
        <w:tc>
          <w:tcPr>
            <w:tcW w:w="7146" w:type="dxa"/>
            <w:gridSpan w:val="2"/>
            <w:hideMark/>
          </w:tcPr>
          <w:p w:rsidR="000A1FFA" w:rsidRDefault="000A1FFA">
            <w:pPr>
              <w:pStyle w:val="TableBlock"/>
            </w:pPr>
            <w:r>
              <w:rPr>
                <w:rFonts w:hint="cs"/>
                <w:sz w:val="26"/>
                <w:rtl/>
              </w:rPr>
              <w:t xml:space="preserve">בחוק ביטוח בריאות ממלכתי, </w:t>
            </w:r>
            <w:proofErr w:type="spellStart"/>
            <w:r>
              <w:rPr>
                <w:rFonts w:hint="cs"/>
                <w:sz w:val="26"/>
                <w:rtl/>
              </w:rPr>
              <w:t>התשנ"ד</w:t>
            </w:r>
            <w:proofErr w:type="spellEnd"/>
            <w:r>
              <w:rPr>
                <w:rFonts w:hint="cs"/>
                <w:sz w:val="26"/>
                <w:rtl/>
              </w:rPr>
              <w:t>–1994</w:t>
            </w:r>
            <w:r>
              <w:rPr>
                <w:rStyle w:val="a6"/>
                <w:sz w:val="26"/>
                <w:rtl/>
              </w:rPr>
              <w:footnoteReference w:id="2"/>
            </w:r>
            <w:r>
              <w:rPr>
                <w:rFonts w:hint="cs"/>
                <w:sz w:val="26"/>
                <w:rtl/>
              </w:rPr>
              <w:t xml:space="preserve"> (להלן – החוק העיקרי), </w:t>
            </w:r>
            <w:r>
              <w:rPr>
                <w:rFonts w:hint="cs"/>
                <w:sz w:val="26"/>
                <w:rtl/>
              </w:rPr>
              <w:br/>
              <w:t xml:space="preserve">בסעיף 9 – </w:t>
            </w:r>
          </w:p>
        </w:tc>
      </w:tr>
      <w:tr w:rsidR="000A1FFA" w:rsidTr="000A1FFA">
        <w:trPr>
          <w:cantSplit/>
        </w:trPr>
        <w:tc>
          <w:tcPr>
            <w:tcW w:w="1871" w:type="dxa"/>
          </w:tcPr>
          <w:p w:rsidR="000A1FFA" w:rsidRDefault="000A1FFA">
            <w:pPr>
              <w:pStyle w:val="TableSideHeading"/>
              <w:ind w:right="0"/>
              <w:rPr>
                <w:sz w:val="26"/>
              </w:rPr>
            </w:pPr>
          </w:p>
        </w:tc>
        <w:tc>
          <w:tcPr>
            <w:tcW w:w="624" w:type="dxa"/>
          </w:tcPr>
          <w:p w:rsidR="000A1FFA" w:rsidRDefault="000A1FFA">
            <w:pPr>
              <w:pStyle w:val="TableText"/>
              <w:ind w:right="0"/>
              <w:jc w:val="both"/>
              <w:rPr>
                <w:sz w:val="26"/>
              </w:rPr>
            </w:pPr>
          </w:p>
        </w:tc>
        <w:tc>
          <w:tcPr>
            <w:tcW w:w="7146" w:type="dxa"/>
            <w:gridSpan w:val="2"/>
            <w:hideMark/>
          </w:tcPr>
          <w:p w:rsidR="000A1FFA" w:rsidRDefault="000A1FFA">
            <w:pPr>
              <w:pStyle w:val="TableBlock"/>
              <w:rPr>
                <w:sz w:val="26"/>
              </w:rPr>
            </w:pPr>
            <w:r>
              <w:rPr>
                <w:rFonts w:hint="cs"/>
                <w:sz w:val="26"/>
                <w:rtl/>
              </w:rPr>
              <w:t>(1)</w:t>
            </w:r>
            <w:r>
              <w:rPr>
                <w:rFonts w:hint="cs"/>
                <w:sz w:val="26"/>
                <w:rtl/>
              </w:rPr>
              <w:tab/>
              <w:t xml:space="preserve">בסעיף קטן (ב)(3), </w:t>
            </w:r>
            <w:proofErr w:type="spellStart"/>
            <w:r>
              <w:rPr>
                <w:rFonts w:hint="cs"/>
                <w:sz w:val="26"/>
                <w:rtl/>
              </w:rPr>
              <w:t>הסיפה</w:t>
            </w:r>
            <w:proofErr w:type="spellEnd"/>
            <w:r>
              <w:rPr>
                <w:rFonts w:hint="cs"/>
                <w:sz w:val="26"/>
                <w:rtl/>
              </w:rPr>
              <w:t xml:space="preserve"> החל במילים "או לעדכן את עלות הסל לקופות" – תימחק;</w:t>
            </w:r>
          </w:p>
        </w:tc>
      </w:tr>
      <w:tr w:rsidR="000A1FFA" w:rsidTr="000A1FFA">
        <w:trPr>
          <w:cantSplit/>
        </w:trPr>
        <w:tc>
          <w:tcPr>
            <w:tcW w:w="1871" w:type="dxa"/>
          </w:tcPr>
          <w:p w:rsidR="000A1FFA" w:rsidRDefault="000A1FFA">
            <w:pPr>
              <w:pStyle w:val="TableSideHeading"/>
              <w:ind w:right="0"/>
              <w:rPr>
                <w:sz w:val="26"/>
              </w:rPr>
            </w:pPr>
          </w:p>
        </w:tc>
        <w:tc>
          <w:tcPr>
            <w:tcW w:w="624" w:type="dxa"/>
          </w:tcPr>
          <w:p w:rsidR="000A1FFA" w:rsidRDefault="000A1FFA">
            <w:pPr>
              <w:pStyle w:val="TableText"/>
              <w:ind w:right="0"/>
              <w:jc w:val="both"/>
              <w:rPr>
                <w:sz w:val="26"/>
              </w:rPr>
            </w:pPr>
          </w:p>
        </w:tc>
        <w:tc>
          <w:tcPr>
            <w:tcW w:w="7146" w:type="dxa"/>
            <w:gridSpan w:val="2"/>
            <w:hideMark/>
          </w:tcPr>
          <w:p w:rsidR="000A1FFA" w:rsidRDefault="000A1FFA">
            <w:pPr>
              <w:pStyle w:val="TableBlock"/>
              <w:rPr>
                <w:sz w:val="26"/>
              </w:rPr>
            </w:pPr>
            <w:r>
              <w:rPr>
                <w:rFonts w:hint="cs"/>
                <w:sz w:val="26"/>
                <w:rtl/>
              </w:rPr>
              <w:t>(2)</w:t>
            </w:r>
            <w:r>
              <w:rPr>
                <w:rFonts w:hint="cs"/>
                <w:sz w:val="26"/>
                <w:rtl/>
              </w:rPr>
              <w:tab/>
              <w:t>אחרי סעיף קטן (ב) יבוא:</w:t>
            </w:r>
          </w:p>
        </w:tc>
      </w:tr>
      <w:tr w:rsidR="000A1FFA" w:rsidTr="000A1FFA">
        <w:trPr>
          <w:cantSplit/>
        </w:trPr>
        <w:tc>
          <w:tcPr>
            <w:tcW w:w="1871" w:type="dxa"/>
          </w:tcPr>
          <w:p w:rsidR="000A1FFA" w:rsidRDefault="000A1FFA">
            <w:pPr>
              <w:pStyle w:val="TableSideHeading"/>
              <w:ind w:right="0"/>
            </w:pPr>
          </w:p>
        </w:tc>
        <w:tc>
          <w:tcPr>
            <w:tcW w:w="624" w:type="dxa"/>
          </w:tcPr>
          <w:p w:rsidR="000A1FFA" w:rsidRDefault="000A1FFA">
            <w:pPr>
              <w:pStyle w:val="TableText"/>
              <w:ind w:right="0"/>
              <w:jc w:val="both"/>
            </w:pPr>
          </w:p>
        </w:tc>
        <w:tc>
          <w:tcPr>
            <w:tcW w:w="624" w:type="dxa"/>
          </w:tcPr>
          <w:p w:rsidR="000A1FFA" w:rsidRDefault="000A1FFA">
            <w:pPr>
              <w:pStyle w:val="TableText"/>
              <w:ind w:right="0"/>
              <w:jc w:val="both"/>
            </w:pPr>
          </w:p>
        </w:tc>
        <w:tc>
          <w:tcPr>
            <w:tcW w:w="6522" w:type="dxa"/>
            <w:hideMark/>
          </w:tcPr>
          <w:p w:rsidR="000A1FFA" w:rsidRDefault="000A1FFA" w:rsidP="00C712C6">
            <w:pPr>
              <w:pStyle w:val="TableBlock"/>
            </w:pPr>
            <w:r>
              <w:rPr>
                <w:rFonts w:hint="cs"/>
                <w:sz w:val="26"/>
                <w:rtl/>
              </w:rPr>
              <w:t>"(ג)</w:t>
            </w:r>
            <w:r>
              <w:rPr>
                <w:rFonts w:hint="cs"/>
                <w:sz w:val="26"/>
                <w:rtl/>
              </w:rPr>
              <w:tab/>
              <w:t>עלות הסל לקופות תגדל מדי שנה בשיעור של 2% ביחס לעלותו בשנה הקודמת</w:t>
            </w:r>
            <w:r w:rsidR="00A540D3">
              <w:rPr>
                <w:rFonts w:hint="cs"/>
                <w:sz w:val="26"/>
                <w:rtl/>
              </w:rPr>
              <w:t>; הסכום בו יגדל הסל כאמור ישמש</w:t>
            </w:r>
            <w:r>
              <w:rPr>
                <w:rFonts w:hint="cs"/>
                <w:sz w:val="26"/>
                <w:rtl/>
              </w:rPr>
              <w:t xml:space="preserve"> לשם הוספת שירותים או תרופות לסל שירותי הבריאות; ואולם, הוספה כאמור כנגד גריעה של שירותים או תרופות לפי סעיף 8(ב)(2) לא תובא בחשבון כחלק מהתוספת השנתית לסל לפי סעיף קטן זה.</w:t>
            </w:r>
          </w:p>
        </w:tc>
      </w:tr>
      <w:tr w:rsidR="000A1FFA" w:rsidTr="000A1FFA">
        <w:trPr>
          <w:cantSplit/>
        </w:trPr>
        <w:tc>
          <w:tcPr>
            <w:tcW w:w="1871" w:type="dxa"/>
          </w:tcPr>
          <w:p w:rsidR="000A1FFA" w:rsidRDefault="000A1FFA">
            <w:pPr>
              <w:pStyle w:val="TableSideHeading"/>
              <w:ind w:right="0"/>
            </w:pPr>
          </w:p>
        </w:tc>
        <w:tc>
          <w:tcPr>
            <w:tcW w:w="624" w:type="dxa"/>
          </w:tcPr>
          <w:p w:rsidR="000A1FFA" w:rsidRDefault="000A1FFA">
            <w:pPr>
              <w:pStyle w:val="TableText"/>
              <w:ind w:right="0"/>
              <w:jc w:val="both"/>
            </w:pPr>
          </w:p>
        </w:tc>
        <w:tc>
          <w:tcPr>
            <w:tcW w:w="624" w:type="dxa"/>
          </w:tcPr>
          <w:p w:rsidR="000A1FFA" w:rsidRDefault="000A1FFA">
            <w:pPr>
              <w:pStyle w:val="TableText"/>
              <w:ind w:right="0"/>
              <w:jc w:val="both"/>
            </w:pPr>
          </w:p>
        </w:tc>
        <w:tc>
          <w:tcPr>
            <w:tcW w:w="6522" w:type="dxa"/>
            <w:hideMark/>
          </w:tcPr>
          <w:p w:rsidR="000A1FFA" w:rsidRDefault="000A1FFA">
            <w:pPr>
              <w:pStyle w:val="TableBlock"/>
              <w:rPr>
                <w:sz w:val="26"/>
              </w:rPr>
            </w:pPr>
            <w:r>
              <w:rPr>
                <w:rFonts w:hint="cs"/>
                <w:sz w:val="26"/>
                <w:rtl/>
              </w:rPr>
              <w:t>(ד)</w:t>
            </w:r>
            <w:r>
              <w:rPr>
                <w:rFonts w:hint="cs"/>
                <w:sz w:val="26"/>
                <w:rtl/>
              </w:rPr>
              <w:tab/>
            </w:r>
            <w:r w:rsidR="00A540D3">
              <w:rPr>
                <w:rFonts w:hint="cs"/>
                <w:sz w:val="26"/>
                <w:rtl/>
              </w:rPr>
              <w:t xml:space="preserve">בלי לגרוע מהוראות סעיף קטן (ב), </w:t>
            </w:r>
            <w:r>
              <w:rPr>
                <w:rFonts w:hint="cs"/>
                <w:sz w:val="26"/>
                <w:rtl/>
              </w:rPr>
              <w:t xml:space="preserve">עלות הסל לקופות תתעדכן מדי שנה בהתאם לעלייה במספר המבוטחים המשוקלל הממוצע בכל שנה לעומת מספר המבוטחים המשוקלל הממוצע בשנה שקדמה לה; בסעיף קטן זה, "מספר המבוטחים המשוקלל" – כהגדרתו בסעיף 17."  </w:t>
            </w:r>
          </w:p>
        </w:tc>
      </w:tr>
      <w:tr w:rsidR="000A1FFA" w:rsidTr="000A1FFA">
        <w:trPr>
          <w:cantSplit/>
        </w:trPr>
        <w:tc>
          <w:tcPr>
            <w:tcW w:w="1871" w:type="dxa"/>
            <w:hideMark/>
          </w:tcPr>
          <w:p w:rsidR="000A1FFA" w:rsidRDefault="000A1FFA">
            <w:pPr>
              <w:pStyle w:val="TableSideHeading"/>
              <w:ind w:right="0"/>
            </w:pPr>
            <w:r>
              <w:rPr>
                <w:rFonts w:hint="cs"/>
                <w:sz w:val="26"/>
                <w:rtl/>
              </w:rPr>
              <w:t>תחילה</w:t>
            </w:r>
          </w:p>
        </w:tc>
        <w:tc>
          <w:tcPr>
            <w:tcW w:w="624" w:type="dxa"/>
            <w:hideMark/>
          </w:tcPr>
          <w:p w:rsidR="000A1FFA" w:rsidRDefault="000A1FFA">
            <w:pPr>
              <w:pStyle w:val="TableText"/>
              <w:ind w:right="0"/>
              <w:jc w:val="both"/>
            </w:pPr>
            <w:r>
              <w:rPr>
                <w:rFonts w:hint="cs"/>
                <w:sz w:val="26"/>
                <w:rtl/>
              </w:rPr>
              <w:t>2.</w:t>
            </w:r>
          </w:p>
        </w:tc>
        <w:tc>
          <w:tcPr>
            <w:tcW w:w="7146" w:type="dxa"/>
            <w:gridSpan w:val="2"/>
            <w:hideMark/>
          </w:tcPr>
          <w:p w:rsidR="000A1FFA" w:rsidRDefault="000A1FFA">
            <w:pPr>
              <w:pStyle w:val="TableBlock"/>
            </w:pPr>
            <w:r>
              <w:rPr>
                <w:rFonts w:hint="cs"/>
                <w:sz w:val="26"/>
                <w:rtl/>
              </w:rPr>
              <w:t>תחילתו של סעיף 9 לחוק העיקרי, כנוסחו בסעיף 1 לחוק זה, ביום_____*.</w:t>
            </w:r>
          </w:p>
        </w:tc>
      </w:tr>
    </w:tbl>
    <w:p w:rsidR="00825999" w:rsidRDefault="00825999" w:rsidP="00E13C27">
      <w:pPr>
        <w:pStyle w:val="HeadDivreiHesber"/>
        <w:spacing w:before="0" w:after="0"/>
        <w:rPr>
          <w:rFonts w:hint="cs"/>
          <w:rtl/>
        </w:rPr>
      </w:pPr>
    </w:p>
    <w:p w:rsidR="00E13C27" w:rsidRDefault="00E13C27" w:rsidP="00E13C27">
      <w:pPr>
        <w:pStyle w:val="HeadDivreiHesber"/>
        <w:spacing w:before="0" w:after="0"/>
        <w:rPr>
          <w:rtl/>
        </w:rPr>
      </w:pPr>
      <w:r>
        <w:rPr>
          <w:rFonts w:hint="cs"/>
          <w:rtl/>
        </w:rPr>
        <w:t>דברי הסבר</w:t>
      </w:r>
    </w:p>
    <w:p w:rsidR="000A1FFA" w:rsidRDefault="000A1FFA" w:rsidP="00C712C6">
      <w:pPr>
        <w:pStyle w:val="Hesber"/>
        <w:rPr>
          <w:sz w:val="26"/>
        </w:rPr>
      </w:pPr>
      <w:r>
        <w:rPr>
          <w:rFonts w:hint="cs"/>
          <w:sz w:val="26"/>
          <w:rtl/>
        </w:rPr>
        <w:t xml:space="preserve">סעיף 9(ב) לחוק ביטוח בריאות ממלכתי, </w:t>
      </w:r>
      <w:proofErr w:type="spellStart"/>
      <w:r>
        <w:rPr>
          <w:rFonts w:hint="cs"/>
          <w:sz w:val="26"/>
          <w:rtl/>
        </w:rPr>
        <w:t>התשנ"ד</w:t>
      </w:r>
      <w:proofErr w:type="spellEnd"/>
      <w:r>
        <w:rPr>
          <w:rFonts w:hint="cs"/>
          <w:sz w:val="26"/>
          <w:rtl/>
        </w:rPr>
        <w:t>–1994 (להלן – החוק), קובע כי עלות סל שירותי הבריאות לקופות החולים תתעדכן מדי שנה בשיעור העלייה של מדד יוקר הבריאות, הכולל את מדד השכר למשרת שכיר במגזר הבריאות</w:t>
      </w:r>
      <w:r w:rsidR="00A540D3">
        <w:rPr>
          <w:rFonts w:hint="cs"/>
          <w:sz w:val="26"/>
          <w:rtl/>
        </w:rPr>
        <w:t>,</w:t>
      </w:r>
      <w:r>
        <w:rPr>
          <w:rFonts w:hint="cs"/>
          <w:sz w:val="26"/>
          <w:rtl/>
        </w:rPr>
        <w:t xml:space="preserve"> במגזר הציבורי</w:t>
      </w:r>
      <w:r w:rsidR="00A540D3">
        <w:rPr>
          <w:rFonts w:hint="cs"/>
          <w:sz w:val="26"/>
          <w:rtl/>
        </w:rPr>
        <w:t xml:space="preserve"> ובמשרדי הממשלה, </w:t>
      </w:r>
      <w:r>
        <w:rPr>
          <w:rFonts w:hint="cs"/>
          <w:sz w:val="26"/>
          <w:rtl/>
        </w:rPr>
        <w:t>את מדד המחירים לצרכן ואת מדד תשומות הבנ</w:t>
      </w:r>
      <w:r w:rsidR="00825999">
        <w:rPr>
          <w:rFonts w:hint="cs"/>
          <w:sz w:val="26"/>
          <w:rtl/>
        </w:rPr>
        <w:t>י</w:t>
      </w:r>
      <w:r>
        <w:rPr>
          <w:rFonts w:hint="cs"/>
          <w:sz w:val="26"/>
          <w:rtl/>
        </w:rPr>
        <w:t>יה.</w:t>
      </w:r>
    </w:p>
    <w:p w:rsidR="000A1FFA" w:rsidRDefault="000A1FFA" w:rsidP="000A1FFA">
      <w:pPr>
        <w:pStyle w:val="Hesber"/>
        <w:rPr>
          <w:sz w:val="26"/>
          <w:rtl/>
        </w:rPr>
      </w:pPr>
      <w:r>
        <w:rPr>
          <w:rFonts w:hint="cs"/>
          <w:sz w:val="26"/>
          <w:rtl/>
        </w:rPr>
        <w:t>בחוק לא נקבע מנגנון המחייב את עדכון סל שירותי הבריאות בשל חידושים טכנולוגיים המאפשרים הוספת שירותים ותרופות של</w:t>
      </w:r>
      <w:r w:rsidR="003F4A77">
        <w:rPr>
          <w:rFonts w:hint="cs"/>
          <w:sz w:val="26"/>
          <w:rtl/>
        </w:rPr>
        <w:t>א</w:t>
      </w:r>
      <w:r>
        <w:rPr>
          <w:rFonts w:hint="cs"/>
          <w:sz w:val="26"/>
          <w:rtl/>
        </w:rPr>
        <w:t xml:space="preserve"> ניתנו קודם לכן ואף לא בשל שינויים דמוגרפיים, קרי: גידול באוכלוסייה והזדקנותה. </w:t>
      </w:r>
    </w:p>
    <w:p w:rsidR="000A1FFA" w:rsidRDefault="00491B43" w:rsidP="0090026F">
      <w:pPr>
        <w:pStyle w:val="Hesber"/>
        <w:rPr>
          <w:sz w:val="26"/>
          <w:rtl/>
        </w:rPr>
      </w:pPr>
      <w:r>
        <w:rPr>
          <w:rFonts w:hint="cs"/>
          <w:sz w:val="26"/>
          <w:rtl/>
        </w:rPr>
        <w:t xml:space="preserve">לפיכך </w:t>
      </w:r>
      <w:r w:rsidR="000A1FFA">
        <w:rPr>
          <w:rFonts w:hint="cs"/>
          <w:sz w:val="26"/>
          <w:rtl/>
        </w:rPr>
        <w:t xml:space="preserve">מוצע לבטל את </w:t>
      </w:r>
      <w:r>
        <w:rPr>
          <w:rFonts w:hint="cs"/>
          <w:sz w:val="26"/>
          <w:rtl/>
        </w:rPr>
        <w:t>ה</w:t>
      </w:r>
      <w:r w:rsidR="0090026F">
        <w:rPr>
          <w:rFonts w:hint="cs"/>
          <w:sz w:val="26"/>
          <w:rtl/>
        </w:rPr>
        <w:t>סמכות</w:t>
      </w:r>
      <w:r w:rsidR="000A1FFA">
        <w:rPr>
          <w:rFonts w:hint="cs"/>
          <w:sz w:val="26"/>
          <w:rtl/>
        </w:rPr>
        <w:t xml:space="preserve"> </w:t>
      </w:r>
      <w:r>
        <w:rPr>
          <w:rFonts w:hint="cs"/>
          <w:sz w:val="26"/>
          <w:rtl/>
        </w:rPr>
        <w:t>ש</w:t>
      </w:r>
      <w:r w:rsidR="000A1FFA">
        <w:rPr>
          <w:rFonts w:hint="cs"/>
          <w:sz w:val="26"/>
          <w:rtl/>
        </w:rPr>
        <w:t>נתונה בידי שר הבריאות ו</w:t>
      </w:r>
      <w:r>
        <w:rPr>
          <w:rFonts w:hint="cs"/>
          <w:sz w:val="26"/>
          <w:rtl/>
        </w:rPr>
        <w:t xml:space="preserve">שר </w:t>
      </w:r>
      <w:r w:rsidR="000A1FFA">
        <w:rPr>
          <w:rFonts w:hint="cs"/>
          <w:sz w:val="26"/>
          <w:rtl/>
        </w:rPr>
        <w:t>האוצר לעדכן את סל התרופות בשל שינויים דמוגרפיים ולקבוע כי אחת לשנה יגדל סל שירותי הבריאות, מעבר לגידולו במדד יוקר הבריאות, בשיעור של 2% לשם הוספת שירותי בריאות חדשים.</w:t>
      </w:r>
    </w:p>
    <w:p w:rsidR="000A1FFA" w:rsidRDefault="000A1FFA" w:rsidP="000A1FFA">
      <w:pPr>
        <w:pStyle w:val="Hesber"/>
        <w:rPr>
          <w:sz w:val="26"/>
          <w:rtl/>
        </w:rPr>
      </w:pPr>
      <w:r>
        <w:rPr>
          <w:rFonts w:hint="cs"/>
          <w:sz w:val="26"/>
          <w:rtl/>
        </w:rPr>
        <w:t>כמו כן, מוצע לקבוע כי עלות הסל תתעדכן מדי שנה כך שיובאו בחשבון השינויים הדמוגרפיים שחלו באוכלוסייה משנה לשנה.</w:t>
      </w:r>
    </w:p>
    <w:p w:rsidR="000A1FFA" w:rsidRDefault="000A1FFA" w:rsidP="000A1FFA">
      <w:pPr>
        <w:pStyle w:val="Hesber"/>
        <w:rPr>
          <w:sz w:val="26"/>
          <w:rtl/>
        </w:rPr>
      </w:pPr>
      <w:r>
        <w:rPr>
          <w:rFonts w:hint="cs"/>
          <w:sz w:val="26"/>
          <w:rtl/>
        </w:rPr>
        <w:t>קביעת מנגנון עדכון בחוק נועדה לשרת מטרות אחדות ובהן הבטחת גידול נאות של סל שירותי הבריאות מדי שנה ללא צורך בניהול משא ומתן בנוגע לצורך בהגדלתו של הסל ולהיקף הגדלתו, הבטחת שירותי בריאות ברמה נאותה לתושבים המשלמים מס ייעודי בדמות דמי ביטוח בריאות ממלכתי, ומתן אפשרות למערכת הבריאות לבצע תכנון ארוך טווח של שירותי הבריאות הניתנים כיום לתושבי המדינה.</w:t>
      </w:r>
    </w:p>
    <w:p w:rsidR="000A1FFA" w:rsidRDefault="000A1FFA" w:rsidP="000A1FFA">
      <w:pPr>
        <w:pStyle w:val="Hesber"/>
        <w:rPr>
          <w:sz w:val="26"/>
          <w:rtl/>
        </w:rPr>
      </w:pPr>
      <w:r>
        <w:rPr>
          <w:rFonts w:hint="cs"/>
          <w:sz w:val="26"/>
          <w:rtl/>
        </w:rPr>
        <w:t>הצעת חוק דומה בעיקרה הונחה על שולחן הכנסת השבע-עשרה על ידי חבר הכנסת חיים אורון וקבוצת חברי הכנסת (פ/866/17).</w:t>
      </w:r>
    </w:p>
    <w:p w:rsidR="000A1FFA" w:rsidRPr="0013759A" w:rsidRDefault="000A1FFA" w:rsidP="00C712C6">
      <w:pPr>
        <w:pStyle w:val="Hesber"/>
        <w:rPr>
          <w:sz w:val="26"/>
          <w:rtl/>
        </w:rPr>
      </w:pPr>
      <w:r>
        <w:rPr>
          <w:rFonts w:hint="cs"/>
          <w:sz w:val="26"/>
          <w:rtl/>
        </w:rPr>
        <w:t xml:space="preserve">הצעות חוק זהות הונחו על שולחן הכנסת השמונה-עשרה על ידי חברת הכנסת זהבה גלאון וקבוצת חברי הכנסת (פ/3223/18), </w:t>
      </w:r>
      <w:r w:rsidR="00DD0246">
        <w:rPr>
          <w:sz w:val="26"/>
          <w:rtl/>
        </w:rPr>
        <w:t xml:space="preserve">על ידי חבר הכנסת אילן גילאון וקבוצת חברי הכנסת (פ/3600/18; הוסרה מסדר היום ביום י"ח בכסלו </w:t>
      </w:r>
      <w:proofErr w:type="spellStart"/>
      <w:r w:rsidR="00DD0246">
        <w:rPr>
          <w:sz w:val="26"/>
          <w:rtl/>
        </w:rPr>
        <w:t>התשע"ב</w:t>
      </w:r>
      <w:proofErr w:type="spellEnd"/>
      <w:r w:rsidR="00DD0246">
        <w:rPr>
          <w:sz w:val="26"/>
          <w:rtl/>
        </w:rPr>
        <w:t xml:space="preserve"> (14 בדצמבר 2011)</w:t>
      </w:r>
      <w:r w:rsidR="0016595B">
        <w:rPr>
          <w:rFonts w:hint="cs"/>
          <w:sz w:val="26"/>
          <w:rtl/>
        </w:rPr>
        <w:t>; פ/3895/18</w:t>
      </w:r>
      <w:r w:rsidR="00DD0246">
        <w:rPr>
          <w:sz w:val="26"/>
          <w:rtl/>
        </w:rPr>
        <w:t xml:space="preserve">), </w:t>
      </w:r>
      <w:r>
        <w:rPr>
          <w:rFonts w:hint="cs"/>
          <w:sz w:val="26"/>
          <w:rtl/>
        </w:rPr>
        <w:t xml:space="preserve">ועל ידי חבר הכנסת דב חנין וקבוצת חברי הכנסת (פ/4066/18), ועל שולחן הכנסת התשע-עשרה על ידי חבר הכנסת דב חנין וקבוצת חברי הכנסת (פ/191/19) ועל ידי </w:t>
      </w:r>
      <w:r w:rsidR="00A540D3">
        <w:rPr>
          <w:rFonts w:hint="cs"/>
          <w:sz w:val="26"/>
          <w:rtl/>
        </w:rPr>
        <w:t xml:space="preserve">חברת הכנסת </w:t>
      </w:r>
      <w:r>
        <w:rPr>
          <w:rFonts w:hint="cs"/>
          <w:sz w:val="26"/>
          <w:rtl/>
        </w:rPr>
        <w:t xml:space="preserve">זהבה גלאון וקבוצת חברי </w:t>
      </w:r>
      <w:r w:rsidR="00A540D3">
        <w:rPr>
          <w:rFonts w:hint="cs"/>
          <w:sz w:val="26"/>
          <w:rtl/>
        </w:rPr>
        <w:t>ה</w:t>
      </w:r>
      <w:r>
        <w:rPr>
          <w:rFonts w:hint="cs"/>
          <w:sz w:val="26"/>
          <w:rtl/>
        </w:rPr>
        <w:t>כנסת (פ/686/19)</w:t>
      </w:r>
      <w:r w:rsidR="00DD0246">
        <w:rPr>
          <w:rFonts w:cs="Hadasa Roso SL" w:hint="cs"/>
          <w:rtl/>
        </w:rPr>
        <w:t>.</w:t>
      </w:r>
    </w:p>
    <w:p w:rsidR="000A1FFA" w:rsidRDefault="000A1FFA" w:rsidP="000A1FFA">
      <w:pPr>
        <w:spacing w:before="0" w:line="360" w:lineRule="auto"/>
        <w:ind w:left="340" w:firstLine="0"/>
      </w:pPr>
    </w:p>
    <w:p w:rsidR="00825999" w:rsidRDefault="00825999" w:rsidP="00825999">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w:t>
      </w:r>
    </w:p>
    <w:p w:rsidR="00825999" w:rsidRDefault="00825999" w:rsidP="00825999">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rsidR="00825999" w:rsidRDefault="00825999" w:rsidP="00825999">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rsidR="00825999" w:rsidRDefault="00825999" w:rsidP="00825999">
      <w:pPr>
        <w:ind w:left="340" w:firstLine="0"/>
        <w:rPr>
          <w:rtl/>
        </w:rPr>
      </w:pPr>
      <w:r>
        <w:rPr>
          <w:rFonts w:ascii="Arial" w:eastAsia="Arial Unicode MS" w:hAnsi="Arial" w:cs="David" w:hint="cs"/>
          <w:snapToGrid w:val="0"/>
          <w:spacing w:val="0"/>
          <w:sz w:val="20"/>
          <w:szCs w:val="26"/>
          <w:rtl/>
        </w:rPr>
        <w:t xml:space="preserve">י' בחשוון </w:t>
      </w:r>
      <w:proofErr w:type="spellStart"/>
      <w:r>
        <w:rPr>
          <w:rFonts w:ascii="Arial" w:eastAsia="Arial Unicode MS" w:hAnsi="Arial" w:cs="David" w:hint="cs"/>
          <w:snapToGrid w:val="0"/>
          <w:spacing w:val="0"/>
          <w:sz w:val="20"/>
          <w:szCs w:val="26"/>
          <w:rtl/>
        </w:rPr>
        <w:t>התשע"ה</w:t>
      </w:r>
      <w:proofErr w:type="spellEnd"/>
      <w:r>
        <w:rPr>
          <w:rFonts w:ascii="Arial" w:eastAsia="Arial Unicode MS" w:hAnsi="Arial" w:cs="David" w:hint="cs"/>
          <w:snapToGrid w:val="0"/>
          <w:spacing w:val="0"/>
          <w:sz w:val="20"/>
          <w:szCs w:val="26"/>
          <w:rtl/>
        </w:rPr>
        <w:t xml:space="preserve"> – 3.11.14</w:t>
      </w:r>
      <w:bookmarkStart w:id="8" w:name="_GoBack"/>
      <w:bookmarkEnd w:id="8"/>
    </w:p>
    <w:sectPr w:rsidR="00825999"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4DF" w:rsidRDefault="000E24DF">
      <w:r>
        <w:separator/>
      </w:r>
    </w:p>
  </w:endnote>
  <w:endnote w:type="continuationSeparator" w:id="0">
    <w:p w:rsidR="000E24DF" w:rsidRDefault="000E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25999">
      <w:rPr>
        <w:rStyle w:val="ab"/>
        <w:noProof/>
        <w:rtl/>
      </w:rPr>
      <w:t>2</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4DF" w:rsidRDefault="000E24DF">
      <w:r>
        <w:separator/>
      </w:r>
    </w:p>
  </w:footnote>
  <w:footnote w:type="continuationSeparator" w:id="0">
    <w:p w:rsidR="000E24DF" w:rsidRDefault="000E24DF">
      <w:r>
        <w:continuationSeparator/>
      </w:r>
    </w:p>
  </w:footnote>
  <w:footnote w:type="continuationNotice" w:id="1">
    <w:p w:rsidR="000E24DF" w:rsidRDefault="000E24DF"/>
  </w:footnote>
  <w:footnote w:id="2">
    <w:p w:rsidR="000A1FFA" w:rsidRDefault="000A1FFA" w:rsidP="000A1FFA">
      <w:pPr>
        <w:pStyle w:val="a4"/>
        <w:rPr>
          <w:sz w:val="20"/>
        </w:rPr>
      </w:pPr>
      <w:r>
        <w:rPr>
          <w:rStyle w:val="a6"/>
        </w:rPr>
        <w:footnoteRef/>
      </w:r>
      <w:r>
        <w:rPr>
          <w:rFonts w:hint="cs"/>
          <w:sz w:val="20"/>
          <w:rtl/>
        </w:rPr>
        <w:t xml:space="preserve"> ס"ח </w:t>
      </w:r>
      <w:proofErr w:type="spellStart"/>
      <w:r>
        <w:rPr>
          <w:rFonts w:hint="cs"/>
          <w:sz w:val="20"/>
          <w:rtl/>
        </w:rPr>
        <w:t>התשנ"ד</w:t>
      </w:r>
      <w:proofErr w:type="spellEnd"/>
      <w:r>
        <w:rPr>
          <w:rFonts w:hint="cs"/>
          <w:sz w:val="20"/>
          <w:rtl/>
        </w:rPr>
        <w:t>, עמ' 156.</w:t>
      </w:r>
    </w:p>
    <w:p w:rsidR="000A1FFA" w:rsidRDefault="000A1FFA" w:rsidP="000A1FFA">
      <w:pPr>
        <w:pStyle w:val="a4"/>
        <w:rPr>
          <w:rFonts w:cs="Arial Unicode MS"/>
          <w:rtl/>
        </w:rPr>
      </w:pPr>
      <w:r>
        <w:rPr>
          <w:rFonts w:hint="cs"/>
          <w:sz w:val="20"/>
          <w:rtl/>
        </w:rPr>
        <w:t>* המועד ייקבע בעת הכנת הצעת החוק לקריאה הראשונה.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56495lsCopyOriginal.docx"/>
    <w:docVar w:name="StartMode" w:val="3"/>
  </w:docVars>
  <w:rsids>
    <w:rsidRoot w:val="00DB7060"/>
    <w:rsid w:val="00015B27"/>
    <w:rsid w:val="000A1FFA"/>
    <w:rsid w:val="000A542E"/>
    <w:rsid w:val="000C052B"/>
    <w:rsid w:val="000E24DF"/>
    <w:rsid w:val="00105CE9"/>
    <w:rsid w:val="001207F8"/>
    <w:rsid w:val="00121924"/>
    <w:rsid w:val="001279A8"/>
    <w:rsid w:val="0013759A"/>
    <w:rsid w:val="0014195F"/>
    <w:rsid w:val="00152609"/>
    <w:rsid w:val="00153E1B"/>
    <w:rsid w:val="0016595B"/>
    <w:rsid w:val="001A0623"/>
    <w:rsid w:val="001B16BD"/>
    <w:rsid w:val="001C23B0"/>
    <w:rsid w:val="00203A7F"/>
    <w:rsid w:val="002200A1"/>
    <w:rsid w:val="002362BF"/>
    <w:rsid w:val="00241B97"/>
    <w:rsid w:val="00254605"/>
    <w:rsid w:val="002728B4"/>
    <w:rsid w:val="00292712"/>
    <w:rsid w:val="002C2E29"/>
    <w:rsid w:val="003232A2"/>
    <w:rsid w:val="003710F6"/>
    <w:rsid w:val="00377D4E"/>
    <w:rsid w:val="00386E88"/>
    <w:rsid w:val="003B32E5"/>
    <w:rsid w:val="003C56CF"/>
    <w:rsid w:val="003D74A0"/>
    <w:rsid w:val="003F4A77"/>
    <w:rsid w:val="004033D8"/>
    <w:rsid w:val="00491B43"/>
    <w:rsid w:val="004D3876"/>
    <w:rsid w:val="004E4552"/>
    <w:rsid w:val="004E7252"/>
    <w:rsid w:val="00553C9D"/>
    <w:rsid w:val="005A4A5B"/>
    <w:rsid w:val="005B064E"/>
    <w:rsid w:val="005D51AE"/>
    <w:rsid w:val="00644940"/>
    <w:rsid w:val="006818A9"/>
    <w:rsid w:val="006C1D0D"/>
    <w:rsid w:val="0070601E"/>
    <w:rsid w:val="00765F66"/>
    <w:rsid w:val="007D5A12"/>
    <w:rsid w:val="007E59F9"/>
    <w:rsid w:val="00810BCD"/>
    <w:rsid w:val="00812C98"/>
    <w:rsid w:val="00814D92"/>
    <w:rsid w:val="00825999"/>
    <w:rsid w:val="00892135"/>
    <w:rsid w:val="00895449"/>
    <w:rsid w:val="00897879"/>
    <w:rsid w:val="008C2DDC"/>
    <w:rsid w:val="008F0D63"/>
    <w:rsid w:val="008F2C35"/>
    <w:rsid w:val="0090026F"/>
    <w:rsid w:val="0091204F"/>
    <w:rsid w:val="009203DB"/>
    <w:rsid w:val="00943386"/>
    <w:rsid w:val="00957589"/>
    <w:rsid w:val="00976452"/>
    <w:rsid w:val="00982412"/>
    <w:rsid w:val="00A14B7B"/>
    <w:rsid w:val="00A26BD6"/>
    <w:rsid w:val="00A540D3"/>
    <w:rsid w:val="00A82CB7"/>
    <w:rsid w:val="00AC36F7"/>
    <w:rsid w:val="00B35784"/>
    <w:rsid w:val="00BC45FB"/>
    <w:rsid w:val="00C712C6"/>
    <w:rsid w:val="00C9176A"/>
    <w:rsid w:val="00CE750A"/>
    <w:rsid w:val="00D5197E"/>
    <w:rsid w:val="00D867D7"/>
    <w:rsid w:val="00DB7060"/>
    <w:rsid w:val="00DD0246"/>
    <w:rsid w:val="00DE3153"/>
    <w:rsid w:val="00E13C27"/>
    <w:rsid w:val="00E33BBD"/>
    <w:rsid w:val="00E45103"/>
    <w:rsid w:val="00E665B9"/>
    <w:rsid w:val="00EA01E6"/>
    <w:rsid w:val="00EA758F"/>
    <w:rsid w:val="00ED4A6F"/>
    <w:rsid w:val="00EF3A3A"/>
    <w:rsid w:val="00F227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uiPriority w:val="99"/>
    <w:rsid w:val="00943386"/>
    <w:pPr>
      <w:keepLines/>
      <w:tabs>
        <w:tab w:val="left" w:pos="624"/>
        <w:tab w:val="left" w:pos="1247"/>
      </w:tabs>
      <w:ind w:right="57" w:firstLine="0"/>
    </w:pPr>
  </w:style>
  <w:style w:type="paragraph" w:customStyle="1" w:styleId="TableSideHeading">
    <w:name w:val="Table SideHeading"/>
    <w:basedOn w:val="TableText"/>
    <w:uiPriority w:val="99"/>
    <w:rsid w:val="00943386"/>
  </w:style>
  <w:style w:type="paragraph" w:customStyle="1" w:styleId="TableBlock">
    <w:name w:val="Table Block"/>
    <w:basedOn w:val="TableText"/>
    <w:uiPriority w:val="99"/>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uiPriority w:val="99"/>
    <w:rsid w:val="00943386"/>
    <w:pPr>
      <w:jc w:val="both"/>
    </w:pPr>
  </w:style>
  <w:style w:type="paragraph" w:styleId="a4">
    <w:name w:val="footnote text"/>
    <w:basedOn w:val="Ragil"/>
    <w:link w:val="a5"/>
    <w:autoRedefine/>
    <w:uiPriority w:val="99"/>
    <w:semiHidden/>
    <w:rsid w:val="00943386"/>
    <w:pPr>
      <w:spacing w:line="240" w:lineRule="auto"/>
      <w:ind w:left="227" w:hanging="227"/>
    </w:pPr>
    <w:rPr>
      <w:sz w:val="14"/>
      <w:szCs w:val="20"/>
    </w:rPr>
  </w:style>
  <w:style w:type="character" w:styleId="a6">
    <w:name w:val="footnote reference"/>
    <w:uiPriority w:val="99"/>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uiPriority w:val="99"/>
    <w:semiHidden/>
    <w:rsid w:val="000A1FFA"/>
    <w:rPr>
      <w:rFonts w:ascii="Arial" w:eastAsia="Arial Unicode MS" w:hAnsi="Arial" w:cs="David"/>
      <w:snapToGrid w:val="0"/>
      <w:color w:val="000000"/>
      <w:sz w:val="14"/>
      <w:lang w:eastAsia="ja-JP"/>
    </w:rPr>
  </w:style>
  <w:style w:type="paragraph" w:styleId="ac">
    <w:name w:val="Balloon Text"/>
    <w:basedOn w:val="a"/>
    <w:link w:val="ad"/>
    <w:semiHidden/>
    <w:unhideWhenUsed/>
    <w:rsid w:val="0013759A"/>
    <w:pPr>
      <w:spacing w:before="0" w:line="240" w:lineRule="auto"/>
    </w:pPr>
    <w:rPr>
      <w:rFonts w:ascii="Tahoma" w:hAnsi="Tahoma" w:cs="Tahoma"/>
      <w:sz w:val="16"/>
      <w:szCs w:val="16"/>
    </w:rPr>
  </w:style>
  <w:style w:type="character" w:customStyle="1" w:styleId="ad">
    <w:name w:val="טקסט בלונים תו"/>
    <w:basedOn w:val="a0"/>
    <w:link w:val="ac"/>
    <w:semiHidden/>
    <w:rsid w:val="0013759A"/>
    <w:rPr>
      <w:rFonts w:ascii="Tahoma" w:hAnsi="Tahoma" w:cs="Tahoma"/>
      <w:color w:val="000000"/>
      <w:spacing w:val="1"/>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uiPriority w:val="99"/>
    <w:rsid w:val="00943386"/>
    <w:pPr>
      <w:keepLines/>
      <w:tabs>
        <w:tab w:val="left" w:pos="624"/>
        <w:tab w:val="left" w:pos="1247"/>
      </w:tabs>
      <w:ind w:right="57" w:firstLine="0"/>
    </w:pPr>
  </w:style>
  <w:style w:type="paragraph" w:customStyle="1" w:styleId="TableSideHeading">
    <w:name w:val="Table SideHeading"/>
    <w:basedOn w:val="TableText"/>
    <w:uiPriority w:val="99"/>
    <w:rsid w:val="00943386"/>
  </w:style>
  <w:style w:type="paragraph" w:customStyle="1" w:styleId="TableBlock">
    <w:name w:val="Table Block"/>
    <w:basedOn w:val="TableText"/>
    <w:uiPriority w:val="99"/>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uiPriority w:val="99"/>
    <w:rsid w:val="00943386"/>
    <w:pPr>
      <w:jc w:val="both"/>
    </w:pPr>
  </w:style>
  <w:style w:type="paragraph" w:styleId="a4">
    <w:name w:val="footnote text"/>
    <w:basedOn w:val="Ragil"/>
    <w:link w:val="a5"/>
    <w:autoRedefine/>
    <w:uiPriority w:val="99"/>
    <w:semiHidden/>
    <w:rsid w:val="00943386"/>
    <w:pPr>
      <w:spacing w:line="240" w:lineRule="auto"/>
      <w:ind w:left="227" w:hanging="227"/>
    </w:pPr>
    <w:rPr>
      <w:sz w:val="14"/>
      <w:szCs w:val="20"/>
    </w:rPr>
  </w:style>
  <w:style w:type="character" w:styleId="a6">
    <w:name w:val="footnote reference"/>
    <w:uiPriority w:val="99"/>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uiPriority w:val="99"/>
    <w:semiHidden/>
    <w:rsid w:val="000A1FFA"/>
    <w:rPr>
      <w:rFonts w:ascii="Arial" w:eastAsia="Arial Unicode MS" w:hAnsi="Arial" w:cs="David"/>
      <w:snapToGrid w:val="0"/>
      <w:color w:val="000000"/>
      <w:sz w:val="14"/>
      <w:lang w:eastAsia="ja-JP"/>
    </w:rPr>
  </w:style>
  <w:style w:type="paragraph" w:styleId="ac">
    <w:name w:val="Balloon Text"/>
    <w:basedOn w:val="a"/>
    <w:link w:val="ad"/>
    <w:semiHidden/>
    <w:unhideWhenUsed/>
    <w:rsid w:val="0013759A"/>
    <w:pPr>
      <w:spacing w:before="0" w:line="240" w:lineRule="auto"/>
    </w:pPr>
    <w:rPr>
      <w:rFonts w:ascii="Tahoma" w:hAnsi="Tahoma" w:cs="Tahoma"/>
      <w:sz w:val="16"/>
      <w:szCs w:val="16"/>
    </w:rPr>
  </w:style>
  <w:style w:type="character" w:customStyle="1" w:styleId="ad">
    <w:name w:val="טקסט בלונים תו"/>
    <w:basedOn w:val="a0"/>
    <w:link w:val="ac"/>
    <w:semiHidden/>
    <w:rsid w:val="0013759A"/>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0366">
      <w:bodyDiv w:val="1"/>
      <w:marLeft w:val="0"/>
      <w:marRight w:val="0"/>
      <w:marTop w:val="0"/>
      <w:marBottom w:val="0"/>
      <w:divBdr>
        <w:top w:val="none" w:sz="0" w:space="0" w:color="auto"/>
        <w:left w:val="none" w:sz="0" w:space="0" w:color="auto"/>
        <w:bottom w:val="none" w:sz="0" w:space="0" w:color="auto"/>
        <w:right w:val="none" w:sz="0" w:space="0" w:color="auto"/>
      </w:divBdr>
    </w:div>
    <w:div w:id="563221327">
      <w:bodyDiv w:val="1"/>
      <w:marLeft w:val="0"/>
      <w:marRight w:val="0"/>
      <w:marTop w:val="0"/>
      <w:marBottom w:val="0"/>
      <w:divBdr>
        <w:top w:val="none" w:sz="0" w:space="0" w:color="auto"/>
        <w:left w:val="none" w:sz="0" w:space="0" w:color="auto"/>
        <w:bottom w:val="none" w:sz="0" w:space="0" w:color="auto"/>
        <w:right w:val="none" w:sz="0" w:space="0" w:color="auto"/>
      </w:divBdr>
    </w:div>
    <w:div w:id="571619463">
      <w:bodyDiv w:val="1"/>
      <w:marLeft w:val="0"/>
      <w:marRight w:val="0"/>
      <w:marTop w:val="0"/>
      <w:marBottom w:val="0"/>
      <w:divBdr>
        <w:top w:val="none" w:sz="0" w:space="0" w:color="auto"/>
        <w:left w:val="none" w:sz="0" w:space="0" w:color="auto"/>
        <w:bottom w:val="none" w:sz="0" w:space="0" w:color="auto"/>
        <w:right w:val="none" w:sz="0" w:space="0" w:color="auto"/>
      </w:divBdr>
    </w:div>
    <w:div w:id="10206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4CE13-553D-497D-AE24-32B02C49B605}"/>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2529</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בן צדוק</dc:creator>
  <cp:keywords/>
  <dc:description/>
  <cp:lastModifiedBy>לילך יעיש</cp:lastModifiedBy>
  <cp:revision>2</cp:revision>
  <cp:lastPrinted>2014-11-02T07:06:00Z</cp:lastPrinted>
  <dcterms:created xsi:type="dcterms:W3CDTF">2014-11-02T07:07:00Z</dcterms:created>
  <dcterms:modified xsi:type="dcterms:W3CDTF">2014-11-02T07:07:00Z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