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7E178E" w:rsidRDefault="004033D8" w:rsidP="002C2E29">
      <w:pPr>
        <w:pStyle w:val="HeadHatzaotHok"/>
        <w:jc w:val="right"/>
        <w:rPr>
          <w:b w:val="0"/>
          <w:bCs w:val="0"/>
          <w:szCs w:val="20"/>
        </w:rPr>
      </w:pPr>
      <w:r w:rsidRPr="007E178E">
        <w:rPr>
          <w:rFonts w:hint="cs"/>
          <w:b w:val="0"/>
          <w:bCs w:val="0"/>
          <w:szCs w:val="20"/>
          <w:rtl/>
        </w:rPr>
        <w:t xml:space="preserve">מספר פנימי: </w:t>
      </w:r>
      <w:bookmarkStart w:id="0" w:name="ItemID"/>
      <w:r w:rsidR="00294613" w:rsidRPr="007E178E">
        <w:rPr>
          <w:b w:val="0"/>
          <w:bCs w:val="0"/>
          <w:szCs w:val="20"/>
          <w:rtl/>
        </w:rPr>
        <w:t>556500</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294613" w:rsidRPr="00294613">
        <w:rPr>
          <w:sz w:val="28"/>
          <w:szCs w:val="28"/>
          <w:rtl/>
        </w:rPr>
        <w:t>התשע-עשרה</w:t>
      </w:r>
      <w:bookmarkEnd w:id="1"/>
    </w:p>
    <w:p w:rsidR="00E13C27" w:rsidRDefault="00E13C27" w:rsidP="00E13C27">
      <w:pPr>
        <w:rPr>
          <w:rFonts w:cs="David"/>
          <w:sz w:val="26"/>
          <w:szCs w:val="26"/>
          <w:rtl/>
        </w:rPr>
      </w:pPr>
    </w:p>
    <w:p w:rsidR="00A76F3D" w:rsidRPr="001A102F" w:rsidRDefault="000C3701" w:rsidP="0091204F">
      <w:pPr>
        <w:pStyle w:val="David"/>
        <w:ind w:left="2880" w:firstLine="663"/>
        <w:rPr>
          <w:b/>
          <w:bCs/>
        </w:rPr>
      </w:pPr>
      <w:bookmarkStart w:id="2" w:name="MKsSingleOrMulti"/>
      <w:r w:rsidRPr="001A102F">
        <w:rPr>
          <w:b/>
          <w:bCs/>
          <w:rtl/>
        </w:rPr>
        <w:t>יוזמים:      חברי הכנסת</w:t>
      </w:r>
      <w:bookmarkEnd w:id="2"/>
      <w:r w:rsidR="00B35784" w:rsidRPr="001A102F">
        <w:rPr>
          <w:b/>
          <w:bCs/>
        </w:rPr>
        <w:tab/>
      </w:r>
      <w:bookmarkStart w:id="3" w:name="MKs"/>
      <w:r w:rsidR="00A76F3D" w:rsidRPr="001A102F">
        <w:rPr>
          <w:b/>
          <w:bCs/>
          <w:rtl/>
        </w:rPr>
        <w:t>איציק שמולי</w:t>
      </w:r>
    </w:p>
    <w:p w:rsidR="00A76F3D" w:rsidRPr="001A102F" w:rsidRDefault="00A76F3D" w:rsidP="0091204F">
      <w:pPr>
        <w:pStyle w:val="David"/>
        <w:ind w:left="2880" w:firstLine="663"/>
        <w:rPr>
          <w:b/>
          <w:bCs/>
        </w:rPr>
      </w:pPr>
      <w:r w:rsidRPr="001A102F">
        <w:rPr>
          <w:b/>
          <w:bCs/>
        </w:rPr>
        <w:tab/>
      </w:r>
      <w:r w:rsidRPr="001A102F">
        <w:rPr>
          <w:b/>
          <w:bCs/>
        </w:rPr>
        <w:tab/>
      </w:r>
      <w:r w:rsidRPr="001A102F">
        <w:rPr>
          <w:b/>
          <w:bCs/>
        </w:rPr>
        <w:tab/>
      </w:r>
      <w:r w:rsidRPr="001A102F">
        <w:rPr>
          <w:b/>
          <w:bCs/>
        </w:rPr>
        <w:tab/>
      </w:r>
      <w:r w:rsidRPr="001A102F">
        <w:rPr>
          <w:b/>
          <w:bCs/>
        </w:rPr>
        <w:tab/>
      </w:r>
      <w:r w:rsidRPr="001A102F">
        <w:rPr>
          <w:b/>
          <w:bCs/>
          <w:rtl/>
        </w:rPr>
        <w:t xml:space="preserve">בועז </w:t>
      </w:r>
      <w:proofErr w:type="spellStart"/>
      <w:r w:rsidRPr="001A102F">
        <w:rPr>
          <w:b/>
          <w:bCs/>
          <w:rtl/>
        </w:rPr>
        <w:t>טופורובסקי</w:t>
      </w:r>
      <w:proofErr w:type="spellEnd"/>
    </w:p>
    <w:p w:rsidR="00A76F3D" w:rsidRPr="001A102F" w:rsidRDefault="00A76F3D" w:rsidP="0091204F">
      <w:pPr>
        <w:pStyle w:val="David"/>
        <w:ind w:left="2880" w:firstLine="663"/>
        <w:rPr>
          <w:b/>
          <w:bCs/>
        </w:rPr>
      </w:pPr>
      <w:r w:rsidRPr="001A102F">
        <w:rPr>
          <w:b/>
          <w:bCs/>
        </w:rPr>
        <w:tab/>
      </w:r>
      <w:r w:rsidRPr="001A102F">
        <w:rPr>
          <w:b/>
          <w:bCs/>
        </w:rPr>
        <w:tab/>
      </w:r>
      <w:r w:rsidRPr="001A102F">
        <w:rPr>
          <w:b/>
          <w:bCs/>
        </w:rPr>
        <w:tab/>
      </w:r>
      <w:r w:rsidRPr="001A102F">
        <w:rPr>
          <w:b/>
          <w:bCs/>
        </w:rPr>
        <w:tab/>
      </w:r>
      <w:r w:rsidRPr="001A102F">
        <w:rPr>
          <w:b/>
          <w:bCs/>
        </w:rPr>
        <w:tab/>
      </w:r>
      <w:r w:rsidRPr="001A102F">
        <w:rPr>
          <w:b/>
          <w:bCs/>
          <w:rtl/>
        </w:rPr>
        <w:t>מירי רגב</w:t>
      </w:r>
    </w:p>
    <w:p w:rsidR="00A76F3D" w:rsidRPr="001A102F" w:rsidRDefault="00A76F3D" w:rsidP="0091204F">
      <w:pPr>
        <w:pStyle w:val="David"/>
        <w:ind w:left="2880" w:firstLine="663"/>
        <w:rPr>
          <w:b/>
          <w:bCs/>
        </w:rPr>
      </w:pPr>
      <w:r w:rsidRPr="001A102F">
        <w:rPr>
          <w:b/>
          <w:bCs/>
        </w:rPr>
        <w:tab/>
      </w:r>
      <w:r w:rsidRPr="001A102F">
        <w:rPr>
          <w:b/>
          <w:bCs/>
        </w:rPr>
        <w:tab/>
      </w:r>
      <w:r w:rsidRPr="001A102F">
        <w:rPr>
          <w:b/>
          <w:bCs/>
        </w:rPr>
        <w:tab/>
      </w:r>
      <w:r w:rsidRPr="001A102F">
        <w:rPr>
          <w:b/>
          <w:bCs/>
        </w:rPr>
        <w:tab/>
      </w:r>
      <w:r w:rsidRPr="001A102F">
        <w:rPr>
          <w:b/>
          <w:bCs/>
        </w:rPr>
        <w:tab/>
      </w:r>
      <w:r w:rsidRPr="001A102F">
        <w:rPr>
          <w:b/>
          <w:bCs/>
          <w:rtl/>
        </w:rPr>
        <w:t xml:space="preserve">דב </w:t>
      </w:r>
      <w:proofErr w:type="spellStart"/>
      <w:r w:rsidRPr="001A102F">
        <w:rPr>
          <w:b/>
          <w:bCs/>
          <w:rtl/>
        </w:rPr>
        <w:t>חנין</w:t>
      </w:r>
      <w:proofErr w:type="spellEnd"/>
    </w:p>
    <w:p w:rsidR="00A76F3D" w:rsidRPr="001A102F" w:rsidRDefault="00A76F3D" w:rsidP="0091204F">
      <w:pPr>
        <w:pStyle w:val="David"/>
        <w:ind w:left="2880" w:firstLine="663"/>
        <w:rPr>
          <w:b/>
          <w:bCs/>
        </w:rPr>
      </w:pPr>
      <w:r w:rsidRPr="001A102F">
        <w:rPr>
          <w:b/>
          <w:bCs/>
        </w:rPr>
        <w:tab/>
      </w:r>
      <w:r w:rsidRPr="001A102F">
        <w:rPr>
          <w:b/>
          <w:bCs/>
        </w:rPr>
        <w:tab/>
      </w:r>
      <w:r w:rsidRPr="001A102F">
        <w:rPr>
          <w:b/>
          <w:bCs/>
        </w:rPr>
        <w:tab/>
      </w:r>
      <w:r w:rsidRPr="001A102F">
        <w:rPr>
          <w:b/>
          <w:bCs/>
        </w:rPr>
        <w:tab/>
      </w:r>
      <w:r w:rsidRPr="001A102F">
        <w:rPr>
          <w:b/>
          <w:bCs/>
        </w:rPr>
        <w:tab/>
      </w:r>
      <w:r w:rsidRPr="001A102F">
        <w:rPr>
          <w:b/>
          <w:bCs/>
          <w:rtl/>
        </w:rPr>
        <w:t>ניצן הורוביץ</w:t>
      </w:r>
    </w:p>
    <w:p w:rsidR="00E13C27" w:rsidRPr="00B35784" w:rsidRDefault="00A76F3D" w:rsidP="0091204F">
      <w:pPr>
        <w:pStyle w:val="David"/>
        <w:ind w:left="2880" w:firstLine="663"/>
        <w:rPr>
          <w:b/>
          <w:bCs/>
          <w:rtl/>
        </w:rPr>
      </w:pPr>
      <w:r w:rsidRPr="001A102F">
        <w:rPr>
          <w:b/>
          <w:bCs/>
        </w:rPr>
        <w:tab/>
      </w:r>
      <w:r w:rsidRPr="001A102F">
        <w:rPr>
          <w:b/>
          <w:bCs/>
        </w:rPr>
        <w:tab/>
      </w:r>
      <w:r w:rsidRPr="001A102F">
        <w:rPr>
          <w:b/>
          <w:bCs/>
        </w:rPr>
        <w:tab/>
      </w:r>
      <w:r w:rsidRPr="001A102F">
        <w:rPr>
          <w:b/>
          <w:bCs/>
        </w:rPr>
        <w:tab/>
      </w:r>
      <w:r w:rsidRPr="001A102F">
        <w:rPr>
          <w:b/>
          <w:bCs/>
        </w:rPr>
        <w:tab/>
      </w:r>
      <w:r w:rsidRPr="001A102F">
        <w:rPr>
          <w:b/>
          <w:bCs/>
          <w:rtl/>
        </w:rPr>
        <w:t>אברהם מיכאלי</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4B7862C5" wp14:editId="6471EC97">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2F2822" w:rsidRPr="002F2822">
        <w:rPr>
          <w:rFonts w:cs="David"/>
          <w:sz w:val="26"/>
          <w:szCs w:val="26"/>
          <w:rtl/>
        </w:rPr>
        <w:t>פ/2806/19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F450F0" w:rsidP="007E178E">
      <w:pPr>
        <w:pStyle w:val="HeadHatzaotHok"/>
        <w:tabs>
          <w:tab w:val="left" w:pos="4071"/>
          <w:tab w:val="center" w:pos="4819"/>
        </w:tabs>
        <w:spacing w:before="0"/>
        <w:rPr>
          <w:sz w:val="26"/>
          <w:rtl/>
        </w:rPr>
      </w:pPr>
      <w:bookmarkStart w:id="7" w:name="Title"/>
      <w:r w:rsidRPr="00F450F0">
        <w:rPr>
          <w:sz w:val="26"/>
          <w:rtl/>
        </w:rPr>
        <w:t xml:space="preserve">הצעת חוק המכר (דירות) (תיקון </w:t>
      </w:r>
      <w:r w:rsidR="007E178E">
        <w:rPr>
          <w:rFonts w:hint="cs"/>
          <w:sz w:val="26"/>
          <w:rtl/>
        </w:rPr>
        <w:t>–</w:t>
      </w:r>
      <w:r w:rsidRPr="00F450F0">
        <w:rPr>
          <w:sz w:val="26"/>
          <w:rtl/>
        </w:rPr>
        <w:t xml:space="preserve"> בדיקה לפני מסירה), </w:t>
      </w:r>
      <w:proofErr w:type="spellStart"/>
      <w:r w:rsidRPr="00F450F0">
        <w:rPr>
          <w:sz w:val="26"/>
          <w:rtl/>
        </w:rPr>
        <w:t>התשע''ה</w:t>
      </w:r>
      <w:proofErr w:type="spellEnd"/>
      <w:r w:rsidR="007E178E">
        <w:rPr>
          <w:rFonts w:hint="cs"/>
          <w:sz w:val="26"/>
          <w:rtl/>
        </w:rPr>
        <w:t>–</w:t>
      </w:r>
      <w:r w:rsidRPr="00F450F0">
        <w:rPr>
          <w:sz w:val="26"/>
          <w:rtl/>
        </w:rPr>
        <w:t>2014</w:t>
      </w:r>
      <w:bookmarkEnd w:id="7"/>
    </w:p>
    <w:p w:rsidR="00E26E3B" w:rsidRDefault="00E26E3B" w:rsidP="001A102F">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566048" w:rsidTr="00566048">
        <w:trPr>
          <w:cantSplit/>
          <w:trHeight w:val="60"/>
        </w:trPr>
        <w:tc>
          <w:tcPr>
            <w:tcW w:w="1871" w:type="dxa"/>
          </w:tcPr>
          <w:p w:rsidR="00566048" w:rsidRDefault="00E26E3B" w:rsidP="0014589C">
            <w:pPr>
              <w:pStyle w:val="TableSideHeading"/>
              <w:ind w:right="0"/>
              <w:rPr>
                <w:rtl/>
              </w:rPr>
            </w:pPr>
            <w:r>
              <w:rPr>
                <w:rFonts w:hint="cs"/>
                <w:rtl/>
              </w:rPr>
              <w:t>תיקון סעיף 4</w:t>
            </w:r>
          </w:p>
        </w:tc>
        <w:tc>
          <w:tcPr>
            <w:tcW w:w="624" w:type="dxa"/>
          </w:tcPr>
          <w:p w:rsidR="00566048" w:rsidRPr="004E26DB" w:rsidRDefault="00E26E3B" w:rsidP="0014589C">
            <w:pPr>
              <w:pStyle w:val="TableText"/>
              <w:ind w:right="0"/>
              <w:jc w:val="both"/>
              <w:rPr>
                <w:rtl/>
              </w:rPr>
            </w:pPr>
            <w:r>
              <w:rPr>
                <w:rFonts w:hint="cs"/>
                <w:rtl/>
              </w:rPr>
              <w:t>1.</w:t>
            </w:r>
          </w:p>
        </w:tc>
        <w:tc>
          <w:tcPr>
            <w:tcW w:w="7146" w:type="dxa"/>
          </w:tcPr>
          <w:p w:rsidR="00566048" w:rsidRPr="00E26E3B" w:rsidRDefault="00E26E3B" w:rsidP="001A102F">
            <w:pPr>
              <w:pStyle w:val="TableBlock"/>
              <w:rPr>
                <w:rtl/>
              </w:rPr>
            </w:pPr>
            <w:r w:rsidRPr="007B38EB">
              <w:rPr>
                <w:rFonts w:hint="cs"/>
                <w:rtl/>
              </w:rPr>
              <w:t>ב</w:t>
            </w:r>
            <w:r w:rsidRPr="007B38EB">
              <w:rPr>
                <w:rtl/>
              </w:rPr>
              <w:t xml:space="preserve">חוק המכר (דירות), </w:t>
            </w:r>
            <w:proofErr w:type="spellStart"/>
            <w:r w:rsidRPr="007B38EB">
              <w:rPr>
                <w:rFonts w:hint="cs"/>
                <w:rtl/>
              </w:rPr>
              <w:t>ה</w:t>
            </w:r>
            <w:r w:rsidRPr="007B38EB">
              <w:rPr>
                <w:rtl/>
              </w:rPr>
              <w:t>תשל"ג</w:t>
            </w:r>
            <w:proofErr w:type="spellEnd"/>
            <w:r w:rsidRPr="007B38EB">
              <w:rPr>
                <w:rFonts w:hint="cs"/>
                <w:rtl/>
              </w:rPr>
              <w:t>–</w:t>
            </w:r>
            <w:r w:rsidRPr="007B38EB">
              <w:rPr>
                <w:rtl/>
              </w:rPr>
              <w:t>1973</w:t>
            </w:r>
            <w:r w:rsidRPr="007B38EB">
              <w:rPr>
                <w:rStyle w:val="a6"/>
                <w:rtl/>
              </w:rPr>
              <w:footnoteReference w:id="2"/>
            </w:r>
            <w:r w:rsidRPr="007B38EB">
              <w:rPr>
                <w:rFonts w:hint="cs"/>
                <w:rtl/>
              </w:rPr>
              <w:t xml:space="preserve">, </w:t>
            </w:r>
            <w:r>
              <w:rPr>
                <w:rFonts w:hint="cs"/>
                <w:rtl/>
              </w:rPr>
              <w:t xml:space="preserve">בסעיף 4(א), </w:t>
            </w:r>
            <w:r w:rsidR="00566048" w:rsidRPr="00E26E3B">
              <w:rPr>
                <w:rFonts w:hint="eastAsia"/>
                <w:rtl/>
              </w:rPr>
              <w:t>אחרי</w:t>
            </w:r>
            <w:r w:rsidR="00566048" w:rsidRPr="00E26E3B">
              <w:rPr>
                <w:rtl/>
              </w:rPr>
              <w:t xml:space="preserve"> </w:t>
            </w:r>
            <w:r>
              <w:rPr>
                <w:rFonts w:hint="cs"/>
                <w:rtl/>
              </w:rPr>
              <w:t>פסקה</w:t>
            </w:r>
            <w:r w:rsidR="00566048" w:rsidRPr="00E26E3B">
              <w:rPr>
                <w:rtl/>
              </w:rPr>
              <w:t xml:space="preserve"> (6) יבוא: </w:t>
            </w:r>
          </w:p>
        </w:tc>
      </w:tr>
      <w:tr w:rsidR="00566048" w:rsidTr="00566048">
        <w:trPr>
          <w:cantSplit/>
          <w:trHeight w:val="60"/>
        </w:trPr>
        <w:tc>
          <w:tcPr>
            <w:tcW w:w="1871" w:type="dxa"/>
          </w:tcPr>
          <w:p w:rsidR="00566048" w:rsidRDefault="00566048" w:rsidP="001A102F">
            <w:pPr>
              <w:pStyle w:val="TableSideHeading"/>
              <w:ind w:right="0"/>
              <w:rPr>
                <w:rtl/>
              </w:rPr>
            </w:pPr>
          </w:p>
        </w:tc>
        <w:tc>
          <w:tcPr>
            <w:tcW w:w="624" w:type="dxa"/>
          </w:tcPr>
          <w:p w:rsidR="00566048" w:rsidRDefault="00566048" w:rsidP="0014589C">
            <w:pPr>
              <w:pStyle w:val="TableText"/>
              <w:ind w:right="0"/>
              <w:jc w:val="both"/>
              <w:rPr>
                <w:rtl/>
              </w:rPr>
            </w:pPr>
          </w:p>
        </w:tc>
        <w:tc>
          <w:tcPr>
            <w:tcW w:w="7146" w:type="dxa"/>
          </w:tcPr>
          <w:p w:rsidR="00566048" w:rsidRPr="004E26DB" w:rsidRDefault="00566048" w:rsidP="001A102F">
            <w:pPr>
              <w:pStyle w:val="TableBlock"/>
              <w:rPr>
                <w:rtl/>
              </w:rPr>
            </w:pPr>
            <w:r w:rsidRPr="004E26DB">
              <w:rPr>
                <w:rFonts w:hint="cs"/>
                <w:rtl/>
              </w:rPr>
              <w:t>"(</w:t>
            </w:r>
            <w:r>
              <w:rPr>
                <w:rFonts w:hint="cs"/>
                <w:rtl/>
              </w:rPr>
              <w:t>7</w:t>
            </w:r>
            <w:r w:rsidRPr="004E26DB">
              <w:rPr>
                <w:rFonts w:hint="cs"/>
                <w:rtl/>
              </w:rPr>
              <w:t>)</w:t>
            </w:r>
            <w:r>
              <w:rPr>
                <w:rFonts w:hint="cs"/>
                <w:rtl/>
              </w:rPr>
              <w:t xml:space="preserve">    המוכר לא העמיד לרשות הקונה העתק של </w:t>
            </w:r>
            <w:r w:rsidRPr="00E26E3B">
              <w:rPr>
                <w:rFonts w:hint="eastAsia"/>
                <w:rtl/>
              </w:rPr>
              <w:t>תכנית</w:t>
            </w:r>
            <w:r w:rsidRPr="00E26E3B">
              <w:rPr>
                <w:rtl/>
              </w:rPr>
              <w:t xml:space="preserve"> הקונסטרוקציה </w:t>
            </w:r>
            <w:r w:rsidR="00E26E3B" w:rsidRPr="00E26E3B">
              <w:rPr>
                <w:rFonts w:hint="eastAsia"/>
                <w:rtl/>
              </w:rPr>
              <w:t>לפיה</w:t>
            </w:r>
            <w:r w:rsidR="00E26E3B">
              <w:rPr>
                <w:rFonts w:hint="cs"/>
                <w:rtl/>
              </w:rPr>
              <w:t xml:space="preserve"> נבנה השלד </w:t>
            </w:r>
            <w:r>
              <w:rPr>
                <w:rFonts w:hint="cs"/>
                <w:rtl/>
              </w:rPr>
              <w:t>של הבניין והדירה</w:t>
            </w:r>
            <w:r w:rsidR="001A102F">
              <w:rPr>
                <w:rFonts w:hint="cs"/>
                <w:rtl/>
              </w:rPr>
              <w:t xml:space="preserve">; </w:t>
            </w:r>
            <w:r>
              <w:rPr>
                <w:rFonts w:hint="cs"/>
                <w:rtl/>
              </w:rPr>
              <w:t xml:space="preserve">המצאת העתק כאמור </w:t>
            </w:r>
            <w:r w:rsidR="00364CE4">
              <w:rPr>
                <w:rFonts w:hint="cs"/>
                <w:rtl/>
              </w:rPr>
              <w:t>אינה גורעת מחובות המוכר</w:t>
            </w:r>
            <w:r w:rsidR="00697182">
              <w:rPr>
                <w:rFonts w:hint="cs"/>
                <w:rtl/>
              </w:rPr>
              <w:t xml:space="preserve"> </w:t>
            </w:r>
            <w:r>
              <w:rPr>
                <w:rFonts w:hint="cs"/>
                <w:rtl/>
              </w:rPr>
              <w:t>בהתאם להוראות כל דין;</w:t>
            </w:r>
          </w:p>
        </w:tc>
      </w:tr>
      <w:tr w:rsidR="00566048" w:rsidTr="00566048">
        <w:trPr>
          <w:cantSplit/>
          <w:trHeight w:val="60"/>
        </w:trPr>
        <w:tc>
          <w:tcPr>
            <w:tcW w:w="1871" w:type="dxa"/>
          </w:tcPr>
          <w:p w:rsidR="00566048" w:rsidRPr="001A102F" w:rsidRDefault="00566048" w:rsidP="001A102F">
            <w:pPr>
              <w:pStyle w:val="TableSideHeading"/>
              <w:ind w:right="0"/>
              <w:rPr>
                <w:highlight w:val="yellow"/>
                <w:rtl/>
              </w:rPr>
            </w:pPr>
          </w:p>
        </w:tc>
        <w:tc>
          <w:tcPr>
            <w:tcW w:w="624" w:type="dxa"/>
          </w:tcPr>
          <w:p w:rsidR="00566048" w:rsidRDefault="00566048" w:rsidP="0014589C">
            <w:pPr>
              <w:pStyle w:val="TableText"/>
              <w:ind w:right="0"/>
              <w:jc w:val="both"/>
              <w:rPr>
                <w:rtl/>
              </w:rPr>
            </w:pPr>
          </w:p>
        </w:tc>
        <w:tc>
          <w:tcPr>
            <w:tcW w:w="7146" w:type="dxa"/>
          </w:tcPr>
          <w:p w:rsidR="00566048" w:rsidRPr="004E26DB" w:rsidRDefault="00566048" w:rsidP="001A102F">
            <w:pPr>
              <w:pStyle w:val="TableBlock"/>
              <w:rPr>
                <w:rtl/>
              </w:rPr>
            </w:pPr>
            <w:r>
              <w:rPr>
                <w:rFonts w:hint="cs"/>
                <w:rtl/>
              </w:rPr>
              <w:t>(8)</w:t>
            </w:r>
            <w:r w:rsidR="00E26E3B">
              <w:rPr>
                <w:rtl/>
              </w:rPr>
              <w:tab/>
            </w:r>
            <w:r w:rsidRPr="003F095C">
              <w:rPr>
                <w:rtl/>
              </w:rPr>
              <w:t xml:space="preserve">המוכר לא אפשר לקונה לערוך בדיקה בדירה לפני מסירתה בעזרת </w:t>
            </w:r>
            <w:r>
              <w:rPr>
                <w:rFonts w:hint="cs"/>
                <w:rtl/>
              </w:rPr>
              <w:t>מומחה</w:t>
            </w:r>
            <w:r w:rsidRPr="003F095C">
              <w:rPr>
                <w:rtl/>
              </w:rPr>
              <w:t xml:space="preserve"> מטעמו</w:t>
            </w:r>
            <w:r w:rsidR="00697182">
              <w:rPr>
                <w:rFonts w:hint="cs"/>
                <w:rtl/>
              </w:rPr>
              <w:t>,</w:t>
            </w:r>
            <w:r w:rsidRPr="003F095C">
              <w:rPr>
                <w:rtl/>
              </w:rPr>
              <w:t xml:space="preserve"> על מנת לוודא כי הדירה אינה שונה מן האמור במפרט</w:t>
            </w:r>
            <w:r w:rsidR="00364CE4">
              <w:rPr>
                <w:rFonts w:hint="cs"/>
                <w:rtl/>
              </w:rPr>
              <w:t>,</w:t>
            </w:r>
            <w:r w:rsidRPr="003F095C">
              <w:rPr>
                <w:rtl/>
              </w:rPr>
              <w:t xml:space="preserve"> בתקן רשמי או בתקנות הבנ</w:t>
            </w:r>
            <w:r w:rsidR="007E178E">
              <w:rPr>
                <w:rFonts w:hint="cs"/>
                <w:rtl/>
              </w:rPr>
              <w:t>י</w:t>
            </w:r>
            <w:r w:rsidRPr="003F095C">
              <w:rPr>
                <w:rtl/>
              </w:rPr>
              <w:t xml:space="preserve">יה, ובלבד שהקונה </w:t>
            </w:r>
            <w:r>
              <w:rPr>
                <w:rFonts w:hint="cs"/>
                <w:rtl/>
              </w:rPr>
              <w:t>הסכים ל</w:t>
            </w:r>
            <w:r w:rsidRPr="003F095C">
              <w:rPr>
                <w:rtl/>
              </w:rPr>
              <w:t>קיים את הפגישה בנוכחות המוכר או בעל מקצוע מטעמו</w:t>
            </w:r>
            <w:r w:rsidR="001A102F">
              <w:rPr>
                <w:rFonts w:hint="cs"/>
                <w:rtl/>
              </w:rPr>
              <w:t>;</w:t>
            </w:r>
            <w:r>
              <w:t xml:space="preserve"> </w:t>
            </w:r>
            <w:r w:rsidR="00364CE4">
              <w:rPr>
                <w:rFonts w:hint="cs"/>
                <w:rtl/>
              </w:rPr>
              <w:t xml:space="preserve">עריכת בדיקה כאמור אינה פוגעת </w:t>
            </w:r>
            <w:r>
              <w:rPr>
                <w:rFonts w:hint="cs"/>
                <w:rtl/>
              </w:rPr>
              <w:t xml:space="preserve">בכל דרישה או תביעה בגין אי התאמה, אי התאמה יסודית או פיצוי לפי חוק זה." </w:t>
            </w:r>
          </w:p>
        </w:tc>
      </w:tr>
    </w:tbl>
    <w:p w:rsidR="00566048" w:rsidRDefault="00566048" w:rsidP="00E13C27">
      <w:pPr>
        <w:pStyle w:val="HeadDivreiHesber"/>
        <w:spacing w:before="0" w:after="0"/>
        <w:rPr>
          <w:rtl/>
        </w:rPr>
      </w:pPr>
    </w:p>
    <w:p w:rsidR="00E13C27" w:rsidRDefault="00E13C27" w:rsidP="00E13C27">
      <w:pPr>
        <w:pStyle w:val="HeadDivreiHesber"/>
        <w:spacing w:before="0" w:after="0"/>
        <w:rPr>
          <w:rtl/>
        </w:rPr>
      </w:pPr>
      <w:r>
        <w:rPr>
          <w:rFonts w:hint="cs"/>
          <w:rtl/>
        </w:rPr>
        <w:t>דברי הסבר</w:t>
      </w:r>
    </w:p>
    <w:p w:rsidR="00566048" w:rsidRDefault="00566048" w:rsidP="007E178E">
      <w:pPr>
        <w:pStyle w:val="Hesber"/>
        <w:rPr>
          <w:rtl/>
        </w:rPr>
      </w:pPr>
      <w:r w:rsidRPr="003F095C">
        <w:rPr>
          <w:rtl/>
        </w:rPr>
        <w:t xml:space="preserve">חוק המכר (דירות), </w:t>
      </w:r>
      <w:proofErr w:type="spellStart"/>
      <w:r w:rsidR="00B25897">
        <w:rPr>
          <w:rFonts w:hint="cs"/>
          <w:rtl/>
        </w:rPr>
        <w:t>ה</w:t>
      </w:r>
      <w:r w:rsidRPr="003F095C">
        <w:rPr>
          <w:rtl/>
        </w:rPr>
        <w:t>תשל"ג</w:t>
      </w:r>
      <w:proofErr w:type="spellEnd"/>
      <w:r w:rsidR="00B25897">
        <w:rPr>
          <w:rFonts w:hint="cs"/>
          <w:rtl/>
        </w:rPr>
        <w:t>–</w:t>
      </w:r>
      <w:r w:rsidRPr="003F095C">
        <w:rPr>
          <w:rtl/>
        </w:rPr>
        <w:t>1973</w:t>
      </w:r>
      <w:r>
        <w:rPr>
          <w:rFonts w:hint="cs"/>
          <w:rtl/>
        </w:rPr>
        <w:t xml:space="preserve"> (להלן </w:t>
      </w:r>
      <w:r>
        <w:rPr>
          <w:rtl/>
        </w:rPr>
        <w:t>–</w:t>
      </w:r>
      <w:r>
        <w:rPr>
          <w:rFonts w:hint="cs"/>
          <w:rtl/>
        </w:rPr>
        <w:t xml:space="preserve"> החוק) קובע תנאים למכירת דירה חדשה ומסירתה לידי הקונה. סעיף 4 לחוק קובע מקרים </w:t>
      </w:r>
      <w:r w:rsidR="007E178E">
        <w:rPr>
          <w:rFonts w:hint="cs"/>
          <w:rtl/>
        </w:rPr>
        <w:t>ש</w:t>
      </w:r>
      <w:r>
        <w:rPr>
          <w:rFonts w:hint="cs"/>
          <w:rtl/>
        </w:rPr>
        <w:t xml:space="preserve">בהם יוכל קונה לטעון כי התגלתה חוסר התאמה בין הדירה שהובטחה לו לבין זו שהוא קיבל בפועל. </w:t>
      </w:r>
    </w:p>
    <w:p w:rsidR="00566048" w:rsidRDefault="00566048" w:rsidP="007E178E">
      <w:pPr>
        <w:pStyle w:val="Hesber"/>
        <w:rPr>
          <w:rtl/>
        </w:rPr>
      </w:pPr>
      <w:r>
        <w:rPr>
          <w:rFonts w:hint="cs"/>
          <w:rtl/>
        </w:rPr>
        <w:t xml:space="preserve">הצעת החוק מבקשת להוסיף </w:t>
      </w:r>
      <w:r w:rsidR="001A102F">
        <w:rPr>
          <w:rFonts w:hint="cs"/>
          <w:rtl/>
        </w:rPr>
        <w:t xml:space="preserve">שתי </w:t>
      </w:r>
      <w:r>
        <w:rPr>
          <w:rFonts w:hint="cs"/>
          <w:rtl/>
        </w:rPr>
        <w:t xml:space="preserve">עילות נוספות לקביעת אי התאמה בדירה. </w:t>
      </w:r>
      <w:r w:rsidR="001A102F">
        <w:rPr>
          <w:rFonts w:hint="cs"/>
          <w:rtl/>
        </w:rPr>
        <w:t xml:space="preserve">המקרה </w:t>
      </w:r>
      <w:r w:rsidR="007E178E">
        <w:rPr>
          <w:rFonts w:hint="cs"/>
          <w:rtl/>
        </w:rPr>
        <w:t>הראשון</w:t>
      </w:r>
      <w:r>
        <w:rPr>
          <w:rFonts w:hint="cs"/>
          <w:rtl/>
        </w:rPr>
        <w:t xml:space="preserve"> </w:t>
      </w:r>
      <w:r w:rsidR="001A102F">
        <w:rPr>
          <w:rFonts w:hint="cs"/>
          <w:rtl/>
        </w:rPr>
        <w:t xml:space="preserve">אם </w:t>
      </w:r>
      <w:r>
        <w:rPr>
          <w:rFonts w:hint="cs"/>
          <w:rtl/>
        </w:rPr>
        <w:t xml:space="preserve">המוכר לא העמיד לרשות הקונה את תכנית הקונסטרוקציה של הדירה והבניין. </w:t>
      </w:r>
      <w:r w:rsidR="001A102F">
        <w:rPr>
          <w:rFonts w:hint="cs"/>
          <w:rtl/>
        </w:rPr>
        <w:t>ה</w:t>
      </w:r>
      <w:r w:rsidR="007E178E">
        <w:rPr>
          <w:rFonts w:hint="cs"/>
          <w:rtl/>
        </w:rPr>
        <w:t>מקרה השני</w:t>
      </w:r>
      <w:r>
        <w:rPr>
          <w:rFonts w:hint="cs"/>
          <w:rtl/>
        </w:rPr>
        <w:t xml:space="preserve"> אם הקונה ביקש לערוך בדיקה עם מומחה מטעמו בדירה, על מנת לוודא כי היא תקינה ומתאימה למפרט ולחוזה, ואילו המוכר סירב לאפשר לו לקיים בדיקה שכזו. זאת, בתנאי שבדיקה כאמור תבוצע בנוכחות של המוכר או איש מקצוע מטעמו, שיוכל להעמיד הסברים ולבחו</w:t>
      </w:r>
      <w:r w:rsidR="007E178E">
        <w:rPr>
          <w:rFonts w:hint="cs"/>
          <w:rtl/>
        </w:rPr>
        <w:t xml:space="preserve">ן את הטענות או השאלות שיועלו על </w:t>
      </w:r>
      <w:r>
        <w:rPr>
          <w:rFonts w:hint="cs"/>
          <w:rtl/>
        </w:rPr>
        <w:t xml:space="preserve">ידי הקונה. בשני המקרים המוצעים, עצם העברת התכנית ועצם קיומה של בדיקה כאמור לא יפגעו בכל זכות </w:t>
      </w:r>
      <w:r>
        <w:rPr>
          <w:rFonts w:hint="cs"/>
          <w:rtl/>
        </w:rPr>
        <w:lastRenderedPageBreak/>
        <w:t>עתידית של הקונה לפיצוי או תביעה בגין אי התאמה או אי התאמה יסודית לפי החוק, ולא ניתן יהיה להתנות על הס</w:t>
      </w:r>
      <w:r w:rsidR="007E178E">
        <w:rPr>
          <w:rFonts w:hint="cs"/>
          <w:rtl/>
        </w:rPr>
        <w:t>עיף אלא לטובת הקונה. זאת, היות ש</w:t>
      </w:r>
      <w:r>
        <w:rPr>
          <w:rFonts w:hint="cs"/>
          <w:rtl/>
        </w:rPr>
        <w:t xml:space="preserve">חלק מהליקויים בבנייה ניתנים לזיהוי רק בחלוף הזמן ולא במעמד המסירה. עוד יובהר כי הצעת החוק אינה מחייבת את קיומה של בדיקה כאמור, אלא רק מבקשת לעגן את זכות </w:t>
      </w:r>
      <w:r w:rsidR="001A102F">
        <w:rPr>
          <w:rFonts w:hint="cs"/>
          <w:rtl/>
        </w:rPr>
        <w:t>ה</w:t>
      </w:r>
      <w:r>
        <w:rPr>
          <w:rFonts w:hint="cs"/>
          <w:rtl/>
        </w:rPr>
        <w:t xml:space="preserve">קונה לבדיקה שכזו, ככל שירצה לנצל אותה. </w:t>
      </w:r>
    </w:p>
    <w:p w:rsidR="00566048" w:rsidRDefault="00566048" w:rsidP="007E178E">
      <w:pPr>
        <w:pStyle w:val="Hesber"/>
        <w:rPr>
          <w:rtl/>
        </w:rPr>
      </w:pPr>
      <w:r>
        <w:rPr>
          <w:rFonts w:hint="cs"/>
          <w:rtl/>
        </w:rPr>
        <w:t xml:space="preserve">מטרת ההצעה היא להגדיל את הוודאות של קונה דירה לגבי הנכס </w:t>
      </w:r>
      <w:r w:rsidR="007E178E">
        <w:rPr>
          <w:rFonts w:hint="cs"/>
          <w:rtl/>
        </w:rPr>
        <w:t>שהוא קונה. היות ש</w:t>
      </w:r>
      <w:r>
        <w:rPr>
          <w:rFonts w:hint="cs"/>
          <w:rtl/>
        </w:rPr>
        <w:t xml:space="preserve">עבור מרבית האנשים מדובר ברכישה הגדולה ביותר של חייהם, הם נדרשים להקדיש לביצוע הרכישה זמן ומשאבים רבים. עם זאת, קיימים מקרים רבים </w:t>
      </w:r>
      <w:r w:rsidR="007E178E">
        <w:rPr>
          <w:rFonts w:hint="cs"/>
          <w:rtl/>
        </w:rPr>
        <w:t>ש</w:t>
      </w:r>
      <w:r>
        <w:rPr>
          <w:rFonts w:hint="cs"/>
          <w:rtl/>
        </w:rPr>
        <w:t xml:space="preserve">בהם נמסרת הדירה לקונה כשהיא לא במצב תקין לחלוטין, ובמידה ומתגלים בה </w:t>
      </w:r>
      <w:r w:rsidR="007E178E">
        <w:rPr>
          <w:rFonts w:hint="cs"/>
          <w:rtl/>
        </w:rPr>
        <w:t xml:space="preserve">סימנים שונים לאי התאמה כקבוע על </w:t>
      </w:r>
      <w:r>
        <w:rPr>
          <w:rFonts w:hint="cs"/>
          <w:rtl/>
        </w:rPr>
        <w:t>פי החוק, עומדת בפני הקונה הזכות לפנות להליך משפטי על מנת להסדיר את הנושא. לאור המורכבות, משך הזמן והעלות הכלכלית של ההליך המשפטי, מבקשת הצעת החוק להעמיד לרשות הקונה אמצעים נוספים לצמצום מרחב אי הוודאות שלו, ולהבטיח את התקינות והאיכות של הדירה בעת מסירתה. תכנית הקונסטרוקציה שתועמד לר</w:t>
      </w:r>
      <w:r w:rsidR="007E178E">
        <w:rPr>
          <w:rFonts w:hint="cs"/>
          <w:rtl/>
        </w:rPr>
        <w:t>שות הקונה תוכל להקל עליו במידה ש</w:t>
      </w:r>
      <w:r>
        <w:rPr>
          <w:rFonts w:hint="cs"/>
          <w:rtl/>
        </w:rPr>
        <w:t>יידרש להעביר אותה בעתיד לבדיקה מקצועית, גם אחרי מסירת הנכס, ככל שהתגלתה בעיה. קיום הבדיקה בנוכחות מומחה מטעמו תוכל להגדיל את הוודאות שלו לגבי התקינות המקצועית של הנכס. מאידך, הקונה חייב יהיה לאפשר למוכר או מי מטעמו להיות נוכח בעת הבדיקה על מנת להסביר, לשמוע ולהבין א</w:t>
      </w:r>
      <w:r w:rsidR="007E178E">
        <w:rPr>
          <w:rFonts w:hint="cs"/>
          <w:rtl/>
        </w:rPr>
        <w:t>י</w:t>
      </w:r>
      <w:r>
        <w:rPr>
          <w:rFonts w:hint="cs"/>
          <w:rtl/>
        </w:rPr>
        <w:t>לו ליקויים ובעיות נמצאו, וכמובן להקל עליו בתהליך התיקון או ההתאמה שלהם, ובכך תישמר זכות ההגנה שלו על הדירה ועל תהליך הבני</w:t>
      </w:r>
      <w:r w:rsidR="007E178E">
        <w:rPr>
          <w:rFonts w:hint="cs"/>
          <w:rtl/>
        </w:rPr>
        <w:t>י</w:t>
      </w:r>
      <w:r>
        <w:rPr>
          <w:rFonts w:hint="cs"/>
          <w:rtl/>
        </w:rPr>
        <w:t xml:space="preserve">ה. </w:t>
      </w:r>
    </w:p>
    <w:p w:rsidR="00566048" w:rsidRDefault="00566048" w:rsidP="00566048">
      <w:pPr>
        <w:pStyle w:val="Hesber"/>
        <w:rPr>
          <w:rFonts w:hint="cs"/>
          <w:rtl/>
        </w:rPr>
      </w:pPr>
    </w:p>
    <w:p w:rsidR="007E178E" w:rsidRDefault="007E178E" w:rsidP="00566048">
      <w:pPr>
        <w:pStyle w:val="Hesber"/>
        <w:rPr>
          <w:rFonts w:hint="cs"/>
          <w:rtl/>
        </w:rPr>
      </w:pPr>
    </w:p>
    <w:p w:rsidR="007E178E" w:rsidRDefault="007E178E" w:rsidP="00566048">
      <w:pPr>
        <w:pStyle w:val="Hesber"/>
        <w:rPr>
          <w:rtl/>
        </w:rPr>
      </w:pPr>
      <w:bookmarkStart w:id="8" w:name="_GoBack"/>
      <w:bookmarkEnd w:id="8"/>
    </w:p>
    <w:p w:rsidR="00E13C27" w:rsidRDefault="00E13C27" w:rsidP="00E13C27">
      <w:pPr>
        <w:pStyle w:val="Hesber"/>
        <w:rPr>
          <w:rFonts w:hint="cs"/>
          <w:rtl/>
        </w:rPr>
      </w:pPr>
    </w:p>
    <w:p w:rsidR="007E178E" w:rsidRDefault="007E178E" w:rsidP="007E178E">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7E178E" w:rsidRDefault="007E178E" w:rsidP="007E178E">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7E178E" w:rsidRDefault="007E178E" w:rsidP="007E178E">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7E178E" w:rsidRDefault="007E178E" w:rsidP="007E178E">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 xml:space="preserve">ג' בחשוון </w:t>
      </w:r>
      <w:proofErr w:type="spellStart"/>
      <w:r>
        <w:rPr>
          <w:rFonts w:ascii="Arial" w:eastAsia="Arial Unicode MS" w:hAnsi="Arial" w:cs="David" w:hint="cs"/>
          <w:snapToGrid w:val="0"/>
          <w:spacing w:val="0"/>
          <w:sz w:val="20"/>
          <w:szCs w:val="26"/>
          <w:rtl/>
        </w:rPr>
        <w:t>התשע"ה</w:t>
      </w:r>
      <w:proofErr w:type="spellEnd"/>
      <w:r>
        <w:rPr>
          <w:rFonts w:ascii="Arial" w:eastAsia="Arial Unicode MS" w:hAnsi="Arial" w:cs="David" w:hint="cs"/>
          <w:snapToGrid w:val="0"/>
          <w:spacing w:val="0"/>
          <w:sz w:val="20"/>
          <w:szCs w:val="26"/>
          <w:rtl/>
        </w:rPr>
        <w:t xml:space="preserve"> – 27.10.14</w:t>
      </w:r>
    </w:p>
    <w:p w:rsidR="007E178E" w:rsidRDefault="007E178E" w:rsidP="007E178E">
      <w:pPr>
        <w:ind w:left="340" w:firstLine="0"/>
        <w:rPr>
          <w:rFonts w:ascii="Arial" w:eastAsia="Arial Unicode MS" w:hAnsi="Arial" w:cs="David"/>
          <w:snapToGrid w:val="0"/>
          <w:spacing w:val="0"/>
          <w:sz w:val="20"/>
          <w:szCs w:val="26"/>
        </w:rPr>
      </w:pPr>
    </w:p>
    <w:p w:rsidR="007E178E" w:rsidRDefault="007E178E" w:rsidP="007E178E">
      <w:pPr>
        <w:spacing w:line="360" w:lineRule="auto"/>
        <w:rPr>
          <w:rFonts w:hint="cs"/>
          <w:rtl/>
        </w:rPr>
      </w:pPr>
    </w:p>
    <w:p w:rsidR="007E178E" w:rsidRDefault="007E178E" w:rsidP="00E13C27">
      <w:pPr>
        <w:pStyle w:val="Hesber"/>
        <w:rPr>
          <w:rFonts w:hint="cs"/>
          <w:rtl/>
        </w:rPr>
      </w:pPr>
    </w:p>
    <w:p w:rsidR="007E178E" w:rsidRDefault="007E178E" w:rsidP="00E13C27">
      <w:pPr>
        <w:pStyle w:val="Hesber"/>
        <w:rPr>
          <w:rtl/>
        </w:rPr>
      </w:pPr>
    </w:p>
    <w:sectPr w:rsidR="007E178E"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45" w:rsidRDefault="001D3345">
      <w:r>
        <w:separator/>
      </w:r>
    </w:p>
  </w:endnote>
  <w:endnote w:type="continuationSeparator" w:id="0">
    <w:p w:rsidR="001D3345" w:rsidRDefault="001D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E178E">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45" w:rsidRDefault="001D3345">
      <w:r>
        <w:separator/>
      </w:r>
    </w:p>
  </w:footnote>
  <w:footnote w:type="continuationSeparator" w:id="0">
    <w:p w:rsidR="001D3345" w:rsidRDefault="001D3345">
      <w:r>
        <w:continuationSeparator/>
      </w:r>
    </w:p>
  </w:footnote>
  <w:footnote w:type="continuationNotice" w:id="1">
    <w:p w:rsidR="001D3345" w:rsidRDefault="001D3345"/>
  </w:footnote>
  <w:footnote w:id="2">
    <w:p w:rsidR="00E26E3B" w:rsidRDefault="00E26E3B" w:rsidP="00E26E3B">
      <w:pPr>
        <w:pStyle w:val="a4"/>
      </w:pPr>
      <w:r>
        <w:rPr>
          <w:rStyle w:val="a6"/>
        </w:rPr>
        <w:footnoteRef/>
      </w:r>
      <w:r>
        <w:rPr>
          <w:rtl/>
        </w:rPr>
        <w:t xml:space="preserve"> </w:t>
      </w:r>
      <w:r>
        <w:rPr>
          <w:rFonts w:hint="cs"/>
          <w:rtl/>
        </w:rPr>
        <w:t xml:space="preserve">ס"ח </w:t>
      </w:r>
      <w:proofErr w:type="spellStart"/>
      <w:r>
        <w:rPr>
          <w:rFonts w:hint="cs"/>
          <w:rtl/>
        </w:rPr>
        <w:t>התשל"ג</w:t>
      </w:r>
      <w:proofErr w:type="spellEnd"/>
      <w:r>
        <w:rPr>
          <w:rFonts w:hint="cs"/>
          <w:rtl/>
        </w:rPr>
        <w:t xml:space="preserve">, עמ' 196.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6500lsCopyOriginal.docx"/>
    <w:docVar w:name="StartMode" w:val="3"/>
  </w:docVars>
  <w:rsids>
    <w:rsidRoot w:val="00DB7060"/>
    <w:rsid w:val="00015B27"/>
    <w:rsid w:val="000A542E"/>
    <w:rsid w:val="000C3701"/>
    <w:rsid w:val="001207F8"/>
    <w:rsid w:val="00121924"/>
    <w:rsid w:val="001279A8"/>
    <w:rsid w:val="0014195F"/>
    <w:rsid w:val="00152609"/>
    <w:rsid w:val="00153E1B"/>
    <w:rsid w:val="001A0623"/>
    <w:rsid w:val="001A102F"/>
    <w:rsid w:val="001C23B0"/>
    <w:rsid w:val="001D3345"/>
    <w:rsid w:val="00203A7F"/>
    <w:rsid w:val="0021671F"/>
    <w:rsid w:val="002200A1"/>
    <w:rsid w:val="002362BF"/>
    <w:rsid w:val="00241B97"/>
    <w:rsid w:val="00254605"/>
    <w:rsid w:val="002728B4"/>
    <w:rsid w:val="00292712"/>
    <w:rsid w:val="00294613"/>
    <w:rsid w:val="002C2E29"/>
    <w:rsid w:val="002F2822"/>
    <w:rsid w:val="003232A2"/>
    <w:rsid w:val="00364CE4"/>
    <w:rsid w:val="003710F6"/>
    <w:rsid w:val="00386E88"/>
    <w:rsid w:val="003D74A0"/>
    <w:rsid w:val="003E60A9"/>
    <w:rsid w:val="004033D8"/>
    <w:rsid w:val="004D3876"/>
    <w:rsid w:val="004E4552"/>
    <w:rsid w:val="00553C9D"/>
    <w:rsid w:val="00566048"/>
    <w:rsid w:val="005B064E"/>
    <w:rsid w:val="005D51AE"/>
    <w:rsid w:val="00644940"/>
    <w:rsid w:val="006818A9"/>
    <w:rsid w:val="00697182"/>
    <w:rsid w:val="006C1D0D"/>
    <w:rsid w:val="0070601E"/>
    <w:rsid w:val="00765F66"/>
    <w:rsid w:val="007D5A12"/>
    <w:rsid w:val="007E178E"/>
    <w:rsid w:val="007E59F9"/>
    <w:rsid w:val="00810BCD"/>
    <w:rsid w:val="00812C98"/>
    <w:rsid w:val="00814D92"/>
    <w:rsid w:val="00892135"/>
    <w:rsid w:val="00895449"/>
    <w:rsid w:val="00897879"/>
    <w:rsid w:val="008C2DDC"/>
    <w:rsid w:val="008F0D63"/>
    <w:rsid w:val="008F2C35"/>
    <w:rsid w:val="0091204F"/>
    <w:rsid w:val="009203DB"/>
    <w:rsid w:val="00921F67"/>
    <w:rsid w:val="00943386"/>
    <w:rsid w:val="00957589"/>
    <w:rsid w:val="00982412"/>
    <w:rsid w:val="00A26BD6"/>
    <w:rsid w:val="00A76F3D"/>
    <w:rsid w:val="00A82CB7"/>
    <w:rsid w:val="00AC36F7"/>
    <w:rsid w:val="00B25897"/>
    <w:rsid w:val="00B35784"/>
    <w:rsid w:val="00BC45FB"/>
    <w:rsid w:val="00C9176A"/>
    <w:rsid w:val="00CC5408"/>
    <w:rsid w:val="00D370AE"/>
    <w:rsid w:val="00D76840"/>
    <w:rsid w:val="00D867D7"/>
    <w:rsid w:val="00DB7060"/>
    <w:rsid w:val="00DE3153"/>
    <w:rsid w:val="00E13C27"/>
    <w:rsid w:val="00E26E3B"/>
    <w:rsid w:val="00E33BBD"/>
    <w:rsid w:val="00E45103"/>
    <w:rsid w:val="00E665B9"/>
    <w:rsid w:val="00EA01E6"/>
    <w:rsid w:val="00EA758F"/>
    <w:rsid w:val="00ED4A6F"/>
    <w:rsid w:val="00EF3A3A"/>
    <w:rsid w:val="00F450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rsid w:val="00943386"/>
    <w:pPr>
      <w:spacing w:line="240" w:lineRule="auto"/>
      <w:ind w:left="227" w:hanging="227"/>
    </w:pPr>
    <w:rPr>
      <w:sz w:val="14"/>
      <w:szCs w:val="20"/>
    </w:rPr>
  </w:style>
  <w:style w:type="character" w:styleId="a6">
    <w:name w:val="footnote reference"/>
    <w:aliases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link w:val="a4"/>
    <w:locked/>
    <w:rsid w:val="00566048"/>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rsid w:val="00943386"/>
    <w:pPr>
      <w:spacing w:line="240" w:lineRule="auto"/>
      <w:ind w:left="227" w:hanging="227"/>
    </w:pPr>
    <w:rPr>
      <w:sz w:val="14"/>
      <w:szCs w:val="20"/>
    </w:rPr>
  </w:style>
  <w:style w:type="character" w:styleId="a6">
    <w:name w:val="footnote reference"/>
    <w:aliases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link w:val="a4"/>
    <w:locked/>
    <w:rsid w:val="0056604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3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5A007-DCD1-4441-87D5-FEBE9FDCFEB4}"/>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2483</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יעל אדיב</dc:creator>
  <cp:keywords/>
  <dc:description/>
  <cp:lastModifiedBy>לילך יעיש</cp:lastModifiedBy>
  <cp:revision>2</cp:revision>
  <cp:lastPrinted>2014-10-22T10:57:00Z</cp:lastPrinted>
  <dcterms:created xsi:type="dcterms:W3CDTF">2014-10-22T10:57:00Z</dcterms:created>
  <dcterms:modified xsi:type="dcterms:W3CDTF">2014-10-22T10:57:00Z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