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940" w:rsidRPr="00241B97" w:rsidRDefault="00A57940" w:rsidP="00A57940">
      <w:pPr>
        <w:pStyle w:val="HeadHatzaotHok"/>
        <w:jc w:val="right"/>
        <w:rPr>
          <w:b w:val="0"/>
          <w:bCs w:val="0"/>
          <w:sz w:val="17"/>
          <w:szCs w:val="17"/>
        </w:rPr>
      </w:pPr>
      <w:r w:rsidRPr="00241B97">
        <w:rPr>
          <w:rFonts w:hint="cs"/>
          <w:b w:val="0"/>
          <w:bCs w:val="0"/>
          <w:sz w:val="17"/>
          <w:szCs w:val="17"/>
          <w:rtl/>
        </w:rPr>
        <w:t xml:space="preserve">מספר פנימי: </w:t>
      </w:r>
      <w:bookmarkStart w:id="0" w:name="ItemID"/>
      <w:r w:rsidRPr="00B80211">
        <w:rPr>
          <w:b w:val="0"/>
          <w:bCs w:val="0"/>
          <w:sz w:val="17"/>
          <w:szCs w:val="17"/>
          <w:rtl/>
        </w:rPr>
        <w:t>549470</w:t>
      </w:r>
      <w:bookmarkEnd w:id="0"/>
    </w:p>
    <w:p w:rsidR="00A57940" w:rsidRPr="00DB7060" w:rsidRDefault="00A57940" w:rsidP="00A57940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KnessetNum"/>
      <w:r w:rsidRPr="00B80211">
        <w:rPr>
          <w:sz w:val="28"/>
          <w:szCs w:val="28"/>
          <w:rtl/>
        </w:rPr>
        <w:t>התשע-עשרה</w:t>
      </w:r>
      <w:bookmarkEnd w:id="1"/>
    </w:p>
    <w:p w:rsidR="00A57940" w:rsidRDefault="00A57940" w:rsidP="00A57940">
      <w:pPr>
        <w:rPr>
          <w:rFonts w:cs="David"/>
          <w:sz w:val="26"/>
          <w:szCs w:val="26"/>
          <w:rtl/>
        </w:rPr>
      </w:pPr>
    </w:p>
    <w:p w:rsidR="00A57940" w:rsidRDefault="00A57940" w:rsidP="00A57940">
      <w:pPr>
        <w:pStyle w:val="David"/>
        <w:ind w:left="2880" w:firstLine="663"/>
        <w:rPr>
          <w:b/>
          <w:bCs/>
          <w:rtl/>
        </w:rPr>
      </w:pPr>
      <w:bookmarkStart w:id="2" w:name="MKsSingleOrMulti"/>
      <w:r w:rsidRPr="00532F00">
        <w:rPr>
          <w:b/>
          <w:bCs/>
          <w:rtl/>
        </w:rPr>
        <w:t>יוזמ</w:t>
      </w:r>
      <w:r>
        <w:rPr>
          <w:rFonts w:hint="cs"/>
          <w:b/>
          <w:bCs/>
          <w:rtl/>
        </w:rPr>
        <w:t>ים</w:t>
      </w:r>
      <w:r w:rsidR="000E6854">
        <w:rPr>
          <w:b/>
          <w:bCs/>
          <w:rtl/>
        </w:rPr>
        <w:t>:           חבר</w:t>
      </w:r>
      <w:r w:rsidR="000E6854">
        <w:rPr>
          <w:rFonts w:hint="cs"/>
          <w:b/>
          <w:bCs/>
          <w:rtl/>
        </w:rPr>
        <w:t>י</w:t>
      </w:r>
      <w:r w:rsidRPr="00532F00">
        <w:rPr>
          <w:b/>
          <w:bCs/>
          <w:rtl/>
        </w:rPr>
        <w:t xml:space="preserve"> הכנסת</w:t>
      </w:r>
      <w:bookmarkEnd w:id="2"/>
      <w:r>
        <w:tab/>
      </w:r>
      <w:bookmarkStart w:id="3" w:name="MKs"/>
      <w:r w:rsidRPr="00B80211">
        <w:rPr>
          <w:b/>
          <w:bCs/>
          <w:rtl/>
        </w:rPr>
        <w:t>רינה פרנקל</w:t>
      </w:r>
      <w:bookmarkEnd w:id="3"/>
    </w:p>
    <w:p w:rsidR="00A57940" w:rsidRDefault="00A57940" w:rsidP="00A57940">
      <w:pPr>
        <w:pStyle w:val="David"/>
        <w:ind w:left="2880" w:firstLine="663"/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שמעון סולומון</w:t>
      </w:r>
    </w:p>
    <w:p w:rsidR="00A57940" w:rsidRDefault="00A57940" w:rsidP="00A57940">
      <w:pPr>
        <w:pStyle w:val="David"/>
        <w:ind w:left="2880" w:firstLine="663"/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יפעת קריב</w:t>
      </w:r>
    </w:p>
    <w:p w:rsidR="00A57940" w:rsidRDefault="00A57940" w:rsidP="00A57940">
      <w:pPr>
        <w:pStyle w:val="David"/>
        <w:ind w:left="2880" w:firstLine="663"/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רוברט </w:t>
      </w:r>
      <w:proofErr w:type="spellStart"/>
      <w:r>
        <w:rPr>
          <w:rFonts w:hint="cs"/>
          <w:b/>
          <w:bCs/>
          <w:rtl/>
        </w:rPr>
        <w:t>אילטוב</w:t>
      </w:r>
      <w:proofErr w:type="spellEnd"/>
    </w:p>
    <w:p w:rsidR="00A57940" w:rsidRDefault="00A57940" w:rsidP="00A57940">
      <w:pPr>
        <w:pStyle w:val="David"/>
        <w:ind w:left="2880" w:firstLine="663"/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שמעון אוחיון</w:t>
      </w:r>
    </w:p>
    <w:p w:rsidR="00A57940" w:rsidRPr="00B35784" w:rsidRDefault="00A57940" w:rsidP="00A57940">
      <w:pPr>
        <w:pStyle w:val="David"/>
        <w:ind w:left="2880" w:firstLine="663"/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אמנון כהן</w:t>
      </w:r>
    </w:p>
    <w:p w:rsidR="00A57940" w:rsidRDefault="00A57940" w:rsidP="00A57940">
      <w:pPr>
        <w:ind w:firstLine="3543"/>
        <w:rPr>
          <w:rFonts w:cs="David"/>
          <w:sz w:val="26"/>
          <w:szCs w:val="26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D08304" wp14:editId="593EE50D">
                <wp:simplePos x="0" y="0"/>
                <wp:positionH relativeFrom="column">
                  <wp:posOffset>1270</wp:posOffset>
                </wp:positionH>
                <wp:positionV relativeFrom="paragraph">
                  <wp:posOffset>48895</wp:posOffset>
                </wp:positionV>
                <wp:extent cx="3869690" cy="15875"/>
                <wp:effectExtent l="0" t="38100" r="0" b="41275"/>
                <wp:wrapNone/>
                <wp:docPr id="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9690" cy="15875"/>
                        </a:xfrm>
                        <a:custGeom>
                          <a:avLst/>
                          <a:gdLst>
                            <a:gd name="T0" fmla="*/ 0 w 6094"/>
                            <a:gd name="T1" fmla="*/ 25 h 25"/>
                            <a:gd name="T2" fmla="*/ 6094 w 6094"/>
                            <a:gd name="T3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94" h="25">
                              <a:moveTo>
                                <a:pt x="0" y="25"/>
                              </a:moveTo>
                              <a:lnTo>
                                <a:pt x="6094" y="0"/>
                              </a:lnTo>
                            </a:path>
                          </a:pathLst>
                        </a:cu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5.1pt,304.8pt,3.85pt" coordsize="609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" filled="f" stroked="f">
                <v:path arrowok="t" o:connecttype="custom" o:connectlocs="0,15875;3869690,0" o:connectangles="0,0"/>
              </v:polyline>
            </w:pict>
          </mc:Fallback>
        </mc:AlternateContent>
      </w:r>
      <w:bookmarkStart w:id="4" w:name="MKsSingleOrMulti1"/>
      <w:bookmarkEnd w:id="4"/>
      <w:r>
        <w:rPr>
          <w:rFonts w:cs="David" w:hint="cs"/>
          <w:sz w:val="26"/>
          <w:szCs w:val="26"/>
          <w:rtl/>
        </w:rPr>
        <w:tab/>
      </w:r>
      <w:bookmarkStart w:id="5" w:name="MKs1"/>
      <w:bookmarkEnd w:id="5"/>
    </w:p>
    <w:p w:rsidR="00A57940" w:rsidRDefault="00A57940" w:rsidP="00A57940">
      <w:pPr>
        <w:ind w:left="2919" w:firstLine="720"/>
        <w:rPr>
          <w:rFonts w:cs="David"/>
          <w:sz w:val="26"/>
          <w:szCs w:val="26"/>
          <w:rtl/>
        </w:rPr>
      </w:pPr>
      <w:r>
        <w:rPr>
          <w:rFonts w:cs="David"/>
          <w:noProof/>
          <w:sz w:val="26"/>
          <w:szCs w:val="2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61131" wp14:editId="012E6D1B">
                <wp:simplePos x="0" y="0"/>
                <wp:positionH relativeFrom="column">
                  <wp:posOffset>1270</wp:posOffset>
                </wp:positionH>
                <wp:positionV relativeFrom="paragraph">
                  <wp:posOffset>47625</wp:posOffset>
                </wp:positionV>
                <wp:extent cx="3879215" cy="17145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215" cy="17145"/>
                        </a:xfrm>
                        <a:custGeom>
                          <a:avLst/>
                          <a:gdLst>
                            <a:gd name="T0" fmla="*/ 0 w 6109"/>
                            <a:gd name="T1" fmla="*/ 27 h 27"/>
                            <a:gd name="T2" fmla="*/ 6109 w 6109"/>
                            <a:gd name="T3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09" h="27">
                              <a:moveTo>
                                <a:pt x="0" y="27"/>
                              </a:moveTo>
                              <a:lnTo>
                                <a:pt x="610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5.1pt,305.55pt,3.75pt" coordsize="6109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" filled="f">
                <v:path arrowok="t" o:connecttype="custom" o:connectlocs="0,17145;3879215,0" o:connectangles="0,0"/>
              </v:polyline>
            </w:pict>
          </mc:Fallback>
        </mc:AlternateContent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bookmarkStart w:id="6" w:name="LawNum"/>
      <w:r w:rsidR="00510CDC" w:rsidRPr="00510CDC">
        <w:rPr>
          <w:rFonts w:cs="David"/>
          <w:sz w:val="26"/>
          <w:szCs w:val="26"/>
          <w:rtl/>
        </w:rPr>
        <w:t>פ/2702/19</w:t>
      </w:r>
      <w:bookmarkEnd w:id="6"/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</w:p>
    <w:p w:rsidR="00A57940" w:rsidRDefault="00A57940" w:rsidP="00A57940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:rsidR="00A57940" w:rsidRDefault="00A57940" w:rsidP="00A57940">
      <w:pPr>
        <w:pStyle w:val="HeadHatzaotHok"/>
        <w:tabs>
          <w:tab w:val="left" w:pos="4071"/>
          <w:tab w:val="center" w:pos="4819"/>
        </w:tabs>
        <w:spacing w:before="0"/>
        <w:rPr>
          <w:rFonts w:hint="cs"/>
          <w:sz w:val="26"/>
          <w:rtl/>
        </w:rPr>
      </w:pPr>
      <w:r>
        <w:rPr>
          <w:rFonts w:hint="cs"/>
          <w:sz w:val="26"/>
          <w:rtl/>
        </w:rPr>
        <w:t xml:space="preserve">הצעת חוק המקרקעין (תיקון – התקנת אנטנה סלולרית), </w:t>
      </w:r>
      <w:proofErr w:type="spellStart"/>
      <w:r>
        <w:rPr>
          <w:rFonts w:hint="cs"/>
          <w:sz w:val="26"/>
          <w:rtl/>
        </w:rPr>
        <w:t>התשע"ד</w:t>
      </w:r>
      <w:proofErr w:type="spellEnd"/>
      <w:r>
        <w:rPr>
          <w:rFonts w:hint="cs"/>
          <w:sz w:val="26"/>
          <w:rtl/>
        </w:rPr>
        <w:t>–2014</w:t>
      </w:r>
    </w:p>
    <w:p w:rsidR="000E6854" w:rsidRDefault="000E6854" w:rsidP="00A57940">
      <w:pPr>
        <w:pStyle w:val="HeadHatzaotHok"/>
        <w:tabs>
          <w:tab w:val="left" w:pos="4071"/>
          <w:tab w:val="center" w:pos="4819"/>
        </w:tabs>
        <w:spacing w:before="0"/>
        <w:rPr>
          <w:sz w:val="26"/>
          <w:rtl/>
        </w:rPr>
      </w:pPr>
    </w:p>
    <w:tbl>
      <w:tblPr>
        <w:bidiVisual/>
        <w:tblW w:w="9637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624"/>
        <w:gridCol w:w="1872"/>
        <w:gridCol w:w="624"/>
        <w:gridCol w:w="4647"/>
      </w:tblGrid>
      <w:tr w:rsidR="00A57940" w:rsidTr="00532F00">
        <w:trPr>
          <w:cantSplit/>
        </w:trPr>
        <w:tc>
          <w:tcPr>
            <w:tcW w:w="1870" w:type="dxa"/>
          </w:tcPr>
          <w:p w:rsidR="00A57940" w:rsidRPr="00016B1D" w:rsidRDefault="00A57940" w:rsidP="00532F00">
            <w:pPr>
              <w:pStyle w:val="TableSideHeading"/>
              <w:ind w:right="0"/>
            </w:pPr>
            <w:r w:rsidRPr="008A2056">
              <w:rPr>
                <w:rFonts w:hint="cs"/>
                <w:rtl/>
              </w:rPr>
              <w:t>הוספת סעיף 59ט</w:t>
            </w:r>
          </w:p>
        </w:tc>
        <w:tc>
          <w:tcPr>
            <w:tcW w:w="624" w:type="dxa"/>
          </w:tcPr>
          <w:p w:rsidR="00A57940" w:rsidRDefault="00A57940" w:rsidP="00532F00">
            <w:pPr>
              <w:pStyle w:val="TableText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  <w:gridSpan w:val="3"/>
          </w:tcPr>
          <w:p w:rsidR="00A57940" w:rsidRPr="00C34DE2" w:rsidRDefault="00A57940" w:rsidP="00532F00">
            <w:pPr>
              <w:pStyle w:val="TableBlock"/>
            </w:pPr>
            <w:r>
              <w:rPr>
                <w:rFonts w:hint="cs"/>
                <w:rtl/>
              </w:rPr>
              <w:t xml:space="preserve">בחוק המקרקעין, </w:t>
            </w:r>
            <w:proofErr w:type="spellStart"/>
            <w:r>
              <w:rPr>
                <w:rFonts w:hint="cs"/>
                <w:rtl/>
              </w:rPr>
              <w:t>התשכ"ט</w:t>
            </w:r>
            <w:proofErr w:type="spellEnd"/>
            <w:r>
              <w:rPr>
                <w:rFonts w:hint="cs"/>
                <w:rtl/>
              </w:rPr>
              <w:t>–1969</w:t>
            </w:r>
            <w:r>
              <w:rPr>
                <w:rStyle w:val="a6"/>
                <w:rtl/>
              </w:rPr>
              <w:footnoteReference w:id="2"/>
            </w:r>
            <w:r>
              <w:rPr>
                <w:rFonts w:hint="cs"/>
                <w:rtl/>
              </w:rPr>
              <w:t>, אחרי סעיף 59ח יבוא:</w:t>
            </w:r>
          </w:p>
        </w:tc>
      </w:tr>
      <w:tr w:rsidR="00A57940" w:rsidTr="00532F00">
        <w:trPr>
          <w:cantSplit/>
        </w:trPr>
        <w:tc>
          <w:tcPr>
            <w:tcW w:w="1870" w:type="dxa"/>
          </w:tcPr>
          <w:p w:rsidR="00A57940" w:rsidRDefault="00A57940" w:rsidP="00532F00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:rsidR="00A57940" w:rsidRDefault="00A57940" w:rsidP="00532F00">
            <w:pPr>
              <w:pStyle w:val="TableText"/>
              <w:keepLines w:val="0"/>
            </w:pPr>
          </w:p>
        </w:tc>
        <w:tc>
          <w:tcPr>
            <w:tcW w:w="1872" w:type="dxa"/>
          </w:tcPr>
          <w:p w:rsidR="00A57940" w:rsidRPr="00016B1D" w:rsidRDefault="00A57940" w:rsidP="00532F00">
            <w:pPr>
              <w:pStyle w:val="TableInnerSideHeading"/>
              <w:ind w:right="0"/>
            </w:pPr>
            <w:r w:rsidRPr="008A2056">
              <w:rPr>
                <w:rFonts w:hint="cs"/>
                <w:rtl/>
              </w:rPr>
              <w:t>"התקנת אנטנה סלולרית</w:t>
            </w:r>
            <w:r w:rsidRPr="00016B1D">
              <w:t xml:space="preserve"> </w:t>
            </w:r>
          </w:p>
        </w:tc>
        <w:tc>
          <w:tcPr>
            <w:tcW w:w="624" w:type="dxa"/>
          </w:tcPr>
          <w:p w:rsidR="00A57940" w:rsidRDefault="00A57940" w:rsidP="00532F00">
            <w:pPr>
              <w:pStyle w:val="TableText"/>
            </w:pPr>
            <w:r>
              <w:rPr>
                <w:rFonts w:hint="cs"/>
                <w:rtl/>
              </w:rPr>
              <w:t>59ט.</w:t>
            </w:r>
          </w:p>
        </w:tc>
        <w:tc>
          <w:tcPr>
            <w:tcW w:w="4647" w:type="dxa"/>
          </w:tcPr>
          <w:p w:rsidR="00A57940" w:rsidRPr="00345451" w:rsidRDefault="00A57940" w:rsidP="000E6854">
            <w:pPr>
              <w:pStyle w:val="TableBlock"/>
            </w:pPr>
            <w:r w:rsidRPr="00345451">
              <w:rPr>
                <w:rFonts w:hint="cs"/>
                <w:rtl/>
              </w:rPr>
              <w:t>(א)</w:t>
            </w:r>
            <w:r w:rsidRPr="00345451">
              <w:rPr>
                <w:rtl/>
              </w:rPr>
              <w:tab/>
            </w:r>
            <w:r w:rsidRPr="00345451">
              <w:rPr>
                <w:rFonts w:hint="cs"/>
                <w:rtl/>
              </w:rPr>
              <w:t>בעל</w:t>
            </w:r>
            <w:r w:rsidRPr="00345451">
              <w:rPr>
                <w:rtl/>
              </w:rPr>
              <w:t xml:space="preserve"> </w:t>
            </w:r>
            <w:r w:rsidRPr="00345451">
              <w:rPr>
                <w:rFonts w:hint="cs"/>
                <w:rtl/>
              </w:rPr>
              <w:t>דירה</w:t>
            </w:r>
            <w:r w:rsidRPr="00345451">
              <w:rPr>
                <w:rtl/>
              </w:rPr>
              <w:t xml:space="preserve"> </w:t>
            </w:r>
            <w:r w:rsidRPr="00345451">
              <w:rPr>
                <w:rFonts w:hint="cs"/>
                <w:rtl/>
              </w:rPr>
              <w:t xml:space="preserve">המבקש להתקין אנטנה סלולרית או כל מקור קרינה כמשמעותו בחוק </w:t>
            </w:r>
            <w:r w:rsidRPr="00345451">
              <w:rPr>
                <w:rtl/>
              </w:rPr>
              <w:t xml:space="preserve">הקרינה הבלתי מייננת, </w:t>
            </w:r>
            <w:proofErr w:type="spellStart"/>
            <w:r w:rsidRPr="00345451">
              <w:rPr>
                <w:rtl/>
              </w:rPr>
              <w:t>התשס"ו</w:t>
            </w:r>
            <w:proofErr w:type="spellEnd"/>
            <w:r w:rsidR="000E6854">
              <w:rPr>
                <w:rFonts w:hint="cs"/>
                <w:rtl/>
              </w:rPr>
              <w:t>–</w:t>
            </w:r>
            <w:r w:rsidRPr="00345451">
              <w:rPr>
                <w:rtl/>
              </w:rPr>
              <w:t>2006</w:t>
            </w:r>
            <w:r w:rsidRPr="000E6854">
              <w:rPr>
                <w:szCs w:val="20"/>
                <w:rtl/>
              </w:rPr>
              <w:footnoteReference w:id="3"/>
            </w:r>
            <w:r w:rsidRPr="00345451">
              <w:rPr>
                <w:rFonts w:hint="cs"/>
                <w:rtl/>
              </w:rPr>
              <w:t>, בשטח שבבעלות</w:t>
            </w:r>
            <w:r>
              <w:rPr>
                <w:rFonts w:hint="cs"/>
                <w:rtl/>
              </w:rPr>
              <w:t>ו</w:t>
            </w:r>
            <w:r w:rsidRPr="00345451">
              <w:rPr>
                <w:rFonts w:hint="cs"/>
                <w:rtl/>
              </w:rPr>
              <w:t>, לרבות שטח הדירה, המחסן, החנייה והמרפסת, יעשה כן בהסכמת</w:t>
            </w:r>
            <w:r w:rsidRPr="00345451">
              <w:rPr>
                <w:rtl/>
              </w:rPr>
              <w:t xml:space="preserve"> </w:t>
            </w:r>
            <w:r w:rsidRPr="00345451">
              <w:rPr>
                <w:rFonts w:hint="cs"/>
                <w:rtl/>
              </w:rPr>
              <w:t>רוב</w:t>
            </w:r>
            <w:r w:rsidRPr="00345451">
              <w:rPr>
                <w:rtl/>
              </w:rPr>
              <w:t xml:space="preserve"> </w:t>
            </w:r>
            <w:r w:rsidRPr="00345451">
              <w:rPr>
                <w:rFonts w:hint="cs"/>
                <w:rtl/>
              </w:rPr>
              <w:t>בעלי</w:t>
            </w:r>
            <w:r w:rsidRPr="00345451">
              <w:rPr>
                <w:rtl/>
              </w:rPr>
              <w:t xml:space="preserve"> </w:t>
            </w:r>
            <w:r w:rsidRPr="00345451">
              <w:rPr>
                <w:rFonts w:hint="cs"/>
                <w:rtl/>
              </w:rPr>
              <w:t>הדירות.</w:t>
            </w:r>
          </w:p>
        </w:tc>
      </w:tr>
      <w:tr w:rsidR="00A57940" w:rsidTr="00532F00">
        <w:trPr>
          <w:cantSplit/>
        </w:trPr>
        <w:tc>
          <w:tcPr>
            <w:tcW w:w="1870" w:type="dxa"/>
          </w:tcPr>
          <w:p w:rsidR="00A57940" w:rsidRDefault="00A57940" w:rsidP="00532F00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:rsidR="00A57940" w:rsidRDefault="00A57940" w:rsidP="00532F00">
            <w:pPr>
              <w:pStyle w:val="TableText"/>
              <w:keepLines w:val="0"/>
            </w:pPr>
          </w:p>
        </w:tc>
        <w:tc>
          <w:tcPr>
            <w:tcW w:w="1872" w:type="dxa"/>
          </w:tcPr>
          <w:p w:rsidR="00A57940" w:rsidRPr="008A2056" w:rsidRDefault="00A57940" w:rsidP="00532F00">
            <w:pPr>
              <w:pStyle w:val="TableInnerSideHeading"/>
              <w:ind w:right="0"/>
              <w:rPr>
                <w:rtl/>
              </w:rPr>
            </w:pPr>
          </w:p>
        </w:tc>
        <w:tc>
          <w:tcPr>
            <w:tcW w:w="624" w:type="dxa"/>
          </w:tcPr>
          <w:p w:rsidR="00A57940" w:rsidRDefault="00A57940" w:rsidP="00532F00">
            <w:pPr>
              <w:pStyle w:val="TableText"/>
              <w:rPr>
                <w:rtl/>
              </w:rPr>
            </w:pPr>
          </w:p>
        </w:tc>
        <w:tc>
          <w:tcPr>
            <w:tcW w:w="4647" w:type="dxa"/>
          </w:tcPr>
          <w:p w:rsidR="00A57940" w:rsidRDefault="00A57940" w:rsidP="00532F00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(ב)</w:t>
            </w:r>
            <w:r>
              <w:rPr>
                <w:sz w:val="26"/>
                <w:rtl/>
              </w:rPr>
              <w:tab/>
            </w:r>
            <w:r w:rsidRPr="008168D9">
              <w:rPr>
                <w:rFonts w:hint="cs"/>
                <w:sz w:val="26"/>
                <w:rtl/>
              </w:rPr>
              <w:t>מצא המפקח כי בעל דירה התנגד מטעמים בלתי סבירים לביצוע הת</w:t>
            </w:r>
            <w:r>
              <w:rPr>
                <w:rFonts w:hint="cs"/>
                <w:sz w:val="26"/>
                <w:rtl/>
              </w:rPr>
              <w:t>קנה כאמור בסעיף קטן (א)</w:t>
            </w:r>
            <w:r w:rsidRPr="008168D9">
              <w:rPr>
                <w:rFonts w:hint="cs"/>
                <w:sz w:val="26"/>
                <w:rtl/>
              </w:rPr>
              <w:t xml:space="preserve"> או התנה את הסכמתו בתנאים בלתי סבירים, והחליט להרשות את ביצוע ההתאמה, תבוא החלטתו במקום הסכמתו של בעל אותה דירה לענ</w:t>
            </w:r>
            <w:r w:rsidR="000E6854">
              <w:rPr>
                <w:rFonts w:hint="cs"/>
                <w:sz w:val="26"/>
                <w:rtl/>
              </w:rPr>
              <w:t>י</w:t>
            </w:r>
            <w:r w:rsidRPr="008168D9">
              <w:rPr>
                <w:rFonts w:hint="cs"/>
                <w:sz w:val="26"/>
                <w:rtl/>
              </w:rPr>
              <w:t xml:space="preserve">ין </w:t>
            </w:r>
            <w:r>
              <w:rPr>
                <w:rFonts w:hint="cs"/>
                <w:sz w:val="26"/>
                <w:rtl/>
              </w:rPr>
              <w:t>סעיף זה.</w:t>
            </w:r>
            <w:r w:rsidR="000E6854">
              <w:rPr>
                <w:rFonts w:hint="cs"/>
                <w:sz w:val="26"/>
                <w:rtl/>
              </w:rPr>
              <w:t>"</w:t>
            </w:r>
          </w:p>
        </w:tc>
      </w:tr>
    </w:tbl>
    <w:p w:rsidR="00A57940" w:rsidRDefault="00A57940" w:rsidP="00A57940">
      <w:pPr>
        <w:keepLines/>
        <w:tabs>
          <w:tab w:val="left" w:pos="624"/>
          <w:tab w:val="left" w:pos="1247"/>
        </w:tabs>
        <w:spacing w:before="0" w:line="360" w:lineRule="auto"/>
        <w:ind w:firstLine="0"/>
        <w:rPr>
          <w:rtl/>
        </w:rPr>
      </w:pPr>
    </w:p>
    <w:p w:rsidR="00A57940" w:rsidRDefault="00A57940" w:rsidP="00A57940">
      <w:pPr>
        <w:pStyle w:val="HeadDivreiHesber"/>
        <w:spacing w:before="0" w:after="0"/>
        <w:rPr>
          <w:rtl/>
        </w:rPr>
      </w:pPr>
      <w:r>
        <w:rPr>
          <w:rFonts w:hint="cs"/>
          <w:rtl/>
        </w:rPr>
        <w:t>דברי הסבר</w:t>
      </w:r>
    </w:p>
    <w:p w:rsidR="00A57940" w:rsidRPr="00016B1D" w:rsidRDefault="00A57940" w:rsidP="00A57940">
      <w:pPr>
        <w:pStyle w:val="Hesber"/>
        <w:rPr>
          <w:rtl/>
        </w:rPr>
      </w:pPr>
      <w:r w:rsidRPr="008A2056">
        <w:rPr>
          <w:rtl/>
        </w:rPr>
        <w:t>נוכחותן של האנטנות הסלול</w:t>
      </w:r>
      <w:r w:rsidRPr="00016B1D">
        <w:rPr>
          <w:rtl/>
        </w:rPr>
        <w:t>ריות בערי ישראל הן הכרח המציאות</w:t>
      </w:r>
      <w:r w:rsidRPr="00345451">
        <w:rPr>
          <w:rtl/>
        </w:rPr>
        <w:t xml:space="preserve"> </w:t>
      </w:r>
      <w:r w:rsidRPr="00345451">
        <w:rPr>
          <w:rFonts w:hint="cs"/>
          <w:rtl/>
        </w:rPr>
        <w:t>נוכח</w:t>
      </w:r>
      <w:r w:rsidRPr="00345451">
        <w:rPr>
          <w:rtl/>
        </w:rPr>
        <w:t xml:space="preserve"> השימוש הנרחב בטלפונים הסלול</w:t>
      </w:r>
      <w:r w:rsidRPr="00F54B38">
        <w:rPr>
          <w:rtl/>
        </w:rPr>
        <w:t>ריים במדינת ישראל, הן ל</w:t>
      </w:r>
      <w:r w:rsidRPr="00F54B38">
        <w:rPr>
          <w:rFonts w:hint="eastAsia"/>
          <w:rtl/>
        </w:rPr>
        <w:t>צורך</w:t>
      </w:r>
      <w:r w:rsidRPr="00F54B38">
        <w:rPr>
          <w:rtl/>
        </w:rPr>
        <w:t xml:space="preserve"> דיבור והן לצורך </w:t>
      </w:r>
      <w:r>
        <w:rPr>
          <w:rFonts w:hint="cs"/>
          <w:rtl/>
        </w:rPr>
        <w:t>שימוש באינטרנט</w:t>
      </w:r>
      <w:r w:rsidRPr="008A2056">
        <w:rPr>
          <w:rtl/>
        </w:rPr>
        <w:t>. ברחבי הערים</w:t>
      </w:r>
      <w:r w:rsidRPr="00016B1D">
        <w:rPr>
          <w:rtl/>
        </w:rPr>
        <w:t xml:space="preserve"> פזורות אנטנות רבות. חלקן ממוקמות על מבני ציבור ועמודים, אך חלקן מוצבות על בנייני מגורים ואף בתוך דירות פרטיות. </w:t>
      </w:r>
    </w:p>
    <w:p w:rsidR="000E6854" w:rsidRDefault="000E6854" w:rsidP="000E6854">
      <w:pPr>
        <w:pStyle w:val="Hesber"/>
        <w:rPr>
          <w:rFonts w:hint="cs"/>
          <w:rtl/>
        </w:rPr>
      </w:pPr>
    </w:p>
    <w:p w:rsidR="00A57940" w:rsidRPr="00F54B38" w:rsidRDefault="00A57940" w:rsidP="000E6854">
      <w:pPr>
        <w:pStyle w:val="Hesber"/>
        <w:rPr>
          <w:rtl/>
        </w:rPr>
      </w:pPr>
      <w:bookmarkStart w:id="7" w:name="_GoBack"/>
      <w:bookmarkEnd w:id="7"/>
      <w:r w:rsidRPr="00345451">
        <w:rPr>
          <w:rtl/>
        </w:rPr>
        <w:lastRenderedPageBreak/>
        <w:t>נכון להיום ישנה הגבלה מסוימת על הצבת אנטנות סלול</w:t>
      </w:r>
      <w:r w:rsidRPr="00F54B38">
        <w:rPr>
          <w:rtl/>
        </w:rPr>
        <w:t xml:space="preserve">ריות בתחום השטח המשותף של בניין המגורים (בעיקר הגג), אולם בכל הנוגע לשטח הפרטי של הדיירים העניין </w:t>
      </w:r>
      <w:r w:rsidR="000E6854">
        <w:rPr>
          <w:rFonts w:hint="cs"/>
          <w:rtl/>
        </w:rPr>
        <w:t>אינו מסודר</w:t>
      </w:r>
      <w:r w:rsidRPr="00F54B38">
        <w:rPr>
          <w:rtl/>
        </w:rPr>
        <w:t>.</w:t>
      </w:r>
    </w:p>
    <w:p w:rsidR="00A57940" w:rsidRPr="00F54B38" w:rsidRDefault="00A57940" w:rsidP="00A57940">
      <w:pPr>
        <w:pStyle w:val="Hesber"/>
        <w:rPr>
          <w:rtl/>
        </w:rPr>
      </w:pPr>
      <w:r w:rsidRPr="00F54B38">
        <w:rPr>
          <w:rtl/>
        </w:rPr>
        <w:t xml:space="preserve">מחקרים רבים הצביעו על הנזק הרב שנגרם כתוצאה מקרינה בלתי מייננת אשר נפלטת מאנטנות אלה. מחקר שנעשה באוניברסיטת וושינגטון בשנת 1996 מצא </w:t>
      </w:r>
      <w:r w:rsidRPr="00F54B38">
        <w:rPr>
          <w:rFonts w:hint="eastAsia"/>
          <w:rtl/>
        </w:rPr>
        <w:t>כי</w:t>
      </w:r>
      <w:r w:rsidRPr="00F54B38">
        <w:rPr>
          <w:rtl/>
        </w:rPr>
        <w:t xml:space="preserve"> חשיפה לקרינה אלקטרומגנטית בתדרי הסלולר גרמה לשברים ב-</w:t>
      </w:r>
      <w:r w:rsidRPr="00F54B38">
        <w:t>DNA</w:t>
      </w:r>
      <w:r w:rsidRPr="00F54B38">
        <w:rPr>
          <w:rtl/>
        </w:rPr>
        <w:t xml:space="preserve">, בדומה להשפעה של חשיפה לקרינת רנטגן. מחקר אחר משוודיה משנת 2010 מצא שבקרב אלו שהשתמשו בסלולר מעל </w:t>
      </w:r>
      <w:r w:rsidRPr="00F54B38">
        <w:rPr>
          <w:rFonts w:hint="eastAsia"/>
          <w:rtl/>
        </w:rPr>
        <w:t>לעשר</w:t>
      </w:r>
      <w:r w:rsidRPr="00F54B38">
        <w:rPr>
          <w:rtl/>
        </w:rPr>
        <w:t xml:space="preserve"> שנים הסיכון לגידול במ</w:t>
      </w:r>
      <w:r w:rsidR="000E6854">
        <w:rPr>
          <w:rFonts w:hint="cs"/>
          <w:rtl/>
        </w:rPr>
        <w:t>ו</w:t>
      </w:r>
      <w:r w:rsidRPr="00F54B38">
        <w:rPr>
          <w:rtl/>
        </w:rPr>
        <w:t>ח היה גדול פי 2.4.</w:t>
      </w:r>
    </w:p>
    <w:p w:rsidR="00A57940" w:rsidRPr="00F54B38" w:rsidRDefault="00A57940" w:rsidP="00A57940">
      <w:pPr>
        <w:pStyle w:val="Hesber"/>
        <w:rPr>
          <w:rtl/>
        </w:rPr>
      </w:pPr>
      <w:r w:rsidRPr="00F54B38">
        <w:rPr>
          <w:rtl/>
        </w:rPr>
        <w:t xml:space="preserve">חוק המקרקעין, </w:t>
      </w:r>
      <w:proofErr w:type="spellStart"/>
      <w:r w:rsidRPr="00F54B38">
        <w:rPr>
          <w:rFonts w:hint="eastAsia"/>
          <w:rtl/>
        </w:rPr>
        <w:t>ה</w:t>
      </w:r>
      <w:r w:rsidRPr="00F54B38">
        <w:rPr>
          <w:rtl/>
        </w:rPr>
        <w:t>תשכ"ט</w:t>
      </w:r>
      <w:proofErr w:type="spellEnd"/>
      <w:r w:rsidRPr="00F54B38">
        <w:rPr>
          <w:rFonts w:hint="eastAsia"/>
          <w:rtl/>
        </w:rPr>
        <w:t>–</w:t>
      </w:r>
      <w:r w:rsidRPr="00F54B38">
        <w:rPr>
          <w:rtl/>
        </w:rPr>
        <w:t>1969</w:t>
      </w:r>
      <w:r w:rsidR="000E6854">
        <w:rPr>
          <w:rFonts w:hint="cs"/>
          <w:rtl/>
        </w:rPr>
        <w:t>,</w:t>
      </w:r>
      <w:r w:rsidRPr="00F54B38">
        <w:rPr>
          <w:rtl/>
        </w:rPr>
        <w:t xml:space="preserve"> מגדיר את מערכת היחסים שבין הדיירים בבית משותף. החוק מגדיר מה</w:t>
      </w:r>
      <w:r w:rsidRPr="00F54B38">
        <w:rPr>
          <w:rFonts w:hint="eastAsia"/>
          <w:rtl/>
        </w:rPr>
        <w:t>ם</w:t>
      </w:r>
      <w:r w:rsidRPr="00F54B38">
        <w:rPr>
          <w:rtl/>
        </w:rPr>
        <w:t xml:space="preserve"> השינויים שהדיירים יכו</w:t>
      </w:r>
      <w:r w:rsidR="000E6854">
        <w:rPr>
          <w:rtl/>
        </w:rPr>
        <w:t>לים לבצע בדירתם וכן בשטח המשותף</w:t>
      </w:r>
      <w:r w:rsidRPr="00F54B38">
        <w:rPr>
          <w:rtl/>
        </w:rPr>
        <w:t xml:space="preserve"> ומה המנגנון הנדרש לאישור השינויים הללו.</w:t>
      </w:r>
    </w:p>
    <w:p w:rsidR="00A57940" w:rsidRPr="00016B1D" w:rsidRDefault="00A57940" w:rsidP="000E6854">
      <w:pPr>
        <w:pStyle w:val="Hesber"/>
        <w:rPr>
          <w:rtl/>
        </w:rPr>
      </w:pPr>
      <w:r w:rsidRPr="00F54B38">
        <w:rPr>
          <w:rtl/>
        </w:rPr>
        <w:t xml:space="preserve">מטרת הצעת חוק זו היא למנוע הצבת אנטנה סלולרית בשטח הפרטי בבניין משותף בניגוד לדעת דיירי הבניין, על ידי </w:t>
      </w:r>
      <w:r w:rsidR="000E6854">
        <w:rPr>
          <w:rFonts w:hint="cs"/>
          <w:rtl/>
        </w:rPr>
        <w:t>קביעת</w:t>
      </w:r>
      <w:r w:rsidRPr="00F54B38">
        <w:rPr>
          <w:rtl/>
        </w:rPr>
        <w:t xml:space="preserve"> חובה לקבלת אישור מ</w:t>
      </w:r>
      <w:r w:rsidRPr="00F54B38">
        <w:rPr>
          <w:rFonts w:hint="eastAsia"/>
          <w:rtl/>
        </w:rPr>
        <w:t>רוב</w:t>
      </w:r>
      <w:r w:rsidRPr="00F54B38">
        <w:rPr>
          <w:rtl/>
        </w:rPr>
        <w:t xml:space="preserve"> דיירי הבניין לפעולה זו. כמו כן, מוצע לאפשר </w:t>
      </w:r>
      <w:r w:rsidRPr="00F54B38">
        <w:rPr>
          <w:rFonts w:hint="eastAsia"/>
          <w:rtl/>
        </w:rPr>
        <w:t>למפקח</w:t>
      </w:r>
      <w:r w:rsidRPr="00F54B38">
        <w:rPr>
          <w:rtl/>
        </w:rPr>
        <w:t xml:space="preserve"> </w:t>
      </w:r>
      <w:r w:rsidRPr="00F54B38">
        <w:rPr>
          <w:rFonts w:hint="eastAsia"/>
          <w:rtl/>
        </w:rPr>
        <w:t>על</w:t>
      </w:r>
      <w:r w:rsidRPr="00F54B38">
        <w:rPr>
          <w:rtl/>
        </w:rPr>
        <w:t xml:space="preserve"> רישום מקרקעין </w:t>
      </w:r>
      <w:r w:rsidRPr="00F54B38">
        <w:rPr>
          <w:rFonts w:hint="eastAsia"/>
          <w:rtl/>
        </w:rPr>
        <w:t>לעקוף</w:t>
      </w:r>
      <w:r w:rsidRPr="00F54B38">
        <w:rPr>
          <w:rtl/>
        </w:rPr>
        <w:t xml:space="preserve"> אי הסכמה של בעל דירה אם נוכח כי </w:t>
      </w:r>
      <w:r w:rsidRPr="00F54B38">
        <w:rPr>
          <w:rFonts w:hint="eastAsia"/>
          <w:rtl/>
        </w:rPr>
        <w:t>זו</w:t>
      </w:r>
      <w:r w:rsidRPr="00F54B38">
        <w:rPr>
          <w:rtl/>
        </w:rPr>
        <w:t xml:space="preserve"> נעשתה מטעמים בלתי סבירים או </w:t>
      </w:r>
      <w:r>
        <w:rPr>
          <w:rFonts w:hint="cs"/>
          <w:rtl/>
        </w:rPr>
        <w:t xml:space="preserve">כי הסכמתו </w:t>
      </w:r>
      <w:r w:rsidRPr="008A2056">
        <w:rPr>
          <w:rFonts w:hint="cs"/>
          <w:rtl/>
        </w:rPr>
        <w:t>ה</w:t>
      </w:r>
      <w:r>
        <w:rPr>
          <w:rFonts w:hint="cs"/>
          <w:rtl/>
        </w:rPr>
        <w:t>ו</w:t>
      </w:r>
      <w:r w:rsidRPr="008A2056">
        <w:rPr>
          <w:rFonts w:hint="cs"/>
          <w:rtl/>
        </w:rPr>
        <w:t>תנ</w:t>
      </w:r>
      <w:r>
        <w:rPr>
          <w:rFonts w:hint="cs"/>
          <w:rtl/>
        </w:rPr>
        <w:t>ת</w:t>
      </w:r>
      <w:r w:rsidRPr="008A2056">
        <w:rPr>
          <w:rFonts w:hint="cs"/>
          <w:rtl/>
        </w:rPr>
        <w:t>ה בתנאים בלתי סבירים.</w:t>
      </w:r>
      <w:r w:rsidRPr="00016B1D">
        <w:rPr>
          <w:rFonts w:hint="cs"/>
          <w:rtl/>
        </w:rPr>
        <w:t xml:space="preserve"> </w:t>
      </w:r>
    </w:p>
    <w:p w:rsidR="00A57940" w:rsidRPr="00345451" w:rsidRDefault="00A57940" w:rsidP="00A57940">
      <w:pPr>
        <w:pStyle w:val="Hesber"/>
        <w:rPr>
          <w:rtl/>
        </w:rPr>
      </w:pPr>
      <w:r w:rsidRPr="00016B1D">
        <w:rPr>
          <w:rtl/>
        </w:rPr>
        <w:t xml:space="preserve">החוק </w:t>
      </w:r>
      <w:r w:rsidR="000E6854">
        <w:rPr>
          <w:rFonts w:hint="cs"/>
          <w:rtl/>
        </w:rPr>
        <w:t xml:space="preserve">המוצע </w:t>
      </w:r>
      <w:r w:rsidRPr="00016B1D">
        <w:rPr>
          <w:rtl/>
        </w:rPr>
        <w:t>נועד לאזן בין זכותו הקניינית של כל אדם לעשות שימוש</w:t>
      </w:r>
      <w:r w:rsidR="000E6854">
        <w:rPr>
          <w:rtl/>
        </w:rPr>
        <w:t xml:space="preserve"> בנכסיו הפרטיים כפי שיראה לנכון</w:t>
      </w:r>
      <w:r w:rsidRPr="00016B1D">
        <w:rPr>
          <w:rtl/>
        </w:rPr>
        <w:t xml:space="preserve"> לבין </w:t>
      </w:r>
      <w:r w:rsidRPr="00345451">
        <w:rPr>
          <w:rtl/>
        </w:rPr>
        <w:t>זכות הדיירים להגן על איכות חייהם ובריאותם.</w:t>
      </w:r>
    </w:p>
    <w:p w:rsidR="00E13C27" w:rsidRDefault="00E13C27" w:rsidP="00A57940">
      <w:pPr>
        <w:rPr>
          <w:rFonts w:hint="cs"/>
          <w:rtl/>
        </w:rPr>
      </w:pPr>
    </w:p>
    <w:p w:rsidR="000E6854" w:rsidRDefault="000E6854" w:rsidP="00A57940">
      <w:pPr>
        <w:rPr>
          <w:rFonts w:hint="cs"/>
          <w:rtl/>
        </w:rPr>
      </w:pPr>
    </w:p>
    <w:p w:rsidR="000E6854" w:rsidRDefault="000E6854" w:rsidP="00A57940">
      <w:pPr>
        <w:rPr>
          <w:rFonts w:hint="cs"/>
          <w:rtl/>
        </w:rPr>
      </w:pPr>
    </w:p>
    <w:p w:rsidR="000E6854" w:rsidRDefault="000E6854" w:rsidP="00A57940">
      <w:pPr>
        <w:rPr>
          <w:rFonts w:hint="cs"/>
          <w:rtl/>
        </w:rPr>
      </w:pPr>
    </w:p>
    <w:p w:rsidR="000E6854" w:rsidRDefault="000E6854" w:rsidP="00A57940">
      <w:pPr>
        <w:rPr>
          <w:rFonts w:hint="cs"/>
          <w:rtl/>
        </w:rPr>
      </w:pPr>
    </w:p>
    <w:p w:rsidR="000E6854" w:rsidRDefault="000E6854" w:rsidP="00A57940">
      <w:pPr>
        <w:rPr>
          <w:rFonts w:hint="cs"/>
          <w:rtl/>
        </w:rPr>
      </w:pPr>
    </w:p>
    <w:p w:rsidR="000E6854" w:rsidRDefault="000E6854" w:rsidP="00A57940">
      <w:pPr>
        <w:rPr>
          <w:rFonts w:hint="cs"/>
          <w:rtl/>
        </w:rPr>
      </w:pPr>
    </w:p>
    <w:p w:rsidR="000E6854" w:rsidRPr="0022704F" w:rsidRDefault="000E6854" w:rsidP="000E6854">
      <w:pPr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---------------------------------</w:t>
      </w:r>
    </w:p>
    <w:p w:rsidR="000E6854" w:rsidRPr="0022704F" w:rsidRDefault="000E6854" w:rsidP="000E6854">
      <w:pPr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הוגשה ליו"ר הכנסת והסגנים</w:t>
      </w:r>
    </w:p>
    <w:p w:rsidR="000E6854" w:rsidRPr="0022704F" w:rsidRDefault="000E6854" w:rsidP="000E6854">
      <w:pPr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והונחה על שולחן הכנסת ביום</w:t>
      </w:r>
    </w:p>
    <w:p w:rsidR="000E6854" w:rsidRPr="00935520" w:rsidRDefault="000E6854" w:rsidP="000E6854">
      <w:pPr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ג' באב </w:t>
      </w:r>
      <w:proofErr w:type="spellStart"/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התשע"ד</w:t>
      </w:r>
      <w:proofErr w:type="spellEnd"/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 – 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30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7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14</w:t>
      </w:r>
    </w:p>
    <w:p w:rsidR="000E6854" w:rsidRPr="00935520" w:rsidRDefault="000E6854" w:rsidP="000E6854">
      <w:pPr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</w:p>
    <w:p w:rsidR="000E6854" w:rsidRPr="00BE2391" w:rsidRDefault="000E6854" w:rsidP="000E6854">
      <w:pPr>
        <w:spacing w:line="360" w:lineRule="auto"/>
      </w:pPr>
    </w:p>
    <w:p w:rsidR="000E6854" w:rsidRDefault="000E6854" w:rsidP="00A57940">
      <w:pPr>
        <w:rPr>
          <w:rFonts w:hint="cs"/>
          <w:rtl/>
        </w:rPr>
      </w:pPr>
    </w:p>
    <w:p w:rsidR="000E6854" w:rsidRPr="00A57940" w:rsidRDefault="000E6854" w:rsidP="00A57940">
      <w:pPr>
        <w:rPr>
          <w:rtl/>
        </w:rPr>
      </w:pPr>
    </w:p>
    <w:sectPr w:rsidR="000E6854" w:rsidRPr="00A57940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D2F" w:rsidRDefault="001D3D2F">
      <w:r>
        <w:separator/>
      </w:r>
    </w:p>
  </w:endnote>
  <w:endnote w:type="continuationSeparator" w:id="0">
    <w:p w:rsidR="001D3D2F" w:rsidRDefault="001D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23" w:rsidRDefault="001A0623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:rsidR="001A0623" w:rsidRDefault="001A062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23" w:rsidRDefault="001A0623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0E6854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:rsidR="001A0623" w:rsidRDefault="001A062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D2F" w:rsidRDefault="001D3D2F">
      <w:r>
        <w:separator/>
      </w:r>
    </w:p>
  </w:footnote>
  <w:footnote w:type="continuationSeparator" w:id="0">
    <w:p w:rsidR="001D3D2F" w:rsidRDefault="001D3D2F">
      <w:r>
        <w:continuationSeparator/>
      </w:r>
    </w:p>
  </w:footnote>
  <w:footnote w:type="continuationNotice" w:id="1">
    <w:p w:rsidR="001D3D2F" w:rsidRDefault="001D3D2F"/>
  </w:footnote>
  <w:footnote w:id="2">
    <w:p w:rsidR="00A57940" w:rsidRDefault="00A57940" w:rsidP="00A57940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התשכ"ט</w:t>
      </w:r>
      <w:proofErr w:type="spellEnd"/>
      <w:r>
        <w:rPr>
          <w:rFonts w:hint="cs"/>
          <w:rtl/>
        </w:rPr>
        <w:t>, עמ' 259.</w:t>
      </w:r>
    </w:p>
  </w:footnote>
  <w:footnote w:id="3">
    <w:p w:rsidR="00A57940" w:rsidRDefault="00A57940" w:rsidP="00A57940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התשס"ו</w:t>
      </w:r>
      <w:proofErr w:type="spellEnd"/>
      <w:r>
        <w:rPr>
          <w:rFonts w:hint="cs"/>
          <w:rtl/>
        </w:rPr>
        <w:t>, עמ' 158.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20255B"/>
    <w:multiLevelType w:val="hybridMultilevel"/>
    <w:tmpl w:val="93DCE776"/>
    <w:lvl w:ilvl="0" w:tplc="38789CD8">
      <w:start w:val="1"/>
      <w:numFmt w:val="hebrew1"/>
      <w:lvlText w:val="(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485473"/>
    <w:multiLevelType w:val="hybridMultilevel"/>
    <w:tmpl w:val="C6BA6398"/>
    <w:lvl w:ilvl="0" w:tplc="C954508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549470lsCopyOriginal.docx"/>
    <w:docVar w:name="StartMode" w:val="3"/>
  </w:docVars>
  <w:rsids>
    <w:rsidRoot w:val="00DB7060"/>
    <w:rsid w:val="00015B27"/>
    <w:rsid w:val="000A542E"/>
    <w:rsid w:val="000E6854"/>
    <w:rsid w:val="001207F8"/>
    <w:rsid w:val="00121924"/>
    <w:rsid w:val="001279A8"/>
    <w:rsid w:val="0014195F"/>
    <w:rsid w:val="00152609"/>
    <w:rsid w:val="00153E1B"/>
    <w:rsid w:val="001A0623"/>
    <w:rsid w:val="001C23B0"/>
    <w:rsid w:val="001D3D2F"/>
    <w:rsid w:val="001E2D4B"/>
    <w:rsid w:val="00203A7F"/>
    <w:rsid w:val="002200A1"/>
    <w:rsid w:val="002362BF"/>
    <w:rsid w:val="00241B97"/>
    <w:rsid w:val="00254605"/>
    <w:rsid w:val="002728B4"/>
    <w:rsid w:val="00292712"/>
    <w:rsid w:val="002C2E29"/>
    <w:rsid w:val="003232A2"/>
    <w:rsid w:val="003710F6"/>
    <w:rsid w:val="00386E88"/>
    <w:rsid w:val="003D74A0"/>
    <w:rsid w:val="004033D8"/>
    <w:rsid w:val="004C2700"/>
    <w:rsid w:val="004D3876"/>
    <w:rsid w:val="004E4552"/>
    <w:rsid w:val="00510CDC"/>
    <w:rsid w:val="00553C9D"/>
    <w:rsid w:val="005B064E"/>
    <w:rsid w:val="005D51AE"/>
    <w:rsid w:val="00644940"/>
    <w:rsid w:val="006818A9"/>
    <w:rsid w:val="006C1D0D"/>
    <w:rsid w:val="0070601E"/>
    <w:rsid w:val="00765F66"/>
    <w:rsid w:val="007D5A12"/>
    <w:rsid w:val="007E59F9"/>
    <w:rsid w:val="00810BCD"/>
    <w:rsid w:val="00812C98"/>
    <w:rsid w:val="00814D92"/>
    <w:rsid w:val="00892135"/>
    <w:rsid w:val="00895449"/>
    <w:rsid w:val="00897879"/>
    <w:rsid w:val="008C2DDC"/>
    <w:rsid w:val="008F0D63"/>
    <w:rsid w:val="008F2C35"/>
    <w:rsid w:val="0091204F"/>
    <w:rsid w:val="009203DB"/>
    <w:rsid w:val="00943386"/>
    <w:rsid w:val="00957589"/>
    <w:rsid w:val="00982412"/>
    <w:rsid w:val="00A26BD6"/>
    <w:rsid w:val="00A57940"/>
    <w:rsid w:val="00A82CB7"/>
    <w:rsid w:val="00AC36F7"/>
    <w:rsid w:val="00B35784"/>
    <w:rsid w:val="00B80211"/>
    <w:rsid w:val="00BC45FB"/>
    <w:rsid w:val="00C9176A"/>
    <w:rsid w:val="00D867D7"/>
    <w:rsid w:val="00DB7060"/>
    <w:rsid w:val="00DE3153"/>
    <w:rsid w:val="00DF0832"/>
    <w:rsid w:val="00E13C27"/>
    <w:rsid w:val="00E33BBD"/>
    <w:rsid w:val="00E45103"/>
    <w:rsid w:val="00E665B9"/>
    <w:rsid w:val="00EA01E6"/>
    <w:rsid w:val="00EA758F"/>
    <w:rsid w:val="00ED4A6F"/>
    <w:rsid w:val="00EF3A3A"/>
    <w:rsid w:val="00FA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F8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Noparagraphstyle"/>
    <w:rsid w:val="00943386"/>
    <w:pPr>
      <w:tabs>
        <w:tab w:val="left" w:pos="1191"/>
        <w:tab w:val="left" w:pos="1587"/>
      </w:tabs>
      <w:spacing w:before="240" w:after="240" w:line="480" w:lineRule="auto"/>
      <w:jc w:val="center"/>
    </w:pPr>
  </w:style>
  <w:style w:type="paragraph" w:customStyle="1" w:styleId="Cover2-HatzaotHok">
    <w:name w:val="Cover 2-HatzaotHok"/>
    <w:basedOn w:val="Cover1-Reshumot"/>
    <w:rsid w:val="00943386"/>
    <w:rPr>
      <w:sz w:val="36"/>
      <w:szCs w:val="52"/>
    </w:rPr>
  </w:style>
  <w:style w:type="paragraph" w:customStyle="1" w:styleId="Cover3-Haknesset">
    <w:name w:val="Cover 3-Haknesset"/>
    <w:basedOn w:val="Cover1-Reshumot"/>
    <w:rsid w:val="00943386"/>
    <w:rPr>
      <w:b/>
      <w:bCs/>
      <w:spacing w:val="60"/>
    </w:rPr>
  </w:style>
  <w:style w:type="paragraph" w:customStyle="1" w:styleId="Cover4-Date">
    <w:name w:val="Cover 4-Date"/>
    <w:basedOn w:val="Noparagraphstyle"/>
    <w:rsid w:val="00943386"/>
    <w:pPr>
      <w:pBdr>
        <w:bottom w:val="single" w:sz="4" w:space="0" w:color="auto"/>
      </w:pBdr>
      <w:tabs>
        <w:tab w:val="center" w:pos="4820"/>
        <w:tab w:val="right" w:pos="9639"/>
      </w:tabs>
      <w:spacing w:before="240" w:after="240"/>
    </w:p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Noparagraphstyle"/>
    <w:rsid w:val="00943386"/>
    <w:pPr>
      <w:keepNext/>
      <w:keepLines/>
      <w:pageBreakBefore/>
      <w:spacing w:before="480"/>
      <w:jc w:val="both"/>
    </w:pPr>
    <w:rPr>
      <w:b/>
      <w:bCs/>
    </w:rPr>
  </w:style>
  <w:style w:type="paragraph" w:customStyle="1" w:styleId="HeadHatzaotHok">
    <w:name w:val="Head HatzaotHok"/>
    <w:basedOn w:val="Noparagraphstyle"/>
    <w:rsid w:val="00943386"/>
    <w:pPr>
      <w:keepNext/>
      <w:keepLines/>
      <w:spacing w:before="240"/>
      <w:jc w:val="center"/>
    </w:pPr>
    <w:rPr>
      <w:b/>
      <w:bCs/>
    </w:rPr>
  </w:style>
  <w:style w:type="paragraph" w:customStyle="1" w:styleId="HeadHatzaotHok4Futer">
    <w:name w:val="Head HatzaotHok4Futer"/>
    <w:basedOn w:val="HeadHatzaotHok"/>
    <w:rsid w:val="00943386"/>
    <w:pPr>
      <w:spacing w:before="120" w:after="120"/>
    </w:pPr>
    <w:rPr>
      <w:color w:val="FF0000"/>
      <w:w w:val="80"/>
    </w:rPr>
  </w:style>
  <w:style w:type="paragraph" w:styleId="a3">
    <w:name w:val="endnote text"/>
    <w:basedOn w:val="Ragil"/>
    <w:semiHidden/>
    <w:rsid w:val="00943386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Ragil"/>
    <w:rsid w:val="00943386"/>
    <w:pPr>
      <w:keepLines/>
      <w:tabs>
        <w:tab w:val="left" w:pos="624"/>
        <w:tab w:val="left" w:pos="1247"/>
      </w:tabs>
      <w:ind w:right="57" w:firstLine="0"/>
    </w:pPr>
  </w:style>
  <w:style w:type="paragraph" w:customStyle="1" w:styleId="TableSideHeading">
    <w:name w:val="Table SideHeading"/>
    <w:basedOn w:val="TableText"/>
    <w:rsid w:val="00943386"/>
  </w:style>
  <w:style w:type="paragraph" w:customStyle="1" w:styleId="TableBlock">
    <w:name w:val="Table Block"/>
    <w:basedOn w:val="TableText"/>
    <w:rsid w:val="00943386"/>
    <w:pPr>
      <w:ind w:right="0"/>
      <w:jc w:val="both"/>
    </w:pPr>
  </w:style>
  <w:style w:type="paragraph" w:customStyle="1" w:styleId="TableHead">
    <w:name w:val="Table Head"/>
    <w:basedOn w:val="TableText"/>
    <w:rsid w:val="00943386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943386"/>
  </w:style>
  <w:style w:type="paragraph" w:customStyle="1" w:styleId="Hesber">
    <w:name w:val="Hesber"/>
    <w:basedOn w:val="Ragil"/>
    <w:rsid w:val="00943386"/>
    <w:pPr>
      <w:jc w:val="both"/>
    </w:pPr>
  </w:style>
  <w:style w:type="paragraph" w:styleId="a4">
    <w:name w:val="footnote text"/>
    <w:basedOn w:val="Ragil"/>
    <w:link w:val="a5"/>
    <w:autoRedefine/>
    <w:semiHidden/>
    <w:rsid w:val="00943386"/>
    <w:pPr>
      <w:spacing w:line="240" w:lineRule="auto"/>
      <w:ind w:left="227" w:hanging="227"/>
    </w:pPr>
    <w:rPr>
      <w:sz w:val="14"/>
      <w:szCs w:val="20"/>
    </w:rPr>
  </w:style>
  <w:style w:type="character" w:styleId="a6">
    <w:name w:val="footnote reference"/>
    <w:aliases w:val="Footnote Reference"/>
    <w:semiHidden/>
    <w:rsid w:val="00943386"/>
    <w:rPr>
      <w:vertAlign w:val="superscript"/>
    </w:rPr>
  </w:style>
  <w:style w:type="paragraph" w:customStyle="1" w:styleId="HesberHeading">
    <w:name w:val="Hesber Heading"/>
    <w:basedOn w:val="Hesber"/>
    <w:rsid w:val="00943386"/>
    <w:pPr>
      <w:keepNext/>
      <w:keepLines/>
      <w:spacing w:before="240"/>
      <w:ind w:firstLine="0"/>
    </w:pPr>
    <w:rPr>
      <w:b/>
      <w:bCs/>
    </w:rPr>
  </w:style>
  <w:style w:type="paragraph" w:customStyle="1" w:styleId="HesberWriters">
    <w:name w:val="Hesber Writers"/>
    <w:basedOn w:val="Hesber"/>
    <w:rsid w:val="00943386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943386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semiHidden/>
    <w:rsid w:val="00943386"/>
    <w:rPr>
      <w:vertAlign w:val="superscript"/>
    </w:rPr>
  </w:style>
  <w:style w:type="paragraph" w:customStyle="1" w:styleId="TableBlockOutdent">
    <w:name w:val="Table BlockOutdent"/>
    <w:basedOn w:val="TableBlock"/>
    <w:rsid w:val="00943386"/>
    <w:pPr>
      <w:ind w:left="624" w:hanging="624"/>
    </w:pPr>
  </w:style>
  <w:style w:type="paragraph" w:styleId="a8">
    <w:name w:val="header"/>
    <w:basedOn w:val="a"/>
    <w:rsid w:val="00943386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943386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Ragil"/>
    <w:rsid w:val="00943386"/>
    <w:pPr>
      <w:spacing w:before="360" w:after="120"/>
      <w:ind w:firstLine="0"/>
      <w:jc w:val="center"/>
    </w:pPr>
    <w:rPr>
      <w:b/>
      <w:spacing w:val="40"/>
    </w:rPr>
  </w:style>
  <w:style w:type="paragraph" w:customStyle="1" w:styleId="Ragil">
    <w:name w:val="Ragil"/>
    <w:basedOn w:val="Noparagraphstyle"/>
    <w:rsid w:val="00943386"/>
    <w:pPr>
      <w:ind w:firstLine="340"/>
    </w:p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1207F8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character" w:customStyle="1" w:styleId="a5">
    <w:name w:val="טקסט הערת שוליים תו"/>
    <w:basedOn w:val="a0"/>
    <w:link w:val="a4"/>
    <w:semiHidden/>
    <w:rsid w:val="001E2D4B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F8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Noparagraphstyle"/>
    <w:rsid w:val="00943386"/>
    <w:pPr>
      <w:tabs>
        <w:tab w:val="left" w:pos="1191"/>
        <w:tab w:val="left" w:pos="1587"/>
      </w:tabs>
      <w:spacing w:before="240" w:after="240" w:line="480" w:lineRule="auto"/>
      <w:jc w:val="center"/>
    </w:pPr>
  </w:style>
  <w:style w:type="paragraph" w:customStyle="1" w:styleId="Cover2-HatzaotHok">
    <w:name w:val="Cover 2-HatzaotHok"/>
    <w:basedOn w:val="Cover1-Reshumot"/>
    <w:rsid w:val="00943386"/>
    <w:rPr>
      <w:sz w:val="36"/>
      <w:szCs w:val="52"/>
    </w:rPr>
  </w:style>
  <w:style w:type="paragraph" w:customStyle="1" w:styleId="Cover3-Haknesset">
    <w:name w:val="Cover 3-Haknesset"/>
    <w:basedOn w:val="Cover1-Reshumot"/>
    <w:rsid w:val="00943386"/>
    <w:rPr>
      <w:b/>
      <w:bCs/>
      <w:spacing w:val="60"/>
    </w:rPr>
  </w:style>
  <w:style w:type="paragraph" w:customStyle="1" w:styleId="Cover4-Date">
    <w:name w:val="Cover 4-Date"/>
    <w:basedOn w:val="Noparagraphstyle"/>
    <w:rsid w:val="00943386"/>
    <w:pPr>
      <w:pBdr>
        <w:bottom w:val="single" w:sz="4" w:space="0" w:color="auto"/>
      </w:pBdr>
      <w:tabs>
        <w:tab w:val="center" w:pos="4820"/>
        <w:tab w:val="right" w:pos="9639"/>
      </w:tabs>
      <w:spacing w:before="240" w:after="240"/>
    </w:p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Noparagraphstyle"/>
    <w:rsid w:val="00943386"/>
    <w:pPr>
      <w:keepNext/>
      <w:keepLines/>
      <w:pageBreakBefore/>
      <w:spacing w:before="480"/>
      <w:jc w:val="both"/>
    </w:pPr>
    <w:rPr>
      <w:b/>
      <w:bCs/>
    </w:rPr>
  </w:style>
  <w:style w:type="paragraph" w:customStyle="1" w:styleId="HeadHatzaotHok">
    <w:name w:val="Head HatzaotHok"/>
    <w:basedOn w:val="Noparagraphstyle"/>
    <w:rsid w:val="00943386"/>
    <w:pPr>
      <w:keepNext/>
      <w:keepLines/>
      <w:spacing w:before="240"/>
      <w:jc w:val="center"/>
    </w:pPr>
    <w:rPr>
      <w:b/>
      <w:bCs/>
    </w:rPr>
  </w:style>
  <w:style w:type="paragraph" w:customStyle="1" w:styleId="HeadHatzaotHok4Futer">
    <w:name w:val="Head HatzaotHok4Futer"/>
    <w:basedOn w:val="HeadHatzaotHok"/>
    <w:rsid w:val="00943386"/>
    <w:pPr>
      <w:spacing w:before="120" w:after="120"/>
    </w:pPr>
    <w:rPr>
      <w:color w:val="FF0000"/>
      <w:w w:val="80"/>
    </w:rPr>
  </w:style>
  <w:style w:type="paragraph" w:styleId="a3">
    <w:name w:val="endnote text"/>
    <w:basedOn w:val="Ragil"/>
    <w:semiHidden/>
    <w:rsid w:val="00943386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Ragil"/>
    <w:rsid w:val="00943386"/>
    <w:pPr>
      <w:keepLines/>
      <w:tabs>
        <w:tab w:val="left" w:pos="624"/>
        <w:tab w:val="left" w:pos="1247"/>
      </w:tabs>
      <w:ind w:right="57" w:firstLine="0"/>
    </w:pPr>
  </w:style>
  <w:style w:type="paragraph" w:customStyle="1" w:styleId="TableSideHeading">
    <w:name w:val="Table SideHeading"/>
    <w:basedOn w:val="TableText"/>
    <w:rsid w:val="00943386"/>
  </w:style>
  <w:style w:type="paragraph" w:customStyle="1" w:styleId="TableBlock">
    <w:name w:val="Table Block"/>
    <w:basedOn w:val="TableText"/>
    <w:rsid w:val="00943386"/>
    <w:pPr>
      <w:ind w:right="0"/>
      <w:jc w:val="both"/>
    </w:pPr>
  </w:style>
  <w:style w:type="paragraph" w:customStyle="1" w:styleId="TableHead">
    <w:name w:val="Table Head"/>
    <w:basedOn w:val="TableText"/>
    <w:rsid w:val="00943386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943386"/>
  </w:style>
  <w:style w:type="paragraph" w:customStyle="1" w:styleId="Hesber">
    <w:name w:val="Hesber"/>
    <w:basedOn w:val="Ragil"/>
    <w:rsid w:val="00943386"/>
    <w:pPr>
      <w:jc w:val="both"/>
    </w:pPr>
  </w:style>
  <w:style w:type="paragraph" w:styleId="a4">
    <w:name w:val="footnote text"/>
    <w:basedOn w:val="Ragil"/>
    <w:link w:val="a5"/>
    <w:autoRedefine/>
    <w:semiHidden/>
    <w:rsid w:val="00943386"/>
    <w:pPr>
      <w:spacing w:line="240" w:lineRule="auto"/>
      <w:ind w:left="227" w:hanging="227"/>
    </w:pPr>
    <w:rPr>
      <w:sz w:val="14"/>
      <w:szCs w:val="20"/>
    </w:rPr>
  </w:style>
  <w:style w:type="character" w:styleId="a6">
    <w:name w:val="footnote reference"/>
    <w:aliases w:val="Footnote Reference"/>
    <w:semiHidden/>
    <w:rsid w:val="00943386"/>
    <w:rPr>
      <w:vertAlign w:val="superscript"/>
    </w:rPr>
  </w:style>
  <w:style w:type="paragraph" w:customStyle="1" w:styleId="HesberHeading">
    <w:name w:val="Hesber Heading"/>
    <w:basedOn w:val="Hesber"/>
    <w:rsid w:val="00943386"/>
    <w:pPr>
      <w:keepNext/>
      <w:keepLines/>
      <w:spacing w:before="240"/>
      <w:ind w:firstLine="0"/>
    </w:pPr>
    <w:rPr>
      <w:b/>
      <w:bCs/>
    </w:rPr>
  </w:style>
  <w:style w:type="paragraph" w:customStyle="1" w:styleId="HesberWriters">
    <w:name w:val="Hesber Writers"/>
    <w:basedOn w:val="Hesber"/>
    <w:rsid w:val="00943386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943386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semiHidden/>
    <w:rsid w:val="00943386"/>
    <w:rPr>
      <w:vertAlign w:val="superscript"/>
    </w:rPr>
  </w:style>
  <w:style w:type="paragraph" w:customStyle="1" w:styleId="TableBlockOutdent">
    <w:name w:val="Table BlockOutdent"/>
    <w:basedOn w:val="TableBlock"/>
    <w:rsid w:val="00943386"/>
    <w:pPr>
      <w:ind w:left="624" w:hanging="624"/>
    </w:pPr>
  </w:style>
  <w:style w:type="paragraph" w:styleId="a8">
    <w:name w:val="header"/>
    <w:basedOn w:val="a"/>
    <w:rsid w:val="00943386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943386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Ragil"/>
    <w:rsid w:val="00943386"/>
    <w:pPr>
      <w:spacing w:before="360" w:after="120"/>
      <w:ind w:firstLine="0"/>
      <w:jc w:val="center"/>
    </w:pPr>
    <w:rPr>
      <w:b/>
      <w:spacing w:val="40"/>
    </w:rPr>
  </w:style>
  <w:style w:type="paragraph" w:customStyle="1" w:styleId="Ragil">
    <w:name w:val="Ragil"/>
    <w:basedOn w:val="Noparagraphstyle"/>
    <w:rsid w:val="00943386"/>
    <w:pPr>
      <w:ind w:firstLine="340"/>
    </w:p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1207F8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character" w:customStyle="1" w:styleId="a5">
    <w:name w:val="טקסט הערת שוליים תו"/>
    <w:basedOn w:val="a0"/>
    <w:link w:val="a4"/>
    <w:semiHidden/>
    <w:rsid w:val="001E2D4B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0C715D-F3C8-459E-8B4D-B56D2975A45B}"/>
</file>

<file path=customXml/itemProps2.xml><?xml version="1.0" encoding="utf-8"?>
<ds:datastoreItem xmlns:ds="http://schemas.openxmlformats.org/officeDocument/2006/customXml" ds:itemID="{88F4AFE3-9455-419C-8851-785A55F44517}"/>
</file>

<file path=customXml/itemProps3.xml><?xml version="1.0" encoding="utf-8"?>
<ds:datastoreItem xmlns:ds="http://schemas.openxmlformats.org/officeDocument/2006/customXml" ds:itemID="{53CDC32B-DD97-493E-9196-3EF77D6F9C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 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subject/>
  <dc:creator>מיכאל טפליצקי</dc:creator>
  <cp:keywords/>
  <dc:description/>
  <cp:lastModifiedBy>לילך יעיש</cp:lastModifiedBy>
  <cp:revision>2</cp:revision>
  <cp:lastPrinted>2014-07-28T07:46:00Z</cp:lastPrinted>
  <dcterms:created xsi:type="dcterms:W3CDTF">2014-07-28T07:47:00Z</dcterms:created>
  <dcterms:modified xsi:type="dcterms:W3CDTF">2014-07-28T07:47:00Z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