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530EB0" w:rsidRDefault="004033D8" w:rsidP="002C2E29">
      <w:pPr>
        <w:pStyle w:val="HeadHatzaotHok"/>
        <w:jc w:val="right"/>
        <w:rPr>
          <w:b w:val="0"/>
          <w:bCs w:val="0"/>
          <w:szCs w:val="20"/>
        </w:rPr>
      </w:pPr>
      <w:r w:rsidRPr="00530EB0">
        <w:rPr>
          <w:rFonts w:hint="cs"/>
          <w:b w:val="0"/>
          <w:bCs w:val="0"/>
          <w:szCs w:val="20"/>
          <w:rtl/>
        </w:rPr>
        <w:t xml:space="preserve">מספר פנימי: </w:t>
      </w:r>
      <w:bookmarkStart w:id="0" w:name="ItemID"/>
      <w:r w:rsidR="00200909" w:rsidRPr="00530EB0">
        <w:rPr>
          <w:b w:val="0"/>
          <w:bCs w:val="0"/>
          <w:szCs w:val="20"/>
          <w:rtl/>
        </w:rPr>
        <w:t>551842</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200909" w:rsidRPr="00200909">
        <w:rPr>
          <w:sz w:val="28"/>
          <w:szCs w:val="28"/>
          <w:rtl/>
        </w:rPr>
        <w:t>התשע-עשרה</w:t>
      </w:r>
      <w:bookmarkEnd w:id="1"/>
    </w:p>
    <w:p w:rsidR="00E13C27" w:rsidRDefault="00E13C27" w:rsidP="00E13C27">
      <w:pPr>
        <w:rPr>
          <w:rFonts w:cs="David"/>
          <w:sz w:val="26"/>
          <w:szCs w:val="26"/>
          <w:rtl/>
        </w:rPr>
      </w:pPr>
    </w:p>
    <w:p w:rsidR="00A166E7" w:rsidRPr="00032E21" w:rsidRDefault="00F26616" w:rsidP="0091204F">
      <w:pPr>
        <w:pStyle w:val="David"/>
        <w:ind w:left="2880" w:firstLine="663"/>
        <w:rPr>
          <w:b/>
          <w:bCs/>
        </w:rPr>
      </w:pPr>
      <w:bookmarkStart w:id="2" w:name="MKsSingleOrMulti"/>
      <w:r w:rsidRPr="00032E21">
        <w:rPr>
          <w:b/>
          <w:bCs/>
          <w:rtl/>
        </w:rPr>
        <w:t>יוזמים:      חברי הכנסת</w:t>
      </w:r>
      <w:bookmarkEnd w:id="2"/>
      <w:r w:rsidR="00B35784" w:rsidRPr="00032E21">
        <w:rPr>
          <w:b/>
          <w:bCs/>
        </w:rPr>
        <w:tab/>
      </w:r>
      <w:bookmarkStart w:id="3" w:name="MKs"/>
      <w:r w:rsidR="00A166E7" w:rsidRPr="00032E21">
        <w:rPr>
          <w:b/>
          <w:bCs/>
          <w:rtl/>
        </w:rPr>
        <w:t>דוד צור</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אלעזר שטרן</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מירי רגב</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מאיר פרוש</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איילת שקד</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יפעת קריב</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יוני שטבון</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proofErr w:type="spellStart"/>
      <w:r w:rsidRPr="00032E21">
        <w:rPr>
          <w:b/>
          <w:bCs/>
          <w:rtl/>
        </w:rPr>
        <w:t>עיסאווי</w:t>
      </w:r>
      <w:proofErr w:type="spellEnd"/>
      <w:r w:rsidRPr="00032E21">
        <w:rPr>
          <w:b/>
          <w:bCs/>
          <w:rtl/>
        </w:rPr>
        <w:t xml:space="preserve"> </w:t>
      </w:r>
      <w:proofErr w:type="spellStart"/>
      <w:r w:rsidRPr="00032E21">
        <w:rPr>
          <w:b/>
          <w:bCs/>
          <w:rtl/>
        </w:rPr>
        <w:t>פריג</w:t>
      </w:r>
      <w:proofErr w:type="spellEnd"/>
      <w:r w:rsidRPr="00032E21">
        <w:rPr>
          <w:b/>
          <w:bCs/>
        </w:rPr>
        <w:t>'</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אילן גילאון</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רות קלדרון</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סתיו שפיר</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נחמן שי</w:t>
      </w:r>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 xml:space="preserve">מיכל </w:t>
      </w:r>
      <w:proofErr w:type="spellStart"/>
      <w:r w:rsidRPr="00032E21">
        <w:rPr>
          <w:b/>
          <w:bCs/>
          <w:rtl/>
        </w:rPr>
        <w:t>רוזין</w:t>
      </w:r>
      <w:proofErr w:type="spellEnd"/>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 xml:space="preserve">דב </w:t>
      </w:r>
      <w:proofErr w:type="spellStart"/>
      <w:r w:rsidRPr="00032E21">
        <w:rPr>
          <w:b/>
          <w:bCs/>
          <w:rtl/>
        </w:rPr>
        <w:t>חנין</w:t>
      </w:r>
      <w:proofErr w:type="spellEnd"/>
    </w:p>
    <w:p w:rsidR="00A166E7" w:rsidRPr="00032E21" w:rsidRDefault="00A166E7" w:rsidP="0091204F">
      <w:pPr>
        <w:pStyle w:val="David"/>
        <w:ind w:left="2880" w:firstLine="663"/>
        <w:rPr>
          <w:b/>
          <w:bCs/>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איתן כבל</w:t>
      </w:r>
    </w:p>
    <w:p w:rsidR="00E13C27" w:rsidRDefault="00A166E7" w:rsidP="0091204F">
      <w:pPr>
        <w:pStyle w:val="David"/>
        <w:ind w:left="2880" w:firstLine="663"/>
        <w:rPr>
          <w:rFonts w:hint="cs"/>
          <w:b/>
          <w:bCs/>
          <w:rtl/>
        </w:rPr>
      </w:pPr>
      <w:r w:rsidRPr="00032E21">
        <w:rPr>
          <w:b/>
          <w:bCs/>
        </w:rPr>
        <w:tab/>
      </w:r>
      <w:r w:rsidRPr="00032E21">
        <w:rPr>
          <w:b/>
          <w:bCs/>
        </w:rPr>
        <w:tab/>
      </w:r>
      <w:r w:rsidRPr="00032E21">
        <w:rPr>
          <w:b/>
          <w:bCs/>
        </w:rPr>
        <w:tab/>
      </w:r>
      <w:r w:rsidRPr="00032E21">
        <w:rPr>
          <w:b/>
          <w:bCs/>
        </w:rPr>
        <w:tab/>
      </w:r>
      <w:r w:rsidRPr="00032E21">
        <w:rPr>
          <w:b/>
          <w:bCs/>
        </w:rPr>
        <w:tab/>
      </w:r>
      <w:r w:rsidRPr="00032E21">
        <w:rPr>
          <w:b/>
          <w:bCs/>
          <w:rtl/>
        </w:rPr>
        <w:t>רונן הופמן</w:t>
      </w:r>
      <w:bookmarkEnd w:id="3"/>
    </w:p>
    <w:p w:rsidR="00530EB0" w:rsidRPr="00032E21" w:rsidRDefault="00530EB0" w:rsidP="0091204F">
      <w:pPr>
        <w:pStyle w:val="David"/>
        <w:ind w:left="2880" w:firstLine="663"/>
        <w:rPr>
          <w:b/>
          <w:bCs/>
          <w:rtl/>
        </w:rPr>
      </w:pPr>
      <w:r>
        <w:rPr>
          <w:noProof/>
          <w:rtl/>
          <w:lang w:eastAsia="en-US"/>
        </w:rPr>
        <mc:AlternateContent>
          <mc:Choice Requires="wps">
            <w:drawing>
              <wp:anchor distT="0" distB="0" distL="114300" distR="114300" simplePos="0" relativeHeight="251658240" behindDoc="0" locked="0" layoutInCell="1" allowOverlap="1" wp14:anchorId="6EBAF226" wp14:editId="14E89D0F">
                <wp:simplePos x="0" y="0"/>
                <wp:positionH relativeFrom="column">
                  <wp:posOffset>10795</wp:posOffset>
                </wp:positionH>
                <wp:positionV relativeFrom="paragraph">
                  <wp:posOffset>159385</wp:posOffset>
                </wp:positionV>
                <wp:extent cx="3869690" cy="15875"/>
                <wp:effectExtent l="0" t="0" r="16510" b="2222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5pt,13.8pt,305.55pt,12.5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" filled="f">
                <v:path arrowok="t" o:connecttype="custom" o:connectlocs="0,15875;3869690,0" o:connectangles="0,0"/>
              </v:polyline>
            </w:pict>
          </mc:Fallback>
        </mc:AlternateContent>
      </w:r>
    </w:p>
    <w:p w:rsidR="00096DCA" w:rsidRPr="00096DCA" w:rsidRDefault="001F4A26" w:rsidP="00B35784">
      <w:pPr>
        <w:ind w:firstLine="3543"/>
        <w:rPr>
          <w:rFonts w:cs="David"/>
          <w:sz w:val="26"/>
          <w:szCs w:val="26"/>
          <w:rtl/>
        </w:rPr>
      </w:pPr>
      <w:bookmarkStart w:id="4" w:name="MKsSingleOrMulti1"/>
      <w:r w:rsidRPr="001F4A26">
        <w:rPr>
          <w:rFonts w:cs="David"/>
          <w:sz w:val="26"/>
          <w:szCs w:val="26"/>
          <w:rtl/>
        </w:rPr>
        <w:t>מצטרפים: חברי הכנסת</w:t>
      </w:r>
      <w:bookmarkEnd w:id="4"/>
      <w:r w:rsidR="002200A1">
        <w:rPr>
          <w:rFonts w:cs="David" w:hint="cs"/>
          <w:sz w:val="26"/>
          <w:szCs w:val="26"/>
          <w:rtl/>
        </w:rPr>
        <w:tab/>
      </w:r>
      <w:bookmarkStart w:id="5" w:name="MKs1"/>
      <w:r w:rsidR="00096DCA" w:rsidRPr="00096DCA">
        <w:rPr>
          <w:rFonts w:cs="David"/>
          <w:sz w:val="26"/>
          <w:szCs w:val="26"/>
          <w:rtl/>
        </w:rPr>
        <w:t>משה מזרחי</w:t>
      </w:r>
    </w:p>
    <w:p w:rsidR="00096DCA" w:rsidRPr="00096DCA" w:rsidRDefault="00096DCA" w:rsidP="00B35784">
      <w:pPr>
        <w:ind w:firstLine="3543"/>
        <w:rPr>
          <w:rFonts w:cs="David"/>
          <w:sz w:val="26"/>
          <w:szCs w:val="26"/>
          <w:rtl/>
        </w:rPr>
      </w:pPr>
      <w:r w:rsidRPr="00096DCA">
        <w:rPr>
          <w:rFonts w:cs="David"/>
          <w:sz w:val="26"/>
          <w:szCs w:val="26"/>
          <w:rtl/>
        </w:rPr>
        <w:tab/>
      </w:r>
      <w:r w:rsidRPr="00096DCA">
        <w:rPr>
          <w:rFonts w:cs="David"/>
          <w:sz w:val="26"/>
          <w:szCs w:val="26"/>
          <w:rtl/>
        </w:rPr>
        <w:tab/>
      </w:r>
      <w:r w:rsidRPr="00096DCA">
        <w:rPr>
          <w:rFonts w:cs="David"/>
          <w:sz w:val="26"/>
          <w:szCs w:val="26"/>
          <w:rtl/>
        </w:rPr>
        <w:tab/>
      </w:r>
      <w:r w:rsidRPr="00096DCA">
        <w:rPr>
          <w:rFonts w:cs="David"/>
          <w:sz w:val="26"/>
          <w:szCs w:val="26"/>
          <w:rtl/>
        </w:rPr>
        <w:tab/>
      </w:r>
      <w:r w:rsidRPr="00096DCA">
        <w:rPr>
          <w:rFonts w:cs="David"/>
          <w:sz w:val="26"/>
          <w:szCs w:val="26"/>
          <w:rtl/>
        </w:rPr>
        <w:tab/>
        <w:t>זהבה גלאון</w:t>
      </w:r>
    </w:p>
    <w:p w:rsidR="00096DCA" w:rsidRPr="00096DCA" w:rsidRDefault="00096DCA" w:rsidP="00B35784">
      <w:pPr>
        <w:ind w:firstLine="3543"/>
        <w:rPr>
          <w:rFonts w:cs="David"/>
          <w:sz w:val="26"/>
          <w:szCs w:val="26"/>
          <w:rtl/>
        </w:rPr>
      </w:pPr>
      <w:r w:rsidRPr="00096DCA">
        <w:rPr>
          <w:rFonts w:cs="David"/>
          <w:sz w:val="26"/>
          <w:szCs w:val="26"/>
          <w:rtl/>
        </w:rPr>
        <w:tab/>
      </w:r>
      <w:r w:rsidRPr="00096DCA">
        <w:rPr>
          <w:rFonts w:cs="David"/>
          <w:sz w:val="26"/>
          <w:szCs w:val="26"/>
          <w:rtl/>
        </w:rPr>
        <w:tab/>
      </w:r>
      <w:r w:rsidRPr="00096DCA">
        <w:rPr>
          <w:rFonts w:cs="David"/>
          <w:sz w:val="26"/>
          <w:szCs w:val="26"/>
          <w:rtl/>
        </w:rPr>
        <w:tab/>
      </w:r>
      <w:r w:rsidRPr="00096DCA">
        <w:rPr>
          <w:rFonts w:cs="David"/>
          <w:sz w:val="26"/>
          <w:szCs w:val="26"/>
          <w:rtl/>
        </w:rPr>
        <w:tab/>
      </w:r>
      <w:r w:rsidRPr="00096DCA">
        <w:rPr>
          <w:rFonts w:cs="David"/>
          <w:sz w:val="26"/>
          <w:szCs w:val="26"/>
          <w:rtl/>
        </w:rPr>
        <w:tab/>
        <w:t>מאיר שטרית</w:t>
      </w:r>
    </w:p>
    <w:p w:rsidR="00096DCA" w:rsidRPr="00096DCA" w:rsidRDefault="00096DCA" w:rsidP="00B35784">
      <w:pPr>
        <w:ind w:firstLine="3543"/>
        <w:rPr>
          <w:rFonts w:cs="David"/>
          <w:sz w:val="26"/>
          <w:szCs w:val="26"/>
          <w:rtl/>
        </w:rPr>
      </w:pPr>
      <w:r w:rsidRPr="00096DCA">
        <w:rPr>
          <w:rFonts w:cs="David"/>
          <w:sz w:val="26"/>
          <w:szCs w:val="26"/>
          <w:rtl/>
        </w:rPr>
        <w:tab/>
      </w:r>
      <w:r w:rsidRPr="00096DCA">
        <w:rPr>
          <w:rFonts w:cs="David"/>
          <w:sz w:val="26"/>
          <w:szCs w:val="26"/>
          <w:rtl/>
        </w:rPr>
        <w:tab/>
      </w:r>
      <w:r w:rsidRPr="00096DCA">
        <w:rPr>
          <w:rFonts w:cs="David"/>
          <w:sz w:val="26"/>
          <w:szCs w:val="26"/>
          <w:rtl/>
        </w:rPr>
        <w:tab/>
      </w:r>
      <w:r w:rsidRPr="00096DCA">
        <w:rPr>
          <w:rFonts w:cs="David"/>
          <w:sz w:val="26"/>
          <w:szCs w:val="26"/>
          <w:rtl/>
        </w:rPr>
        <w:tab/>
      </w:r>
      <w:r w:rsidRPr="00096DCA">
        <w:rPr>
          <w:rFonts w:cs="David"/>
          <w:sz w:val="26"/>
          <w:szCs w:val="26"/>
          <w:rtl/>
        </w:rPr>
        <w:tab/>
        <w:t>רינה פרנקל</w:t>
      </w:r>
    </w:p>
    <w:p w:rsidR="00E13C27" w:rsidRDefault="00096DCA" w:rsidP="00B35784">
      <w:pPr>
        <w:ind w:firstLine="3543"/>
        <w:rPr>
          <w:rFonts w:cs="David" w:hint="cs"/>
          <w:sz w:val="26"/>
          <w:szCs w:val="26"/>
          <w:rtl/>
        </w:rPr>
      </w:pPr>
      <w:r w:rsidRPr="00096DCA">
        <w:rPr>
          <w:rFonts w:cs="David"/>
          <w:sz w:val="26"/>
          <w:szCs w:val="26"/>
          <w:rtl/>
        </w:rPr>
        <w:tab/>
      </w:r>
      <w:r w:rsidRPr="00096DCA">
        <w:rPr>
          <w:rFonts w:cs="David"/>
          <w:sz w:val="26"/>
          <w:szCs w:val="26"/>
          <w:rtl/>
        </w:rPr>
        <w:tab/>
      </w:r>
      <w:r w:rsidRPr="00096DCA">
        <w:rPr>
          <w:rFonts w:cs="David"/>
          <w:sz w:val="26"/>
          <w:szCs w:val="26"/>
          <w:rtl/>
        </w:rPr>
        <w:tab/>
      </w:r>
      <w:r w:rsidRPr="00096DCA">
        <w:rPr>
          <w:rFonts w:cs="David"/>
          <w:sz w:val="26"/>
          <w:szCs w:val="26"/>
          <w:rtl/>
        </w:rPr>
        <w:tab/>
      </w:r>
      <w:r w:rsidRPr="00096DCA">
        <w:rPr>
          <w:rFonts w:cs="David"/>
          <w:sz w:val="26"/>
          <w:szCs w:val="26"/>
          <w:rtl/>
        </w:rPr>
        <w:tab/>
        <w:t>דב ליפמן</w:t>
      </w:r>
      <w:bookmarkEnd w:id="5"/>
    </w:p>
    <w:bookmarkStart w:id="6" w:name="_GoBack"/>
    <w:bookmarkEnd w:id="6"/>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8098B07" wp14:editId="1B0811B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7" w:name="LawNum"/>
      <w:r w:rsidR="00346CBF" w:rsidRPr="00346CBF">
        <w:rPr>
          <w:rFonts w:cs="David"/>
          <w:sz w:val="26"/>
          <w:szCs w:val="26"/>
          <w:rtl/>
        </w:rPr>
        <w:t>פ/2539/19</w:t>
      </w:r>
      <w:bookmarkEnd w:id="7"/>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BF7473" w:rsidP="000656C8">
      <w:pPr>
        <w:pStyle w:val="HeadHatzaotHok"/>
        <w:tabs>
          <w:tab w:val="left" w:pos="4071"/>
          <w:tab w:val="center" w:pos="4819"/>
        </w:tabs>
        <w:spacing w:before="0"/>
        <w:rPr>
          <w:sz w:val="26"/>
          <w:rtl/>
        </w:rPr>
      </w:pPr>
      <w:bookmarkStart w:id="8" w:name="Title"/>
      <w:r w:rsidRPr="00BF7473">
        <w:rPr>
          <w:sz w:val="26"/>
          <w:rtl/>
        </w:rPr>
        <w:t xml:space="preserve">הצעת חוק הבנקאות (שירות ללקוח) (תיקון </w:t>
      </w:r>
      <w:r w:rsidR="00E24FEC">
        <w:rPr>
          <w:rFonts w:hint="cs"/>
          <w:sz w:val="26"/>
          <w:rtl/>
        </w:rPr>
        <w:t>–</w:t>
      </w:r>
      <w:r w:rsidRPr="00BF7473">
        <w:rPr>
          <w:sz w:val="26"/>
          <w:rtl/>
        </w:rPr>
        <w:t xml:space="preserve"> משיכת מזומן במכשיר אוטומטי), </w:t>
      </w:r>
      <w:proofErr w:type="spellStart"/>
      <w:r w:rsidRPr="00BF7473">
        <w:rPr>
          <w:sz w:val="26"/>
          <w:rtl/>
        </w:rPr>
        <w:t>התשע"ד</w:t>
      </w:r>
      <w:proofErr w:type="spellEnd"/>
      <w:r w:rsidR="000656C8">
        <w:rPr>
          <w:rFonts w:hint="cs"/>
          <w:sz w:val="26"/>
          <w:rtl/>
        </w:rPr>
        <w:t>–</w:t>
      </w:r>
      <w:r w:rsidRPr="00BF7473">
        <w:rPr>
          <w:sz w:val="26"/>
          <w:rtl/>
        </w:rPr>
        <w:t>2014</w:t>
      </w:r>
      <w:bookmarkEnd w:id="8"/>
    </w:p>
    <w:tbl>
      <w:tblPr>
        <w:bidiVisual/>
        <w:tblW w:w="4998" w:type="pct"/>
        <w:tblCellMar>
          <w:top w:w="57" w:type="dxa"/>
          <w:left w:w="0" w:type="dxa"/>
          <w:bottom w:w="57" w:type="dxa"/>
          <w:right w:w="0" w:type="dxa"/>
        </w:tblCellMar>
        <w:tblLook w:val="0000" w:firstRow="0" w:lastRow="0" w:firstColumn="0" w:lastColumn="0" w:noHBand="0" w:noVBand="0"/>
      </w:tblPr>
      <w:tblGrid>
        <w:gridCol w:w="1870"/>
        <w:gridCol w:w="622"/>
        <w:gridCol w:w="1871"/>
        <w:gridCol w:w="622"/>
        <w:gridCol w:w="4650"/>
      </w:tblGrid>
      <w:tr w:rsidR="001B50EA" w:rsidTr="00032E21">
        <w:trPr>
          <w:cantSplit/>
        </w:trPr>
        <w:tc>
          <w:tcPr>
            <w:tcW w:w="970" w:type="pct"/>
            <w:tcBorders>
              <w:top w:val="nil"/>
              <w:left w:val="nil"/>
              <w:bottom w:val="nil"/>
              <w:right w:val="nil"/>
            </w:tcBorders>
          </w:tcPr>
          <w:p w:rsidR="001B50EA" w:rsidRDefault="001B50EA" w:rsidP="00B012EF">
            <w:pPr>
              <w:pStyle w:val="TableSideHeading"/>
            </w:pPr>
            <w:r>
              <w:rPr>
                <w:sz w:val="26"/>
                <w:rtl/>
              </w:rPr>
              <w:t xml:space="preserve">הוספת סעיף </w:t>
            </w:r>
            <w:r>
              <w:rPr>
                <w:rFonts w:hint="cs"/>
                <w:sz w:val="26"/>
                <w:rtl/>
              </w:rPr>
              <w:t>2</w:t>
            </w:r>
            <w:r w:rsidR="0092334F">
              <w:rPr>
                <w:rFonts w:hint="cs"/>
                <w:sz w:val="26"/>
                <w:rtl/>
              </w:rPr>
              <w:t>א</w:t>
            </w:r>
            <w:r>
              <w:rPr>
                <w:sz w:val="26"/>
                <w:rtl/>
              </w:rPr>
              <w:t xml:space="preserve"> </w:t>
            </w:r>
          </w:p>
        </w:tc>
        <w:tc>
          <w:tcPr>
            <w:tcW w:w="323" w:type="pct"/>
            <w:tcBorders>
              <w:top w:val="nil"/>
              <w:left w:val="nil"/>
              <w:bottom w:val="nil"/>
              <w:right w:val="nil"/>
            </w:tcBorders>
          </w:tcPr>
          <w:p w:rsidR="001B50EA" w:rsidRDefault="001B50EA" w:rsidP="00B012EF">
            <w:pPr>
              <w:pStyle w:val="TableText"/>
            </w:pPr>
            <w:r>
              <w:rPr>
                <w:sz w:val="26"/>
                <w:rtl/>
              </w:rPr>
              <w:t>1.</w:t>
            </w:r>
          </w:p>
        </w:tc>
        <w:tc>
          <w:tcPr>
            <w:tcW w:w="3707" w:type="pct"/>
            <w:gridSpan w:val="3"/>
            <w:tcBorders>
              <w:top w:val="nil"/>
              <w:left w:val="nil"/>
              <w:bottom w:val="nil"/>
              <w:right w:val="nil"/>
            </w:tcBorders>
          </w:tcPr>
          <w:p w:rsidR="001B50EA" w:rsidRDefault="001B50EA" w:rsidP="00B012EF">
            <w:pPr>
              <w:pStyle w:val="TableBlock"/>
            </w:pPr>
            <w:r>
              <w:rPr>
                <w:sz w:val="26"/>
                <w:rtl/>
              </w:rPr>
              <w:t xml:space="preserve">בחוק הבנקאות (שירות ללקוח), </w:t>
            </w:r>
            <w:proofErr w:type="spellStart"/>
            <w:r>
              <w:rPr>
                <w:sz w:val="26"/>
                <w:rtl/>
              </w:rPr>
              <w:t>התשמ"א</w:t>
            </w:r>
            <w:proofErr w:type="spellEnd"/>
            <w:r>
              <w:rPr>
                <w:sz w:val="26"/>
                <w:rtl/>
              </w:rPr>
              <w:t>–1981</w:t>
            </w:r>
            <w:r>
              <w:rPr>
                <w:rStyle w:val="a5"/>
                <w:sz w:val="26"/>
                <w:rtl/>
              </w:rPr>
              <w:footnoteReference w:id="2"/>
            </w:r>
            <w:r>
              <w:rPr>
                <w:sz w:val="26"/>
                <w:rtl/>
              </w:rPr>
              <w:t xml:space="preserve">, אחרי סעיף </w:t>
            </w:r>
            <w:r>
              <w:rPr>
                <w:rFonts w:hint="cs"/>
                <w:sz w:val="26"/>
                <w:rtl/>
              </w:rPr>
              <w:t>2</w:t>
            </w:r>
            <w:r>
              <w:rPr>
                <w:sz w:val="26"/>
                <w:rtl/>
              </w:rPr>
              <w:t xml:space="preserve"> יבוא:</w:t>
            </w:r>
          </w:p>
        </w:tc>
      </w:tr>
      <w:tr w:rsidR="00AB6EDE" w:rsidTr="00524004">
        <w:tblPrEx>
          <w:tblLook w:val="01E0" w:firstRow="1" w:lastRow="1" w:firstColumn="1" w:lastColumn="1" w:noHBand="0" w:noVBand="0"/>
        </w:tblPrEx>
        <w:trPr>
          <w:cantSplit/>
          <w:trHeight w:val="60"/>
        </w:trPr>
        <w:tc>
          <w:tcPr>
            <w:tcW w:w="970" w:type="pct"/>
          </w:tcPr>
          <w:p w:rsidR="00F91A8E" w:rsidRDefault="00F91A8E">
            <w:pPr>
              <w:pStyle w:val="TableSideHeading"/>
              <w:keepLines w:val="0"/>
              <w:rPr>
                <w:rtl/>
              </w:rPr>
            </w:pPr>
          </w:p>
          <w:p w:rsidR="00F91A8E" w:rsidRDefault="00F91A8E">
            <w:pPr>
              <w:pStyle w:val="TableSideHeading"/>
              <w:keepLines w:val="0"/>
            </w:pPr>
          </w:p>
        </w:tc>
        <w:tc>
          <w:tcPr>
            <w:tcW w:w="323" w:type="pct"/>
          </w:tcPr>
          <w:p w:rsidR="00AB6EDE" w:rsidRDefault="00AB6EDE">
            <w:pPr>
              <w:pStyle w:val="TableText"/>
              <w:keepLines w:val="0"/>
            </w:pPr>
          </w:p>
        </w:tc>
        <w:tc>
          <w:tcPr>
            <w:tcW w:w="971" w:type="pct"/>
          </w:tcPr>
          <w:p w:rsidR="00AB6EDE" w:rsidRDefault="00671EE2">
            <w:pPr>
              <w:pStyle w:val="TableInnerSideHeading"/>
            </w:pPr>
            <w:r>
              <w:rPr>
                <w:rFonts w:hint="cs"/>
                <w:rtl/>
              </w:rPr>
              <w:t>"משיכת מזומן במכשיר אוטומטי</w:t>
            </w:r>
          </w:p>
        </w:tc>
        <w:tc>
          <w:tcPr>
            <w:tcW w:w="323" w:type="pct"/>
          </w:tcPr>
          <w:p w:rsidR="00AB6EDE" w:rsidRDefault="0092334F">
            <w:pPr>
              <w:pStyle w:val="TableText"/>
            </w:pPr>
            <w:r>
              <w:rPr>
                <w:rFonts w:hint="cs"/>
                <w:rtl/>
              </w:rPr>
              <w:t>2א.</w:t>
            </w:r>
          </w:p>
        </w:tc>
        <w:tc>
          <w:tcPr>
            <w:tcW w:w="2413" w:type="pct"/>
          </w:tcPr>
          <w:p w:rsidR="00AB6EDE" w:rsidRDefault="00AB6EDE" w:rsidP="00530EB0">
            <w:pPr>
              <w:pStyle w:val="TableBlock"/>
            </w:pPr>
            <w:r>
              <w:rPr>
                <w:rFonts w:hint="cs"/>
                <w:rtl/>
              </w:rPr>
              <w:t xml:space="preserve">תאגיד בנקאי המפעיל מכשיר אוטומטי למשיכת מזומנים יאפשר משיכה של שטר הכסף בעל הערך הנקוב הנמוך ביותר </w:t>
            </w:r>
            <w:r w:rsidR="00F91A8E">
              <w:rPr>
                <w:rFonts w:hint="cs"/>
                <w:rtl/>
              </w:rPr>
              <w:t xml:space="preserve">שהוציא בנק ישראל, כמשמעותו בחוק בנק ישראל, </w:t>
            </w:r>
            <w:proofErr w:type="spellStart"/>
            <w:r w:rsidR="00F91A8E">
              <w:rPr>
                <w:rFonts w:hint="cs"/>
                <w:rtl/>
              </w:rPr>
              <w:t>התש"ע</w:t>
            </w:r>
            <w:proofErr w:type="spellEnd"/>
            <w:r w:rsidR="00F91A8E">
              <w:rPr>
                <w:rFonts w:hint="eastAsia"/>
                <w:rtl/>
              </w:rPr>
              <w:t>–</w:t>
            </w:r>
            <w:r w:rsidR="00F91A8E">
              <w:rPr>
                <w:rFonts w:hint="cs"/>
                <w:rtl/>
              </w:rPr>
              <w:t>2010</w:t>
            </w:r>
            <w:r w:rsidR="00F91A8E">
              <w:rPr>
                <w:rStyle w:val="a5"/>
                <w:rtl/>
              </w:rPr>
              <w:footnoteReference w:id="3"/>
            </w:r>
            <w:r w:rsidR="00530EB0">
              <w:rPr>
                <w:rFonts w:hint="cs"/>
                <w:rtl/>
              </w:rPr>
              <w:t>,</w:t>
            </w:r>
            <w:r w:rsidR="00F91A8E">
              <w:rPr>
                <w:rFonts w:hint="cs"/>
                <w:rtl/>
              </w:rPr>
              <w:t xml:space="preserve"> ושהוא הילך חוקי בישראל</w:t>
            </w:r>
            <w:r w:rsidR="00671EE2">
              <w:rPr>
                <w:rFonts w:hint="cs"/>
                <w:rtl/>
              </w:rPr>
              <w:t xml:space="preserve">; בסעיף זה, "תאגיד בנקאי" </w:t>
            </w:r>
            <w:r w:rsidR="00671EE2">
              <w:rPr>
                <w:rtl/>
              </w:rPr>
              <w:t>–</w:t>
            </w:r>
            <w:r w:rsidR="00F91A8E">
              <w:rPr>
                <w:rFonts w:hint="cs"/>
                <w:rtl/>
              </w:rPr>
              <w:t xml:space="preserve"> לרבות כל תאגיד </w:t>
            </w:r>
            <w:r w:rsidR="00671EE2">
              <w:rPr>
                <w:rFonts w:hint="cs"/>
                <w:rtl/>
              </w:rPr>
              <w:t>המפעיל מכשיר אוטומטי למשיכת מזומנים</w:t>
            </w:r>
            <w:r>
              <w:rPr>
                <w:rFonts w:hint="cs"/>
                <w:rtl/>
              </w:rPr>
              <w:t>."</w:t>
            </w:r>
          </w:p>
        </w:tc>
      </w:tr>
    </w:tbl>
    <w:p w:rsidR="001B50EA" w:rsidRDefault="001B50EA" w:rsidP="00E13C27">
      <w:pPr>
        <w:pStyle w:val="HeadDivreiHesber"/>
        <w:spacing w:before="0" w:after="0"/>
        <w:rPr>
          <w:rtl/>
        </w:rPr>
      </w:pPr>
    </w:p>
    <w:p w:rsidR="00530EB0" w:rsidRDefault="00530EB0" w:rsidP="00E13C27">
      <w:pPr>
        <w:pStyle w:val="HeadDivreiHesber"/>
        <w:spacing w:before="0" w:after="0"/>
        <w:rPr>
          <w:rFonts w:hint="cs"/>
          <w:rtl/>
        </w:rPr>
      </w:pPr>
    </w:p>
    <w:p w:rsidR="00E13C27" w:rsidRDefault="00E13C27" w:rsidP="00E13C27">
      <w:pPr>
        <w:pStyle w:val="HeadDivreiHesber"/>
        <w:spacing w:before="0" w:after="0"/>
        <w:rPr>
          <w:rFonts w:hint="cs"/>
          <w:rtl/>
        </w:rPr>
      </w:pPr>
      <w:r>
        <w:rPr>
          <w:rFonts w:hint="cs"/>
          <w:rtl/>
        </w:rPr>
        <w:t>דברי הסבר</w:t>
      </w:r>
    </w:p>
    <w:p w:rsidR="00530EB0" w:rsidRDefault="00530EB0" w:rsidP="00E13C27">
      <w:pPr>
        <w:pStyle w:val="HeadDivreiHesber"/>
        <w:spacing w:before="0" w:after="0"/>
        <w:rPr>
          <w:rtl/>
        </w:rPr>
      </w:pPr>
    </w:p>
    <w:p w:rsidR="001B50EA" w:rsidRPr="00032E21" w:rsidRDefault="00D01A30" w:rsidP="00524004">
      <w:pPr>
        <w:pStyle w:val="Hesber"/>
        <w:rPr>
          <w:rtl/>
        </w:rPr>
      </w:pPr>
      <w:r w:rsidRPr="00032E21">
        <w:rPr>
          <w:rFonts w:hint="cs"/>
          <w:rtl/>
        </w:rPr>
        <w:t xml:space="preserve">המסופים האוטומטים למשיכת מזומן הקיימים כיום בישראל, אינם מאפשרים ברובם </w:t>
      </w:r>
      <w:r w:rsidR="00AB6EDE">
        <w:rPr>
          <w:rFonts w:hint="cs"/>
          <w:rtl/>
        </w:rPr>
        <w:t>למשוך</w:t>
      </w:r>
      <w:r w:rsidRPr="00032E21">
        <w:rPr>
          <w:rFonts w:hint="cs"/>
          <w:rtl/>
        </w:rPr>
        <w:t xml:space="preserve"> </w:t>
      </w:r>
      <w:r w:rsidR="00AB6EDE">
        <w:rPr>
          <w:rFonts w:hint="cs"/>
          <w:rtl/>
        </w:rPr>
        <w:t xml:space="preserve">את </w:t>
      </w:r>
      <w:r w:rsidRPr="00032E21">
        <w:rPr>
          <w:rFonts w:hint="cs"/>
          <w:rtl/>
        </w:rPr>
        <w:t xml:space="preserve">השטר הנמוך ביותר הקיים במערכת הבנקאית. </w:t>
      </w:r>
      <w:r w:rsidR="00AB6EDE">
        <w:rPr>
          <w:rFonts w:hint="cs"/>
          <w:rtl/>
        </w:rPr>
        <w:t xml:space="preserve">בשל הגבלה זו, </w:t>
      </w:r>
      <w:r w:rsidRPr="00032E21">
        <w:rPr>
          <w:rFonts w:hint="cs"/>
          <w:rtl/>
        </w:rPr>
        <w:t xml:space="preserve">לקוחות </w:t>
      </w:r>
      <w:r w:rsidR="00530EB0">
        <w:rPr>
          <w:rFonts w:hint="cs"/>
          <w:rtl/>
        </w:rPr>
        <w:t>המבקשים למשוך סכום מסוים</w:t>
      </w:r>
      <w:r w:rsidR="00A97312" w:rsidRPr="00032E21">
        <w:rPr>
          <w:rFonts w:hint="cs"/>
          <w:rtl/>
        </w:rPr>
        <w:t xml:space="preserve"> נאלצים לעתים </w:t>
      </w:r>
      <w:r w:rsidRPr="00032E21">
        <w:rPr>
          <w:rFonts w:hint="cs"/>
          <w:rtl/>
        </w:rPr>
        <w:t xml:space="preserve">למשוך סכום הגבוה </w:t>
      </w:r>
      <w:r w:rsidR="004F7111" w:rsidRPr="00032E21">
        <w:rPr>
          <w:rFonts w:hint="cs"/>
          <w:rtl/>
        </w:rPr>
        <w:t xml:space="preserve">מהסכום לו </w:t>
      </w:r>
      <w:r w:rsidR="00A97312" w:rsidRPr="00032E21">
        <w:rPr>
          <w:rFonts w:hint="cs"/>
          <w:rtl/>
        </w:rPr>
        <w:t>הם זקוקים</w:t>
      </w:r>
      <w:r w:rsidR="004F7111" w:rsidRPr="00032E21">
        <w:rPr>
          <w:rFonts w:hint="cs"/>
          <w:rtl/>
        </w:rPr>
        <w:t xml:space="preserve"> באותה עת.</w:t>
      </w:r>
    </w:p>
    <w:p w:rsidR="004F7111" w:rsidRDefault="003A5F06" w:rsidP="00032E21">
      <w:pPr>
        <w:pStyle w:val="Hesber"/>
        <w:rPr>
          <w:rFonts w:hint="cs"/>
          <w:rtl/>
        </w:rPr>
      </w:pPr>
      <w:r w:rsidRPr="00032E21">
        <w:rPr>
          <w:rFonts w:hint="cs"/>
          <w:rtl/>
        </w:rPr>
        <w:t>במדינות רבות בעולם מאפשרים</w:t>
      </w:r>
      <w:r w:rsidR="004F7111" w:rsidRPr="00032E21">
        <w:rPr>
          <w:rFonts w:hint="cs"/>
          <w:rtl/>
        </w:rPr>
        <w:t xml:space="preserve"> המסופים האוטומטים למשיכת מזומן למשוך את השטר הנמוך ביותר הקיים במערכת הבנקאית המקומית. על כן, </w:t>
      </w:r>
      <w:r w:rsidRPr="00032E21">
        <w:rPr>
          <w:rFonts w:hint="cs"/>
          <w:rtl/>
        </w:rPr>
        <w:t>מוצע בהצעת חוק זו לחייב את כל מפעילי המסופים האוטומטים למשיכת מזומן, בין אם הם בנקאיים ובין אם הם חוץ בנקאיים, לאפשר את משיכתו של השטר הנמוך ביותר הקיים במערכת הבנקאית באותה עת.</w:t>
      </w:r>
    </w:p>
    <w:p w:rsidR="00530EB0" w:rsidRDefault="00530EB0" w:rsidP="00032E21">
      <w:pPr>
        <w:pStyle w:val="Hesber"/>
        <w:rPr>
          <w:rFonts w:hint="cs"/>
          <w:rtl/>
        </w:rPr>
      </w:pPr>
    </w:p>
    <w:p w:rsidR="00530EB0" w:rsidRDefault="00530EB0" w:rsidP="00032E21">
      <w:pPr>
        <w:pStyle w:val="Hesber"/>
        <w:rPr>
          <w:rFonts w:hint="cs"/>
          <w:rtl/>
        </w:rPr>
      </w:pPr>
    </w:p>
    <w:p w:rsidR="00530EB0" w:rsidRDefault="00530EB0" w:rsidP="00032E21">
      <w:pPr>
        <w:pStyle w:val="Hesber"/>
        <w:rPr>
          <w:rFonts w:hint="cs"/>
          <w:rtl/>
        </w:rPr>
      </w:pPr>
    </w:p>
    <w:p w:rsidR="00530EB0" w:rsidRDefault="00530EB0" w:rsidP="00530EB0">
      <w:pPr>
        <w:pStyle w:val="Hesber"/>
        <w:rPr>
          <w:rtl/>
        </w:rPr>
      </w:pPr>
      <w:r>
        <w:rPr>
          <w:rtl/>
        </w:rPr>
        <w:t>---------------------------------</w:t>
      </w:r>
    </w:p>
    <w:p w:rsidR="00530EB0" w:rsidRDefault="00530EB0" w:rsidP="00530EB0">
      <w:pPr>
        <w:pStyle w:val="Hesber"/>
        <w:rPr>
          <w:rtl/>
        </w:rPr>
      </w:pPr>
      <w:r>
        <w:rPr>
          <w:rtl/>
        </w:rPr>
        <w:t>הוגשה ליו"ר הכנסת והסגנים</w:t>
      </w:r>
    </w:p>
    <w:p w:rsidR="00530EB0" w:rsidRDefault="00530EB0" w:rsidP="00530EB0">
      <w:pPr>
        <w:pStyle w:val="Hesber"/>
        <w:rPr>
          <w:rtl/>
        </w:rPr>
      </w:pPr>
      <w:r>
        <w:rPr>
          <w:rtl/>
        </w:rPr>
        <w:t>והונחה על שולחן הכנסת ביום</w:t>
      </w:r>
    </w:p>
    <w:p w:rsidR="00530EB0" w:rsidRPr="00032E21" w:rsidRDefault="00530EB0" w:rsidP="00530EB0">
      <w:pPr>
        <w:pStyle w:val="Hesber"/>
        <w:rPr>
          <w:rtl/>
        </w:rPr>
      </w:pPr>
      <w:r>
        <w:rPr>
          <w:rtl/>
        </w:rPr>
        <w:t xml:space="preserve">י"ח בסיוון </w:t>
      </w:r>
      <w:proofErr w:type="spellStart"/>
      <w:r>
        <w:rPr>
          <w:rtl/>
        </w:rPr>
        <w:t>התשע"ד</w:t>
      </w:r>
      <w:proofErr w:type="spellEnd"/>
      <w:r>
        <w:rPr>
          <w:rtl/>
        </w:rPr>
        <w:t xml:space="preserve"> – 16.6.14</w:t>
      </w:r>
    </w:p>
    <w:sectPr w:rsidR="00530EB0" w:rsidRPr="00032E21"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314" w:rsidRDefault="00CB3314">
      <w:r>
        <w:separator/>
      </w:r>
    </w:p>
  </w:endnote>
  <w:endnote w:type="continuationSeparator" w:id="0">
    <w:p w:rsidR="00CB3314" w:rsidRDefault="00CB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530EB0">
      <w:rPr>
        <w:rStyle w:val="aa"/>
        <w:noProof/>
        <w:rtl/>
      </w:rPr>
      <w:t>2</w:t>
    </w:r>
    <w:r>
      <w:rPr>
        <w:rStyle w:val="aa"/>
        <w:rtl/>
      </w:rPr>
      <w:fldChar w:fldCharType="end"/>
    </w:r>
  </w:p>
  <w:p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314" w:rsidRDefault="00CB3314">
      <w:r>
        <w:separator/>
      </w:r>
    </w:p>
  </w:footnote>
  <w:footnote w:type="continuationSeparator" w:id="0">
    <w:p w:rsidR="00CB3314" w:rsidRDefault="00CB3314">
      <w:r>
        <w:continuationSeparator/>
      </w:r>
    </w:p>
  </w:footnote>
  <w:footnote w:type="continuationNotice" w:id="1">
    <w:p w:rsidR="00CB3314" w:rsidRDefault="00CB3314"/>
  </w:footnote>
  <w:footnote w:id="2">
    <w:p w:rsidR="001B50EA" w:rsidRDefault="001B50EA" w:rsidP="001B50EA">
      <w:pPr>
        <w:pStyle w:val="a4"/>
      </w:pPr>
      <w:r>
        <w:rPr>
          <w:rStyle w:val="a5"/>
        </w:rPr>
        <w:footnoteRef/>
      </w:r>
      <w:r>
        <w:rPr>
          <w:sz w:val="20"/>
          <w:rtl/>
        </w:rPr>
        <w:t xml:space="preserve"> ס"ח </w:t>
      </w:r>
      <w:proofErr w:type="spellStart"/>
      <w:r>
        <w:rPr>
          <w:sz w:val="20"/>
          <w:rtl/>
        </w:rPr>
        <w:t>התשמ"א</w:t>
      </w:r>
      <w:proofErr w:type="spellEnd"/>
      <w:r>
        <w:rPr>
          <w:sz w:val="20"/>
          <w:rtl/>
        </w:rPr>
        <w:t>, עמ' 258.</w:t>
      </w:r>
    </w:p>
  </w:footnote>
  <w:footnote w:id="3">
    <w:p w:rsidR="00F91A8E" w:rsidRDefault="00F91A8E">
      <w:pPr>
        <w:pStyle w:val="a4"/>
      </w:pPr>
      <w:r>
        <w:rPr>
          <w:rStyle w:val="a5"/>
        </w:rPr>
        <w:footnoteRef/>
      </w:r>
      <w:r>
        <w:rPr>
          <w:rtl/>
        </w:rPr>
        <w:t xml:space="preserve"> </w:t>
      </w:r>
      <w:r>
        <w:rPr>
          <w:rFonts w:hint="cs"/>
          <w:rtl/>
        </w:rPr>
        <w:t xml:space="preserve">ס"ח </w:t>
      </w:r>
      <w:proofErr w:type="spellStart"/>
      <w:r>
        <w:rPr>
          <w:rFonts w:hint="cs"/>
          <w:rtl/>
        </w:rPr>
        <w:t>התש"ע</w:t>
      </w:r>
      <w:proofErr w:type="spellEnd"/>
      <w:r>
        <w:rPr>
          <w:rFonts w:hint="cs"/>
          <w:rtl/>
        </w:rPr>
        <w:t>, עמ' 452.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51842lsCopyOriginal.docx"/>
    <w:docVar w:name="StartMode" w:val="3"/>
  </w:docVars>
  <w:rsids>
    <w:rsidRoot w:val="00DB7060"/>
    <w:rsid w:val="00015B27"/>
    <w:rsid w:val="00032E21"/>
    <w:rsid w:val="000656C8"/>
    <w:rsid w:val="00096DCA"/>
    <w:rsid w:val="000A542E"/>
    <w:rsid w:val="000D5725"/>
    <w:rsid w:val="001207F8"/>
    <w:rsid w:val="00121924"/>
    <w:rsid w:val="001279A8"/>
    <w:rsid w:val="0014195F"/>
    <w:rsid w:val="00152609"/>
    <w:rsid w:val="00153E1B"/>
    <w:rsid w:val="001A0623"/>
    <w:rsid w:val="001B50EA"/>
    <w:rsid w:val="001C23B0"/>
    <w:rsid w:val="001F4A26"/>
    <w:rsid w:val="00200909"/>
    <w:rsid w:val="00203A7F"/>
    <w:rsid w:val="002200A1"/>
    <w:rsid w:val="002362BF"/>
    <w:rsid w:val="00241B97"/>
    <w:rsid w:val="00254605"/>
    <w:rsid w:val="002728B4"/>
    <w:rsid w:val="00280F37"/>
    <w:rsid w:val="00292712"/>
    <w:rsid w:val="002C2CB0"/>
    <w:rsid w:val="002C2E29"/>
    <w:rsid w:val="003232A2"/>
    <w:rsid w:val="00346CBF"/>
    <w:rsid w:val="003710F6"/>
    <w:rsid w:val="00386E88"/>
    <w:rsid w:val="003A5F06"/>
    <w:rsid w:val="003D74A0"/>
    <w:rsid w:val="003F19BC"/>
    <w:rsid w:val="004033D8"/>
    <w:rsid w:val="00474D22"/>
    <w:rsid w:val="004D3876"/>
    <w:rsid w:val="004E4552"/>
    <w:rsid w:val="004F7111"/>
    <w:rsid w:val="00512825"/>
    <w:rsid w:val="00524004"/>
    <w:rsid w:val="00530EB0"/>
    <w:rsid w:val="00553C9D"/>
    <w:rsid w:val="005B064E"/>
    <w:rsid w:val="005D51AE"/>
    <w:rsid w:val="005D5F02"/>
    <w:rsid w:val="00635832"/>
    <w:rsid w:val="00644940"/>
    <w:rsid w:val="00671EE2"/>
    <w:rsid w:val="006818A9"/>
    <w:rsid w:val="00687E43"/>
    <w:rsid w:val="006C1D0D"/>
    <w:rsid w:val="0070601E"/>
    <w:rsid w:val="00711F78"/>
    <w:rsid w:val="00754D62"/>
    <w:rsid w:val="00765F66"/>
    <w:rsid w:val="007C7BDE"/>
    <w:rsid w:val="007D5A12"/>
    <w:rsid w:val="007E59F9"/>
    <w:rsid w:val="00810BCD"/>
    <w:rsid w:val="00812C98"/>
    <w:rsid w:val="00814D92"/>
    <w:rsid w:val="00892135"/>
    <w:rsid w:val="00895449"/>
    <w:rsid w:val="00897879"/>
    <w:rsid w:val="008C2DDC"/>
    <w:rsid w:val="008F0D63"/>
    <w:rsid w:val="008F2C35"/>
    <w:rsid w:val="0091204F"/>
    <w:rsid w:val="009203DB"/>
    <w:rsid w:val="0092334F"/>
    <w:rsid w:val="00943386"/>
    <w:rsid w:val="00957589"/>
    <w:rsid w:val="00982412"/>
    <w:rsid w:val="009F709A"/>
    <w:rsid w:val="00A166E7"/>
    <w:rsid w:val="00A225B6"/>
    <w:rsid w:val="00A26BD6"/>
    <w:rsid w:val="00A82CB7"/>
    <w:rsid w:val="00A97312"/>
    <w:rsid w:val="00AA35FC"/>
    <w:rsid w:val="00AB6EDE"/>
    <w:rsid w:val="00AC36F7"/>
    <w:rsid w:val="00AE75C4"/>
    <w:rsid w:val="00AF55BB"/>
    <w:rsid w:val="00B35784"/>
    <w:rsid w:val="00BC45FB"/>
    <w:rsid w:val="00BF7473"/>
    <w:rsid w:val="00C54BC5"/>
    <w:rsid w:val="00C9176A"/>
    <w:rsid w:val="00CB3314"/>
    <w:rsid w:val="00D01A30"/>
    <w:rsid w:val="00D2241A"/>
    <w:rsid w:val="00D867D7"/>
    <w:rsid w:val="00DB7060"/>
    <w:rsid w:val="00DE3153"/>
    <w:rsid w:val="00E13C27"/>
    <w:rsid w:val="00E24FEC"/>
    <w:rsid w:val="00E33BBD"/>
    <w:rsid w:val="00E45103"/>
    <w:rsid w:val="00E665B9"/>
    <w:rsid w:val="00E759D6"/>
    <w:rsid w:val="00EA01E6"/>
    <w:rsid w:val="00EA758F"/>
    <w:rsid w:val="00EB3006"/>
    <w:rsid w:val="00ED4A6F"/>
    <w:rsid w:val="00EF3A3A"/>
    <w:rsid w:val="00F26616"/>
    <w:rsid w:val="00F91A8E"/>
    <w:rsid w:val="00FB2117"/>
    <w:rsid w:val="00FE2071"/>
    <w:rsid w:val="00FE22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aliases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A97312"/>
    <w:pPr>
      <w:spacing w:before="0" w:line="240" w:lineRule="auto"/>
    </w:pPr>
    <w:rPr>
      <w:rFonts w:ascii="Tahoma" w:hAnsi="Tahoma" w:cs="Tahoma"/>
      <w:sz w:val="16"/>
      <w:szCs w:val="16"/>
    </w:rPr>
  </w:style>
  <w:style w:type="character" w:customStyle="1" w:styleId="ac">
    <w:name w:val="טקסט בלונים תו"/>
    <w:basedOn w:val="a0"/>
    <w:link w:val="ab"/>
    <w:semiHidden/>
    <w:rsid w:val="00A97312"/>
    <w:rPr>
      <w:rFonts w:ascii="Tahoma" w:hAnsi="Tahoma" w:cs="Tahoma"/>
      <w:color w:val="000000"/>
      <w:spacing w:val="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aliases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A97312"/>
    <w:pPr>
      <w:spacing w:before="0" w:line="240" w:lineRule="auto"/>
    </w:pPr>
    <w:rPr>
      <w:rFonts w:ascii="Tahoma" w:hAnsi="Tahoma" w:cs="Tahoma"/>
      <w:sz w:val="16"/>
      <w:szCs w:val="16"/>
    </w:rPr>
  </w:style>
  <w:style w:type="character" w:customStyle="1" w:styleId="ac">
    <w:name w:val="טקסט בלונים תו"/>
    <w:basedOn w:val="a0"/>
    <w:link w:val="ab"/>
    <w:semiHidden/>
    <w:rsid w:val="00A97312"/>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D1587-7F46-4111-B66E-E3DD379E893F}"/>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1267</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ליעד אילני</dc:creator>
  <cp:lastModifiedBy>לילך יעיש</cp:lastModifiedBy>
  <cp:revision>2</cp:revision>
  <cp:lastPrinted>2014-06-12T06:48:00Z</cp:lastPrinted>
  <dcterms:created xsi:type="dcterms:W3CDTF">2014-06-12T06:49:00Z</dcterms:created>
  <dcterms:modified xsi:type="dcterms:W3CDTF">2014-06-12T06:49:00Z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