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58C" w:rsidRPr="0096273D" w:rsidRDefault="00F1058C" w:rsidP="00F1058C">
      <w:pPr>
        <w:pStyle w:val="HeadHatzaotHok"/>
        <w:jc w:val="right"/>
        <w:rPr>
          <w:b w:val="0"/>
          <w:bCs w:val="0"/>
          <w:szCs w:val="20"/>
        </w:rPr>
      </w:pPr>
      <w:r w:rsidRPr="0096273D">
        <w:rPr>
          <w:rFonts w:hint="cs"/>
          <w:b w:val="0"/>
          <w:bCs w:val="0"/>
          <w:szCs w:val="20"/>
          <w:rtl/>
        </w:rPr>
        <w:t xml:space="preserve">מספר פנימי: </w:t>
      </w:r>
      <w:bookmarkStart w:id="0" w:name="ItemID"/>
      <w:r w:rsidRPr="0096273D">
        <w:rPr>
          <w:b w:val="0"/>
          <w:bCs w:val="0"/>
          <w:szCs w:val="20"/>
          <w:rtl/>
        </w:rPr>
        <w:t>548580</w:t>
      </w:r>
      <w:bookmarkEnd w:id="0"/>
    </w:p>
    <w:p w:rsidR="00F1058C" w:rsidRPr="00DB7060" w:rsidRDefault="00F1058C" w:rsidP="00F1058C">
      <w:pPr>
        <w:pStyle w:val="HeadHatzaotHok"/>
        <w:rPr>
          <w:sz w:val="28"/>
          <w:szCs w:val="28"/>
          <w:rtl/>
        </w:rPr>
      </w:pPr>
      <w:r w:rsidRPr="00DB7060">
        <w:rPr>
          <w:rFonts w:hint="cs"/>
          <w:sz w:val="28"/>
          <w:szCs w:val="28"/>
          <w:rtl/>
        </w:rPr>
        <w:t xml:space="preserve">הכנסת </w:t>
      </w:r>
      <w:bookmarkStart w:id="1" w:name="KnessetNum"/>
      <w:r w:rsidRPr="00D421F5">
        <w:rPr>
          <w:sz w:val="28"/>
          <w:szCs w:val="28"/>
          <w:rtl/>
        </w:rPr>
        <w:t>התשע-עשרה</w:t>
      </w:r>
      <w:bookmarkEnd w:id="1"/>
    </w:p>
    <w:p w:rsidR="00F1058C" w:rsidRDefault="00F1058C" w:rsidP="00F1058C">
      <w:pPr>
        <w:rPr>
          <w:rFonts w:cs="David"/>
          <w:sz w:val="26"/>
          <w:szCs w:val="26"/>
          <w:rtl/>
        </w:rPr>
      </w:pPr>
    </w:p>
    <w:p w:rsidR="00F1058C" w:rsidRPr="00B11B5B" w:rsidRDefault="00F1058C" w:rsidP="00F1058C">
      <w:pPr>
        <w:pStyle w:val="David"/>
        <w:ind w:left="2880" w:firstLine="663"/>
        <w:rPr>
          <w:b/>
          <w:bCs/>
        </w:rPr>
      </w:pPr>
      <w:bookmarkStart w:id="2" w:name="MKsSingleOrMulti"/>
      <w:bookmarkStart w:id="3" w:name="_GoBack"/>
      <w:bookmarkEnd w:id="3"/>
      <w:r w:rsidRPr="00B11B5B">
        <w:rPr>
          <w:b/>
          <w:bCs/>
          <w:rtl/>
        </w:rPr>
        <w:t>יוזמ</w:t>
      </w:r>
      <w:r>
        <w:rPr>
          <w:rFonts w:hint="cs"/>
          <w:b/>
          <w:bCs/>
          <w:rtl/>
        </w:rPr>
        <w:t>ות</w:t>
      </w:r>
      <w:r w:rsidRPr="00B11B5B">
        <w:rPr>
          <w:b/>
          <w:bCs/>
          <w:rtl/>
        </w:rPr>
        <w:t>:      חבר</w:t>
      </w:r>
      <w:r>
        <w:rPr>
          <w:rFonts w:hint="cs"/>
          <w:b/>
          <w:bCs/>
          <w:rtl/>
        </w:rPr>
        <w:t>ות</w:t>
      </w:r>
      <w:r w:rsidRPr="00B11B5B">
        <w:rPr>
          <w:b/>
          <w:bCs/>
          <w:rtl/>
        </w:rPr>
        <w:t xml:space="preserve"> הכנסת</w:t>
      </w:r>
      <w:bookmarkEnd w:id="2"/>
      <w:r w:rsidRPr="00B11B5B">
        <w:rPr>
          <w:b/>
          <w:bCs/>
        </w:rPr>
        <w:tab/>
      </w:r>
      <w:bookmarkStart w:id="4" w:name="MKs"/>
      <w:r w:rsidRPr="00B11B5B">
        <w:rPr>
          <w:b/>
          <w:bCs/>
          <w:rtl/>
        </w:rPr>
        <w:t>עדי קול</w:t>
      </w:r>
    </w:p>
    <w:p w:rsidR="00F1058C" w:rsidRPr="00B11B5B" w:rsidRDefault="00F1058C" w:rsidP="00F1058C">
      <w:pPr>
        <w:pStyle w:val="David"/>
        <w:ind w:left="2880" w:firstLine="663"/>
        <w:rPr>
          <w:b/>
          <w:bCs/>
        </w:rPr>
      </w:pPr>
      <w:r w:rsidRPr="00B11B5B">
        <w:rPr>
          <w:b/>
          <w:bCs/>
        </w:rPr>
        <w:tab/>
      </w:r>
      <w:r w:rsidRPr="00B11B5B">
        <w:rPr>
          <w:b/>
          <w:bCs/>
        </w:rPr>
        <w:tab/>
      </w:r>
      <w:r w:rsidRPr="00B11B5B">
        <w:rPr>
          <w:b/>
          <w:bCs/>
        </w:rPr>
        <w:tab/>
      </w:r>
      <w:r w:rsidRPr="00B11B5B">
        <w:rPr>
          <w:b/>
          <w:bCs/>
        </w:rPr>
        <w:tab/>
      </w:r>
      <w:r w:rsidRPr="00B11B5B">
        <w:rPr>
          <w:b/>
          <w:bCs/>
        </w:rPr>
        <w:tab/>
      </w:r>
      <w:r w:rsidRPr="00B11B5B">
        <w:rPr>
          <w:b/>
          <w:bCs/>
          <w:rtl/>
        </w:rPr>
        <w:t>איילת שקד</w:t>
      </w:r>
    </w:p>
    <w:p w:rsidR="00F1058C" w:rsidRPr="00B11B5B" w:rsidRDefault="00F1058C" w:rsidP="00F1058C">
      <w:pPr>
        <w:pStyle w:val="David"/>
        <w:ind w:left="2880" w:firstLine="663"/>
        <w:rPr>
          <w:b/>
          <w:bCs/>
        </w:rPr>
      </w:pPr>
      <w:r w:rsidRPr="00B11B5B">
        <w:rPr>
          <w:b/>
          <w:bCs/>
        </w:rPr>
        <w:tab/>
      </w:r>
      <w:r w:rsidRPr="00B11B5B">
        <w:rPr>
          <w:b/>
          <w:bCs/>
        </w:rPr>
        <w:tab/>
      </w:r>
      <w:r w:rsidRPr="00B11B5B">
        <w:rPr>
          <w:b/>
          <w:bCs/>
        </w:rPr>
        <w:tab/>
      </w:r>
      <w:r w:rsidRPr="00B11B5B">
        <w:rPr>
          <w:b/>
          <w:bCs/>
        </w:rPr>
        <w:tab/>
      </w:r>
      <w:r w:rsidRPr="00B11B5B">
        <w:rPr>
          <w:b/>
          <w:bCs/>
        </w:rPr>
        <w:tab/>
      </w:r>
      <w:r w:rsidRPr="00B11B5B">
        <w:rPr>
          <w:b/>
          <w:bCs/>
          <w:rtl/>
        </w:rPr>
        <w:t>מרב מיכאלי</w:t>
      </w:r>
    </w:p>
    <w:p w:rsidR="00F1058C" w:rsidRPr="00B11B5B" w:rsidRDefault="00F1058C" w:rsidP="00F1058C">
      <w:pPr>
        <w:pStyle w:val="David"/>
        <w:ind w:left="2880" w:firstLine="663"/>
        <w:rPr>
          <w:b/>
          <w:bCs/>
        </w:rPr>
      </w:pPr>
      <w:r w:rsidRPr="00B11B5B">
        <w:rPr>
          <w:b/>
          <w:bCs/>
        </w:rPr>
        <w:tab/>
      </w:r>
      <w:r w:rsidRPr="00B11B5B">
        <w:rPr>
          <w:b/>
          <w:bCs/>
        </w:rPr>
        <w:tab/>
      </w:r>
      <w:r w:rsidRPr="00B11B5B">
        <w:rPr>
          <w:b/>
          <w:bCs/>
        </w:rPr>
        <w:tab/>
      </w:r>
      <w:r w:rsidRPr="00B11B5B">
        <w:rPr>
          <w:b/>
          <w:bCs/>
        </w:rPr>
        <w:tab/>
      </w:r>
      <w:r w:rsidRPr="00B11B5B">
        <w:rPr>
          <w:b/>
          <w:bCs/>
        </w:rPr>
        <w:tab/>
      </w:r>
      <w:r w:rsidRPr="00B11B5B">
        <w:rPr>
          <w:b/>
          <w:bCs/>
          <w:rtl/>
        </w:rPr>
        <w:t>מירי רגב</w:t>
      </w:r>
    </w:p>
    <w:p w:rsidR="00F1058C" w:rsidRPr="00C24568" w:rsidRDefault="00F1058C" w:rsidP="00F1058C">
      <w:pPr>
        <w:pStyle w:val="David"/>
        <w:ind w:left="2880" w:firstLine="663"/>
        <w:rPr>
          <w:b/>
          <w:bCs/>
          <w:rtl/>
        </w:rPr>
      </w:pPr>
      <w:r w:rsidRPr="00B11B5B">
        <w:rPr>
          <w:b/>
          <w:bCs/>
        </w:rPr>
        <w:tab/>
      </w:r>
      <w:r w:rsidRPr="00B11B5B">
        <w:rPr>
          <w:b/>
          <w:bCs/>
        </w:rPr>
        <w:tab/>
      </w:r>
      <w:r w:rsidRPr="00B11B5B">
        <w:rPr>
          <w:b/>
          <w:bCs/>
        </w:rPr>
        <w:tab/>
      </w:r>
      <w:r w:rsidRPr="00B11B5B">
        <w:rPr>
          <w:b/>
          <w:bCs/>
        </w:rPr>
        <w:tab/>
      </w:r>
      <w:r w:rsidRPr="00B11B5B">
        <w:rPr>
          <w:b/>
          <w:bCs/>
        </w:rPr>
        <w:tab/>
      </w:r>
      <w:r w:rsidRPr="00B11B5B">
        <w:rPr>
          <w:b/>
          <w:bCs/>
          <w:rtl/>
        </w:rPr>
        <w:t>קארין אלהרר</w:t>
      </w:r>
      <w:bookmarkEnd w:id="4"/>
    </w:p>
    <w:p w:rsidR="00F1058C" w:rsidRDefault="00F1058C" w:rsidP="00F1058C">
      <w:pPr>
        <w:ind w:firstLine="3543"/>
        <w:rPr>
          <w:rFonts w:cs="David"/>
          <w:sz w:val="26"/>
          <w:szCs w:val="26"/>
          <w:rtl/>
        </w:rPr>
      </w:pPr>
      <w:r>
        <w:rPr>
          <w:noProof/>
          <w:rtl/>
          <w:lang w:eastAsia="en-US"/>
        </w:rPr>
        <mc:AlternateContent>
          <mc:Choice Requires="wps">
            <w:drawing>
              <wp:anchor distT="0" distB="0" distL="114300" distR="114300" simplePos="0" relativeHeight="251660288" behindDoc="0" locked="0" layoutInCell="1" allowOverlap="1" wp14:anchorId="4FB3A47B" wp14:editId="39B9D9AD">
                <wp:simplePos x="0" y="0"/>
                <wp:positionH relativeFrom="column">
                  <wp:posOffset>1270</wp:posOffset>
                </wp:positionH>
                <wp:positionV relativeFrom="paragraph">
                  <wp:posOffset>48895</wp:posOffset>
                </wp:positionV>
                <wp:extent cx="3869690" cy="15875"/>
                <wp:effectExtent l="0" t="38100" r="0" b="41275"/>
                <wp:wrapNone/>
                <wp:docPr id="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9690" cy="15875"/>
                        </a:xfrm>
                        <a:custGeom>
                          <a:avLst/>
                          <a:gdLst>
                            <a:gd name="T0" fmla="*/ 0 w 6094"/>
                            <a:gd name="T1" fmla="*/ 25 h 25"/>
                            <a:gd name="T2" fmla="*/ 6094 w 6094"/>
                            <a:gd name="T3" fmla="*/ 0 h 25"/>
                          </a:gdLst>
                          <a:ahLst/>
                          <a:cxnLst>
                            <a:cxn ang="0">
                              <a:pos x="T0" y="T1"/>
                            </a:cxn>
                            <a:cxn ang="0">
                              <a:pos x="T2" y="T3"/>
                            </a:cxn>
                          </a:cxnLst>
                          <a:rect l="0" t="0" r="r" b="b"/>
                          <a:pathLst>
                            <a:path w="6094" h="25">
                              <a:moveTo>
                                <a:pt x="0" y="25"/>
                              </a:moveTo>
                              <a:lnTo>
                                <a:pt x="6094" y="0"/>
                              </a:lnTo>
                            </a:path>
                          </a:pathLst>
                        </a:custGeom>
                        <a:noFill/>
                        <a:ln w="9525">
                          <a:noFill/>
                          <a:round/>
                          <a:headEnd/>
                          <a:tailEn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4.8pt,3.85pt" coordsize="60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" filled="f" stroked="f">
                <v:path arrowok="t" o:connecttype="custom" o:connectlocs="0,15875;3869690,0" o:connectangles="0,0"/>
              </v:polyline>
            </w:pict>
          </mc:Fallback>
        </mc:AlternateContent>
      </w:r>
      <w:bookmarkStart w:id="5" w:name="MKsSingleOrMulti1"/>
      <w:bookmarkEnd w:id="5"/>
      <w:r>
        <w:rPr>
          <w:rFonts w:cs="David" w:hint="cs"/>
          <w:sz w:val="26"/>
          <w:szCs w:val="26"/>
          <w:rtl/>
        </w:rPr>
        <w:tab/>
      </w:r>
      <w:bookmarkStart w:id="6" w:name="MKs1"/>
      <w:bookmarkEnd w:id="6"/>
    </w:p>
    <w:p w:rsidR="00F1058C" w:rsidRDefault="00F1058C" w:rsidP="00F1058C">
      <w:pPr>
        <w:ind w:left="2919" w:firstLine="720"/>
        <w:rPr>
          <w:rFonts w:cs="David"/>
          <w:sz w:val="26"/>
          <w:szCs w:val="26"/>
          <w:rtl/>
        </w:rPr>
      </w:pPr>
      <w:r>
        <w:rPr>
          <w:rFonts w:cs="David"/>
          <w:noProof/>
          <w:sz w:val="26"/>
          <w:szCs w:val="26"/>
          <w:rtl/>
          <w:lang w:eastAsia="en-US"/>
        </w:rPr>
        <mc:AlternateContent>
          <mc:Choice Requires="wps">
            <w:drawing>
              <wp:anchor distT="0" distB="0" distL="114300" distR="114300" simplePos="0" relativeHeight="251659264" behindDoc="0" locked="0" layoutInCell="1" allowOverlap="1" wp14:anchorId="29E09745" wp14:editId="2817E83E">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5.55pt,3.75pt" coordsize="61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filled="f">
                <v:path arrowok="t" o:connecttype="custom" o:connectlocs="0,17145;3879215,0" o:connectangles="0,0"/>
              </v:polyline>
            </w:pict>
          </mc:Fallback>
        </mc:AlternateContent>
      </w:r>
      <w:r>
        <w:rPr>
          <w:rFonts w:cs="David" w:hint="cs"/>
          <w:sz w:val="26"/>
          <w:szCs w:val="26"/>
          <w:rtl/>
        </w:rPr>
        <w:tab/>
      </w:r>
      <w:r>
        <w:rPr>
          <w:rFonts w:cs="David" w:hint="cs"/>
          <w:sz w:val="26"/>
          <w:szCs w:val="26"/>
          <w:rtl/>
        </w:rPr>
        <w:tab/>
      </w:r>
      <w:r>
        <w:rPr>
          <w:rFonts w:cs="David" w:hint="cs"/>
          <w:sz w:val="26"/>
          <w:szCs w:val="26"/>
          <w:rtl/>
        </w:rPr>
        <w:tab/>
      </w:r>
      <w:r>
        <w:rPr>
          <w:rFonts w:cs="David" w:hint="cs"/>
          <w:sz w:val="26"/>
          <w:szCs w:val="26"/>
          <w:rtl/>
        </w:rPr>
        <w:tab/>
      </w:r>
      <w:bookmarkStart w:id="7" w:name="LawNum"/>
      <w:r w:rsidR="00035B62" w:rsidRPr="00035B62">
        <w:rPr>
          <w:rFonts w:cs="David"/>
          <w:sz w:val="26"/>
          <w:szCs w:val="26"/>
          <w:rtl/>
        </w:rPr>
        <w:t>פ/2409/19</w:t>
      </w:r>
      <w:bookmarkEnd w:id="7"/>
      <w:r>
        <w:rPr>
          <w:rFonts w:cs="David" w:hint="cs"/>
          <w:sz w:val="26"/>
          <w:szCs w:val="26"/>
          <w:rtl/>
        </w:rPr>
        <w:tab/>
      </w:r>
      <w:r>
        <w:rPr>
          <w:rFonts w:cs="David" w:hint="cs"/>
          <w:sz w:val="26"/>
          <w:szCs w:val="26"/>
          <w:rtl/>
        </w:rPr>
        <w:tab/>
      </w:r>
      <w:r>
        <w:rPr>
          <w:rFonts w:cs="David" w:hint="cs"/>
          <w:sz w:val="26"/>
          <w:szCs w:val="26"/>
          <w:rtl/>
        </w:rPr>
        <w:tab/>
      </w:r>
    </w:p>
    <w:p w:rsidR="00F1058C" w:rsidRDefault="00F1058C" w:rsidP="00F1058C">
      <w:pPr>
        <w:spacing w:before="0" w:line="360" w:lineRule="auto"/>
        <w:ind w:left="2880" w:firstLine="720"/>
        <w:rPr>
          <w:rFonts w:cs="David"/>
          <w:sz w:val="26"/>
          <w:szCs w:val="26"/>
          <w:rtl/>
        </w:rPr>
      </w:pPr>
    </w:p>
    <w:p w:rsidR="00F1058C" w:rsidRDefault="00F1058C" w:rsidP="00F1058C">
      <w:pPr>
        <w:pStyle w:val="HeadHatzaotHok"/>
        <w:tabs>
          <w:tab w:val="left" w:pos="4071"/>
          <w:tab w:val="center" w:pos="4819"/>
        </w:tabs>
        <w:spacing w:before="0"/>
        <w:rPr>
          <w:sz w:val="26"/>
          <w:rtl/>
        </w:rPr>
      </w:pPr>
      <w:bookmarkStart w:id="8" w:name="Title"/>
      <w:r w:rsidRPr="00DC1A62">
        <w:rPr>
          <w:sz w:val="26"/>
          <w:rtl/>
        </w:rPr>
        <w:t xml:space="preserve">הצעת חוק תובענות ייצוגיות (תיקון </w:t>
      </w:r>
      <w:r>
        <w:rPr>
          <w:rFonts w:hint="cs"/>
          <w:sz w:val="26"/>
          <w:rtl/>
        </w:rPr>
        <w:t>–</w:t>
      </w:r>
      <w:r w:rsidRPr="00DC1A62">
        <w:rPr>
          <w:sz w:val="26"/>
          <w:rtl/>
        </w:rPr>
        <w:t xml:space="preserve"> הסדרי פשרה והסתלקות), </w:t>
      </w:r>
      <w:proofErr w:type="spellStart"/>
      <w:r w:rsidRPr="00DC1A62">
        <w:rPr>
          <w:sz w:val="26"/>
          <w:rtl/>
        </w:rPr>
        <w:t>התשע"ד</w:t>
      </w:r>
      <w:proofErr w:type="spellEnd"/>
      <w:r>
        <w:rPr>
          <w:rFonts w:hint="cs"/>
          <w:sz w:val="26"/>
          <w:rtl/>
        </w:rPr>
        <w:t>–</w:t>
      </w:r>
      <w:r w:rsidRPr="00DC1A62">
        <w:rPr>
          <w:sz w:val="26"/>
          <w:rtl/>
        </w:rPr>
        <w:t>2014</w:t>
      </w:r>
      <w:bookmarkEnd w:id="8"/>
    </w:p>
    <w:tbl>
      <w:tblPr>
        <w:bidiVisual/>
        <w:tblW w:w="9636" w:type="dxa"/>
        <w:tblLayout w:type="fixed"/>
        <w:tblCellMar>
          <w:top w:w="57" w:type="dxa"/>
          <w:left w:w="0" w:type="dxa"/>
          <w:bottom w:w="57" w:type="dxa"/>
          <w:right w:w="0" w:type="dxa"/>
        </w:tblCellMar>
        <w:tblLook w:val="01E0" w:firstRow="1" w:lastRow="1" w:firstColumn="1" w:lastColumn="1" w:noHBand="0" w:noVBand="0"/>
      </w:tblPr>
      <w:tblGrid>
        <w:gridCol w:w="1869"/>
        <w:gridCol w:w="623"/>
        <w:gridCol w:w="624"/>
        <w:gridCol w:w="624"/>
        <w:gridCol w:w="624"/>
        <w:gridCol w:w="624"/>
        <w:gridCol w:w="624"/>
        <w:gridCol w:w="4024"/>
      </w:tblGrid>
      <w:tr w:rsidR="00F1058C" w:rsidTr="0096273D">
        <w:trPr>
          <w:cantSplit/>
        </w:trPr>
        <w:tc>
          <w:tcPr>
            <w:tcW w:w="1869" w:type="dxa"/>
          </w:tcPr>
          <w:p w:rsidR="00F1058C" w:rsidRPr="00BD7844" w:rsidRDefault="00F1058C" w:rsidP="00B11B5B">
            <w:pPr>
              <w:pStyle w:val="TableSideHeading"/>
              <w:ind w:right="0"/>
            </w:pPr>
            <w:r w:rsidRPr="00FA7FD0">
              <w:rPr>
                <w:rFonts w:hint="cs"/>
                <w:rtl/>
              </w:rPr>
              <w:t>תיקון סעיף 16</w:t>
            </w:r>
          </w:p>
        </w:tc>
        <w:tc>
          <w:tcPr>
            <w:tcW w:w="623" w:type="dxa"/>
          </w:tcPr>
          <w:p w:rsidR="00F1058C" w:rsidRPr="00BD7844" w:rsidRDefault="00F1058C" w:rsidP="00B11B5B">
            <w:pPr>
              <w:pStyle w:val="TableText"/>
              <w:ind w:right="0"/>
              <w:jc w:val="both"/>
            </w:pPr>
            <w:r w:rsidRPr="00BD7844">
              <w:rPr>
                <w:rFonts w:hint="cs"/>
                <w:rtl/>
              </w:rPr>
              <w:t>1.</w:t>
            </w:r>
          </w:p>
        </w:tc>
        <w:tc>
          <w:tcPr>
            <w:tcW w:w="7144" w:type="dxa"/>
            <w:gridSpan w:val="6"/>
          </w:tcPr>
          <w:p w:rsidR="00F1058C" w:rsidRPr="0096273D" w:rsidRDefault="00F1058C" w:rsidP="0096273D">
            <w:pPr>
              <w:pStyle w:val="TableBlock"/>
              <w:tabs>
                <w:tab w:val="left" w:pos="624"/>
                <w:tab w:val="left" w:pos="1247"/>
              </w:tabs>
            </w:pPr>
            <w:r w:rsidRPr="0096273D">
              <w:rPr>
                <w:rFonts w:hint="cs"/>
                <w:rtl/>
              </w:rPr>
              <w:t xml:space="preserve">בחוק תובענות ייצוגיות, </w:t>
            </w:r>
            <w:proofErr w:type="spellStart"/>
            <w:r w:rsidRPr="0096273D">
              <w:rPr>
                <w:rFonts w:hint="cs"/>
                <w:rtl/>
              </w:rPr>
              <w:t>התשס"ו</w:t>
            </w:r>
            <w:proofErr w:type="spellEnd"/>
            <w:r w:rsidR="0096273D">
              <w:rPr>
                <w:rFonts w:hint="eastAsia"/>
                <w:rtl/>
              </w:rPr>
              <w:t>–</w:t>
            </w:r>
            <w:r w:rsidRPr="0096273D">
              <w:rPr>
                <w:rFonts w:hint="cs"/>
                <w:rtl/>
              </w:rPr>
              <w:t>2006</w:t>
            </w:r>
            <w:r w:rsidRPr="0096273D">
              <w:rPr>
                <w:szCs w:val="20"/>
                <w:rtl/>
              </w:rPr>
              <w:footnoteReference w:id="2"/>
            </w:r>
            <w:r w:rsidRPr="0096273D">
              <w:rPr>
                <w:rFonts w:hint="cs"/>
                <w:szCs w:val="20"/>
                <w:rtl/>
              </w:rPr>
              <w:t xml:space="preserve"> </w:t>
            </w:r>
            <w:r w:rsidR="0096273D">
              <w:rPr>
                <w:rFonts w:hint="cs"/>
                <w:rtl/>
              </w:rPr>
              <w:t xml:space="preserve">(להלן – </w:t>
            </w:r>
            <w:r w:rsidRPr="0096273D">
              <w:rPr>
                <w:rFonts w:hint="cs"/>
                <w:rtl/>
              </w:rPr>
              <w:t>החוק העיקרי), בסעיף 16(א), בסופו יבוא "</w:t>
            </w:r>
            <w:r w:rsidR="0096273D">
              <w:rPr>
                <w:rtl/>
              </w:rPr>
              <w:t xml:space="preserve">בהחלטתו </w:t>
            </w:r>
            <w:r w:rsidRPr="0096273D">
              <w:rPr>
                <w:rtl/>
              </w:rPr>
              <w:t>אם לאשר טובת הנאה כאמור, ישקול בית המשפט את התועלת שהביאה הבקשה לאישור או התובענה הייצוגית לחברי הקבוצה</w:t>
            </w:r>
            <w:r w:rsidR="0096273D">
              <w:rPr>
                <w:rFonts w:hint="cs"/>
                <w:rtl/>
              </w:rPr>
              <w:t>."</w:t>
            </w:r>
          </w:p>
        </w:tc>
      </w:tr>
      <w:tr w:rsidR="00F1058C" w:rsidTr="0096273D">
        <w:trPr>
          <w:cantSplit/>
        </w:trPr>
        <w:tc>
          <w:tcPr>
            <w:tcW w:w="1869" w:type="dxa"/>
          </w:tcPr>
          <w:p w:rsidR="00F1058C" w:rsidRPr="00BD7844" w:rsidRDefault="00F1058C" w:rsidP="00B11B5B">
            <w:pPr>
              <w:pStyle w:val="TableSideHeading"/>
              <w:ind w:right="0"/>
            </w:pPr>
            <w:r w:rsidRPr="00FA7FD0">
              <w:rPr>
                <w:rFonts w:hint="cs"/>
                <w:rtl/>
              </w:rPr>
              <w:t>תיקון סעיף 18</w:t>
            </w:r>
          </w:p>
        </w:tc>
        <w:tc>
          <w:tcPr>
            <w:tcW w:w="623" w:type="dxa"/>
          </w:tcPr>
          <w:p w:rsidR="00F1058C" w:rsidRPr="00BD7844" w:rsidRDefault="00F1058C" w:rsidP="00B11B5B">
            <w:pPr>
              <w:pStyle w:val="TableText"/>
              <w:ind w:right="0"/>
              <w:jc w:val="both"/>
            </w:pPr>
            <w:r w:rsidRPr="00BD7844">
              <w:rPr>
                <w:rFonts w:hint="cs"/>
                <w:rtl/>
              </w:rPr>
              <w:t>2.</w:t>
            </w:r>
          </w:p>
        </w:tc>
        <w:tc>
          <w:tcPr>
            <w:tcW w:w="7144" w:type="dxa"/>
            <w:gridSpan w:val="6"/>
          </w:tcPr>
          <w:p w:rsidR="00F1058C" w:rsidRPr="00AA02CB" w:rsidRDefault="00F1058C" w:rsidP="0096273D">
            <w:pPr>
              <w:pStyle w:val="TableBlock"/>
              <w:rPr>
                <w:rtl/>
              </w:rPr>
            </w:pPr>
            <w:r w:rsidRPr="00BD7844">
              <w:rPr>
                <w:rFonts w:hint="cs"/>
                <w:rtl/>
              </w:rPr>
              <w:t xml:space="preserve">בסעיף 18 לחוק העיקרי </w:t>
            </w:r>
            <w:r w:rsidRPr="00BD7844">
              <w:rPr>
                <w:rtl/>
              </w:rPr>
              <w:t>–</w:t>
            </w:r>
            <w:r w:rsidRPr="00BD7844">
              <w:rPr>
                <w:rFonts w:hint="cs"/>
                <w:rtl/>
              </w:rPr>
              <w:t xml:space="preserve"> </w:t>
            </w:r>
            <w:r>
              <w:rPr>
                <w:rtl/>
              </w:rPr>
              <w:t xml:space="preserve"> </w:t>
            </w:r>
          </w:p>
        </w:tc>
      </w:tr>
      <w:tr w:rsidR="00F1058C" w:rsidTr="0096273D">
        <w:trPr>
          <w:cantSplit/>
        </w:trPr>
        <w:tc>
          <w:tcPr>
            <w:tcW w:w="1869" w:type="dxa"/>
          </w:tcPr>
          <w:p w:rsidR="00F1058C" w:rsidRPr="00FA7FD0" w:rsidRDefault="00F1058C" w:rsidP="00B11B5B">
            <w:pPr>
              <w:pStyle w:val="TableSideHeading"/>
              <w:ind w:right="0"/>
              <w:rPr>
                <w:rtl/>
              </w:rPr>
            </w:pPr>
          </w:p>
        </w:tc>
        <w:tc>
          <w:tcPr>
            <w:tcW w:w="623" w:type="dxa"/>
          </w:tcPr>
          <w:p w:rsidR="00F1058C" w:rsidRPr="00BD7844" w:rsidRDefault="00F1058C" w:rsidP="00B11B5B">
            <w:pPr>
              <w:pStyle w:val="TableText"/>
              <w:rPr>
                <w:rtl/>
              </w:rPr>
            </w:pPr>
          </w:p>
        </w:tc>
        <w:tc>
          <w:tcPr>
            <w:tcW w:w="7144" w:type="dxa"/>
            <w:gridSpan w:val="6"/>
          </w:tcPr>
          <w:p w:rsidR="00F1058C" w:rsidRPr="00FA7FD0" w:rsidRDefault="00F1058C" w:rsidP="0096273D">
            <w:pPr>
              <w:pStyle w:val="TableBlock"/>
              <w:rPr>
                <w:rtl/>
              </w:rPr>
            </w:pPr>
            <w:r w:rsidRPr="00023428">
              <w:rPr>
                <w:rFonts w:hint="cs"/>
                <w:rtl/>
              </w:rPr>
              <w:t>(1)</w:t>
            </w:r>
            <w:r w:rsidRPr="00023428">
              <w:rPr>
                <w:rtl/>
              </w:rPr>
              <w:tab/>
            </w:r>
            <w:r w:rsidRPr="00023428">
              <w:rPr>
                <w:rFonts w:hint="cs"/>
                <w:rtl/>
              </w:rPr>
              <w:t xml:space="preserve">בסעיף קטן (ד), </w:t>
            </w:r>
            <w:r>
              <w:rPr>
                <w:rFonts w:hint="cs"/>
                <w:rtl/>
              </w:rPr>
              <w:t xml:space="preserve">במקום </w:t>
            </w:r>
            <w:proofErr w:type="spellStart"/>
            <w:r>
              <w:rPr>
                <w:rFonts w:hint="cs"/>
                <w:rtl/>
              </w:rPr>
              <w:t>הרישה</w:t>
            </w:r>
            <w:proofErr w:type="spellEnd"/>
            <w:r w:rsidRPr="00BD7844">
              <w:rPr>
                <w:rFonts w:hint="cs"/>
                <w:rtl/>
              </w:rPr>
              <w:t xml:space="preserve"> עד המילים "וכן היועץ המשפטי לממשלה, רשאים"</w:t>
            </w:r>
            <w:r w:rsidRPr="00023428">
              <w:rPr>
                <w:rFonts w:hint="cs"/>
                <w:rtl/>
              </w:rPr>
              <w:t>, יבוא "</w:t>
            </w:r>
            <w:r w:rsidRPr="00023428">
              <w:rPr>
                <w:rtl/>
              </w:rPr>
              <w:t>כל אדם המעוניין בדבר רשאי</w:t>
            </w:r>
            <w:r w:rsidRPr="00023428">
              <w:rPr>
                <w:rFonts w:hint="cs"/>
                <w:rtl/>
              </w:rPr>
              <w:t>";</w:t>
            </w:r>
          </w:p>
        </w:tc>
      </w:tr>
      <w:tr w:rsidR="00F1058C" w:rsidTr="0096273D">
        <w:trPr>
          <w:cantSplit/>
        </w:trPr>
        <w:tc>
          <w:tcPr>
            <w:tcW w:w="1869" w:type="dxa"/>
          </w:tcPr>
          <w:p w:rsidR="00F1058C" w:rsidRPr="00FA7FD0" w:rsidRDefault="00F1058C" w:rsidP="00B11B5B">
            <w:pPr>
              <w:pStyle w:val="TableSideHeading"/>
              <w:ind w:right="0"/>
              <w:rPr>
                <w:rtl/>
              </w:rPr>
            </w:pPr>
          </w:p>
        </w:tc>
        <w:tc>
          <w:tcPr>
            <w:tcW w:w="623" w:type="dxa"/>
          </w:tcPr>
          <w:p w:rsidR="00F1058C" w:rsidRDefault="00F1058C" w:rsidP="00B11B5B">
            <w:pPr>
              <w:pStyle w:val="TableText"/>
              <w:rPr>
                <w:rtl/>
              </w:rPr>
            </w:pPr>
          </w:p>
        </w:tc>
        <w:tc>
          <w:tcPr>
            <w:tcW w:w="7144" w:type="dxa"/>
            <w:gridSpan w:val="6"/>
          </w:tcPr>
          <w:p w:rsidR="00F1058C" w:rsidRPr="00BD7844" w:rsidRDefault="00F1058C" w:rsidP="0096273D">
            <w:pPr>
              <w:pStyle w:val="TableBlock"/>
              <w:rPr>
                <w:rtl/>
              </w:rPr>
            </w:pPr>
            <w:r w:rsidRPr="00FA7FD0">
              <w:rPr>
                <w:rFonts w:hint="cs"/>
                <w:rtl/>
              </w:rPr>
              <w:t>(</w:t>
            </w:r>
            <w:r>
              <w:rPr>
                <w:rFonts w:hint="cs"/>
                <w:rtl/>
              </w:rPr>
              <w:t>2</w:t>
            </w:r>
            <w:r w:rsidRPr="00FA7FD0">
              <w:rPr>
                <w:rFonts w:hint="cs"/>
                <w:rtl/>
              </w:rPr>
              <w:t>)</w:t>
            </w:r>
            <w:r w:rsidRPr="00FA7FD0">
              <w:rPr>
                <w:rtl/>
              </w:rPr>
              <w:tab/>
            </w:r>
            <w:r w:rsidRPr="00BD7844">
              <w:rPr>
                <w:rFonts w:hint="cs"/>
                <w:rtl/>
              </w:rPr>
              <w:t xml:space="preserve">אחרי סעיף קטן (ד) יבוא: </w:t>
            </w:r>
          </w:p>
        </w:tc>
      </w:tr>
      <w:tr w:rsidR="0096273D" w:rsidTr="0096273D">
        <w:trPr>
          <w:cantSplit/>
          <w:trHeight w:val="60"/>
        </w:trPr>
        <w:tc>
          <w:tcPr>
            <w:tcW w:w="1869" w:type="dxa"/>
          </w:tcPr>
          <w:p w:rsidR="0096273D" w:rsidRDefault="0096273D">
            <w:pPr>
              <w:pStyle w:val="TableSideHeading"/>
              <w:rPr>
                <w:rFonts w:hint="cs"/>
              </w:rPr>
            </w:pPr>
          </w:p>
        </w:tc>
        <w:tc>
          <w:tcPr>
            <w:tcW w:w="623" w:type="dxa"/>
          </w:tcPr>
          <w:p w:rsidR="0096273D" w:rsidRDefault="0096273D">
            <w:pPr>
              <w:pStyle w:val="TableText"/>
            </w:pPr>
          </w:p>
        </w:tc>
        <w:tc>
          <w:tcPr>
            <w:tcW w:w="624" w:type="dxa"/>
          </w:tcPr>
          <w:p w:rsidR="0096273D" w:rsidRDefault="0096273D">
            <w:pPr>
              <w:pStyle w:val="TableText"/>
              <w:rPr>
                <w:rFonts w:hint="cs"/>
              </w:rPr>
            </w:pPr>
          </w:p>
        </w:tc>
        <w:tc>
          <w:tcPr>
            <w:tcW w:w="6520" w:type="dxa"/>
            <w:gridSpan w:val="5"/>
          </w:tcPr>
          <w:p w:rsidR="0096273D" w:rsidRDefault="0096273D">
            <w:pPr>
              <w:pStyle w:val="TableBlock"/>
            </w:pPr>
            <w:r>
              <w:rPr>
                <w:rFonts w:hint="cs"/>
                <w:rtl/>
              </w:rPr>
              <w:t>"(ד1)</w:t>
            </w:r>
            <w:r>
              <w:rPr>
                <w:rtl/>
              </w:rPr>
              <w:tab/>
            </w:r>
            <w:r w:rsidRPr="00BD7844">
              <w:rPr>
                <w:rtl/>
              </w:rPr>
              <w:t>אדם שהגיש התנגדות להסדר הפשרה לא יסתלק מהתנגדותו, אלא באישור בית המשפט, וכן לא יקבל, במישרין או בעקיפין, טובת הנאה, מהנתבע או מאדם אחר בקשר להתנג</w:t>
            </w:r>
            <w:r>
              <w:rPr>
                <w:rtl/>
              </w:rPr>
              <w:t>דות שהגיש, אלא באישור בית המשפט</w:t>
            </w:r>
            <w:r>
              <w:rPr>
                <w:rFonts w:hint="cs"/>
                <w:rtl/>
              </w:rPr>
              <w:t>;</w:t>
            </w:r>
            <w:r>
              <w:rPr>
                <w:rtl/>
              </w:rPr>
              <w:t xml:space="preserve"> בהחלטתו </w:t>
            </w:r>
            <w:r w:rsidRPr="00BD7844">
              <w:rPr>
                <w:rtl/>
              </w:rPr>
              <w:t>אם לאשר טובת הנאה כאמור, ישקול בית המשפט את התועלת שהביאה ההתנגדות לחברי הקבוצה</w:t>
            </w:r>
            <w:r>
              <w:rPr>
                <w:rFonts w:hint="cs"/>
                <w:rtl/>
              </w:rPr>
              <w:t>.</w:t>
            </w:r>
            <w:r w:rsidRPr="00BD7844">
              <w:rPr>
                <w:rFonts w:hint="cs"/>
                <w:rtl/>
              </w:rPr>
              <w:t>"</w:t>
            </w:r>
          </w:p>
        </w:tc>
      </w:tr>
      <w:tr w:rsidR="00F1058C" w:rsidTr="0096273D">
        <w:trPr>
          <w:cantSplit/>
        </w:trPr>
        <w:tc>
          <w:tcPr>
            <w:tcW w:w="1869" w:type="dxa"/>
          </w:tcPr>
          <w:p w:rsidR="00F1058C" w:rsidRPr="00FA7FD0" w:rsidRDefault="00F1058C" w:rsidP="00B11B5B">
            <w:pPr>
              <w:pStyle w:val="TableSideHeading"/>
              <w:ind w:right="0"/>
              <w:rPr>
                <w:rtl/>
              </w:rPr>
            </w:pPr>
            <w:r w:rsidRPr="00FA7FD0">
              <w:rPr>
                <w:rFonts w:hint="cs"/>
                <w:rtl/>
              </w:rPr>
              <w:t>תיקון סעיף 19</w:t>
            </w:r>
          </w:p>
        </w:tc>
        <w:tc>
          <w:tcPr>
            <w:tcW w:w="623" w:type="dxa"/>
          </w:tcPr>
          <w:p w:rsidR="00F1058C" w:rsidRDefault="00F1058C" w:rsidP="00B11B5B">
            <w:pPr>
              <w:pStyle w:val="TableText"/>
              <w:rPr>
                <w:rtl/>
              </w:rPr>
            </w:pPr>
            <w:r>
              <w:rPr>
                <w:rFonts w:hint="cs"/>
                <w:rtl/>
              </w:rPr>
              <w:t>3.</w:t>
            </w:r>
          </w:p>
        </w:tc>
        <w:tc>
          <w:tcPr>
            <w:tcW w:w="7144" w:type="dxa"/>
            <w:gridSpan w:val="6"/>
          </w:tcPr>
          <w:p w:rsidR="00F1058C" w:rsidRPr="00AA02CB" w:rsidRDefault="00F1058C" w:rsidP="0096273D">
            <w:pPr>
              <w:pStyle w:val="TableBlock"/>
              <w:rPr>
                <w:rtl/>
              </w:rPr>
            </w:pPr>
            <w:r w:rsidRPr="00FA7FD0">
              <w:rPr>
                <w:rFonts w:hint="cs"/>
                <w:rtl/>
              </w:rPr>
              <w:t xml:space="preserve">בסעיף 19 לחוק העיקרי </w:t>
            </w:r>
            <w:r w:rsidRPr="00BD7844">
              <w:rPr>
                <w:rtl/>
              </w:rPr>
              <w:t>–</w:t>
            </w:r>
            <w:r w:rsidRPr="00BD7844">
              <w:rPr>
                <w:rFonts w:hint="cs"/>
                <w:rtl/>
              </w:rPr>
              <w:t xml:space="preserve"> </w:t>
            </w:r>
          </w:p>
        </w:tc>
      </w:tr>
      <w:tr w:rsidR="00F1058C" w:rsidTr="0096273D">
        <w:trPr>
          <w:cantSplit/>
        </w:trPr>
        <w:tc>
          <w:tcPr>
            <w:tcW w:w="1869" w:type="dxa"/>
          </w:tcPr>
          <w:p w:rsidR="00F1058C" w:rsidRPr="00FA7FD0" w:rsidRDefault="00F1058C" w:rsidP="00B11B5B">
            <w:pPr>
              <w:pStyle w:val="TableSideHeading"/>
              <w:ind w:right="0"/>
              <w:rPr>
                <w:rtl/>
              </w:rPr>
            </w:pPr>
          </w:p>
        </w:tc>
        <w:tc>
          <w:tcPr>
            <w:tcW w:w="623" w:type="dxa"/>
          </w:tcPr>
          <w:p w:rsidR="00F1058C" w:rsidRDefault="00F1058C" w:rsidP="00B11B5B">
            <w:pPr>
              <w:pStyle w:val="TableText"/>
              <w:rPr>
                <w:rtl/>
              </w:rPr>
            </w:pPr>
          </w:p>
        </w:tc>
        <w:tc>
          <w:tcPr>
            <w:tcW w:w="7144" w:type="dxa"/>
            <w:gridSpan w:val="6"/>
          </w:tcPr>
          <w:p w:rsidR="00F1058C" w:rsidRPr="00FA7FD0" w:rsidRDefault="00F1058C" w:rsidP="0096273D">
            <w:pPr>
              <w:pStyle w:val="TableBlock"/>
              <w:rPr>
                <w:rtl/>
              </w:rPr>
            </w:pPr>
            <w:r w:rsidRPr="00425002">
              <w:rPr>
                <w:rFonts w:hint="cs"/>
                <w:rtl/>
              </w:rPr>
              <w:t>(1)</w:t>
            </w:r>
            <w:r w:rsidRPr="00425002">
              <w:rPr>
                <w:rFonts w:hint="cs"/>
                <w:rtl/>
              </w:rPr>
              <w:tab/>
              <w:t>בסעיף קטן (א),</w:t>
            </w:r>
            <w:r>
              <w:rPr>
                <w:rFonts w:hint="cs"/>
                <w:rtl/>
              </w:rPr>
              <w:t xml:space="preserve"> במקום</w:t>
            </w:r>
            <w:r w:rsidRPr="00425002">
              <w:rPr>
                <w:rFonts w:hint="cs"/>
                <w:rtl/>
              </w:rPr>
              <w:t xml:space="preserve"> </w:t>
            </w:r>
            <w:proofErr w:type="spellStart"/>
            <w:r>
              <w:rPr>
                <w:rFonts w:hint="cs"/>
                <w:rtl/>
              </w:rPr>
              <w:t>הסיפה</w:t>
            </w:r>
            <w:proofErr w:type="spellEnd"/>
            <w:r w:rsidRPr="00FA7FD0">
              <w:rPr>
                <w:rFonts w:hint="cs"/>
                <w:rtl/>
              </w:rPr>
              <w:t xml:space="preserve"> החל במילים "</w:t>
            </w:r>
            <w:r w:rsidRPr="00FA7FD0">
              <w:rPr>
                <w:rtl/>
              </w:rPr>
              <w:t>קיימות, לכאורה, שאלות מהותיות</w:t>
            </w:r>
            <w:r w:rsidRPr="00BD7844">
              <w:rPr>
                <w:rFonts w:hint="cs"/>
                <w:rtl/>
              </w:rPr>
              <w:t>"</w:t>
            </w:r>
            <w:r w:rsidRPr="00425002">
              <w:rPr>
                <w:rFonts w:hint="cs"/>
                <w:rtl/>
              </w:rPr>
              <w:t>, יבוא "</w:t>
            </w:r>
            <w:r w:rsidRPr="00425002">
              <w:rPr>
                <w:rtl/>
              </w:rPr>
              <w:t xml:space="preserve">התובענה שהוגשה עומדת, לכאורה, בתנאים לאישור תובענה ייצוגית הקבועים בסעיפים 3, 4 ו8(א), בשינויים </w:t>
            </w:r>
            <w:proofErr w:type="spellStart"/>
            <w:r w:rsidRPr="00425002">
              <w:rPr>
                <w:rtl/>
              </w:rPr>
              <w:t>המחוייבים</w:t>
            </w:r>
            <w:proofErr w:type="spellEnd"/>
            <w:r w:rsidRPr="00425002">
              <w:rPr>
                <w:rtl/>
              </w:rPr>
              <w:t xml:space="preserve"> מכך שהסתיימה בהסדר פשרה</w:t>
            </w:r>
            <w:r>
              <w:rPr>
                <w:rFonts w:hint="cs"/>
                <w:rtl/>
              </w:rPr>
              <w:t>.</w:t>
            </w:r>
            <w:r w:rsidRPr="00425002">
              <w:rPr>
                <w:rFonts w:hint="cs"/>
                <w:rtl/>
              </w:rPr>
              <w:t>";</w:t>
            </w:r>
          </w:p>
        </w:tc>
      </w:tr>
      <w:tr w:rsidR="00F1058C" w:rsidTr="0096273D">
        <w:trPr>
          <w:cantSplit/>
        </w:trPr>
        <w:tc>
          <w:tcPr>
            <w:tcW w:w="1869" w:type="dxa"/>
          </w:tcPr>
          <w:p w:rsidR="00F1058C" w:rsidRPr="00FA7FD0" w:rsidRDefault="00F1058C" w:rsidP="00B11B5B">
            <w:pPr>
              <w:pStyle w:val="TableSideHeading"/>
              <w:ind w:right="0"/>
              <w:rPr>
                <w:rtl/>
              </w:rPr>
            </w:pPr>
          </w:p>
        </w:tc>
        <w:tc>
          <w:tcPr>
            <w:tcW w:w="623" w:type="dxa"/>
          </w:tcPr>
          <w:p w:rsidR="00F1058C" w:rsidRDefault="00F1058C" w:rsidP="00B11B5B">
            <w:pPr>
              <w:pStyle w:val="TableText"/>
              <w:rPr>
                <w:rtl/>
              </w:rPr>
            </w:pPr>
          </w:p>
        </w:tc>
        <w:tc>
          <w:tcPr>
            <w:tcW w:w="7144" w:type="dxa"/>
            <w:gridSpan w:val="6"/>
          </w:tcPr>
          <w:p w:rsidR="00F1058C" w:rsidRPr="00BD7844" w:rsidRDefault="00F1058C" w:rsidP="0096273D">
            <w:pPr>
              <w:pStyle w:val="TableBlock"/>
              <w:rPr>
                <w:rtl/>
              </w:rPr>
            </w:pPr>
            <w:r w:rsidRPr="00FA7FD0">
              <w:rPr>
                <w:rFonts w:hint="cs"/>
                <w:rtl/>
              </w:rPr>
              <w:t>(</w:t>
            </w:r>
            <w:r>
              <w:rPr>
                <w:rFonts w:hint="cs"/>
                <w:rtl/>
              </w:rPr>
              <w:t>2</w:t>
            </w:r>
            <w:r w:rsidRPr="00BD7844">
              <w:rPr>
                <w:rFonts w:hint="cs"/>
                <w:rtl/>
              </w:rPr>
              <w:t>)</w:t>
            </w:r>
            <w:r w:rsidRPr="00BD7844">
              <w:rPr>
                <w:rtl/>
              </w:rPr>
              <w:tab/>
              <w:t>בסעיף קטן (ד)</w:t>
            </w:r>
            <w:r w:rsidRPr="00BD7844">
              <w:rPr>
                <w:rFonts w:hint="cs"/>
                <w:rtl/>
              </w:rPr>
              <w:t>(</w:t>
            </w:r>
            <w:r w:rsidRPr="00BD7844">
              <w:rPr>
                <w:rtl/>
              </w:rPr>
              <w:t>1</w:t>
            </w:r>
            <w:r w:rsidRPr="00BD7844">
              <w:rPr>
                <w:rFonts w:hint="cs"/>
                <w:rtl/>
              </w:rPr>
              <w:t>)</w:t>
            </w:r>
            <w:r w:rsidRPr="00BD7844">
              <w:rPr>
                <w:rtl/>
              </w:rPr>
              <w:t>, המילי</w:t>
            </w:r>
            <w:r w:rsidR="0096273D">
              <w:rPr>
                <w:rtl/>
              </w:rPr>
              <w:t>ם "או לשם פיקוח על ביצוע ההסדר"</w:t>
            </w:r>
            <w:r w:rsidR="0096273D">
              <w:rPr>
                <w:rFonts w:hint="cs"/>
                <w:rtl/>
              </w:rPr>
              <w:t xml:space="preserve"> – </w:t>
            </w:r>
            <w:r w:rsidRPr="00BD7844">
              <w:rPr>
                <w:rtl/>
              </w:rPr>
              <w:t>יימחקו;</w:t>
            </w:r>
          </w:p>
        </w:tc>
      </w:tr>
      <w:tr w:rsidR="00F1058C" w:rsidTr="0096273D">
        <w:trPr>
          <w:cantSplit/>
        </w:trPr>
        <w:tc>
          <w:tcPr>
            <w:tcW w:w="1869" w:type="dxa"/>
          </w:tcPr>
          <w:p w:rsidR="00F1058C" w:rsidRPr="00FA7FD0" w:rsidRDefault="00F1058C" w:rsidP="00B11B5B">
            <w:pPr>
              <w:pStyle w:val="TableSideHeading"/>
              <w:ind w:right="0"/>
              <w:rPr>
                <w:rtl/>
              </w:rPr>
            </w:pPr>
          </w:p>
        </w:tc>
        <w:tc>
          <w:tcPr>
            <w:tcW w:w="623" w:type="dxa"/>
          </w:tcPr>
          <w:p w:rsidR="00F1058C" w:rsidRDefault="00F1058C" w:rsidP="00B11B5B">
            <w:pPr>
              <w:pStyle w:val="TableText"/>
              <w:rPr>
                <w:rtl/>
              </w:rPr>
            </w:pPr>
          </w:p>
        </w:tc>
        <w:tc>
          <w:tcPr>
            <w:tcW w:w="7144" w:type="dxa"/>
            <w:gridSpan w:val="6"/>
          </w:tcPr>
          <w:p w:rsidR="00F1058C" w:rsidRPr="00BD7844" w:rsidRDefault="00F1058C" w:rsidP="0096273D">
            <w:pPr>
              <w:pStyle w:val="TableBlock"/>
              <w:rPr>
                <w:rtl/>
              </w:rPr>
            </w:pPr>
            <w:r w:rsidRPr="00FA7FD0">
              <w:rPr>
                <w:rFonts w:hint="cs"/>
                <w:rtl/>
              </w:rPr>
              <w:t>(</w:t>
            </w:r>
            <w:r>
              <w:rPr>
                <w:rFonts w:hint="cs"/>
                <w:rtl/>
              </w:rPr>
              <w:t>3</w:t>
            </w:r>
            <w:r w:rsidRPr="00BD7844">
              <w:rPr>
                <w:rFonts w:hint="cs"/>
                <w:rtl/>
              </w:rPr>
              <w:t xml:space="preserve">) </w:t>
            </w:r>
            <w:r>
              <w:rPr>
                <w:rFonts w:hint="cs"/>
                <w:rtl/>
              </w:rPr>
              <w:tab/>
            </w:r>
            <w:r w:rsidRPr="00FA7FD0">
              <w:rPr>
                <w:rtl/>
              </w:rPr>
              <w:t xml:space="preserve">אחרי סעיף קטן (ד) יבוא: </w:t>
            </w:r>
          </w:p>
        </w:tc>
      </w:tr>
      <w:tr w:rsidR="0096273D" w:rsidTr="0096273D">
        <w:trPr>
          <w:cantSplit/>
          <w:trHeight w:val="60"/>
        </w:trPr>
        <w:tc>
          <w:tcPr>
            <w:tcW w:w="1869" w:type="dxa"/>
          </w:tcPr>
          <w:p w:rsidR="0096273D" w:rsidRDefault="0096273D">
            <w:pPr>
              <w:pStyle w:val="TableSideHeading"/>
              <w:rPr>
                <w:rFonts w:hint="cs"/>
              </w:rPr>
            </w:pPr>
          </w:p>
        </w:tc>
        <w:tc>
          <w:tcPr>
            <w:tcW w:w="623" w:type="dxa"/>
          </w:tcPr>
          <w:p w:rsidR="0096273D" w:rsidRDefault="0096273D">
            <w:pPr>
              <w:pStyle w:val="TableText"/>
            </w:pPr>
          </w:p>
        </w:tc>
        <w:tc>
          <w:tcPr>
            <w:tcW w:w="624" w:type="dxa"/>
          </w:tcPr>
          <w:p w:rsidR="0096273D" w:rsidRDefault="0096273D">
            <w:pPr>
              <w:pStyle w:val="TableText"/>
              <w:rPr>
                <w:rFonts w:hint="cs"/>
              </w:rPr>
            </w:pPr>
          </w:p>
        </w:tc>
        <w:tc>
          <w:tcPr>
            <w:tcW w:w="6520" w:type="dxa"/>
            <w:gridSpan w:val="5"/>
          </w:tcPr>
          <w:p w:rsidR="0096273D" w:rsidRDefault="0096273D">
            <w:pPr>
              <w:pStyle w:val="TableBlock"/>
            </w:pPr>
            <w:r>
              <w:rPr>
                <w:rtl/>
              </w:rPr>
              <w:t>"(ד1)</w:t>
            </w:r>
            <w:r>
              <w:rPr>
                <w:rFonts w:hint="cs"/>
                <w:rtl/>
              </w:rPr>
              <w:tab/>
            </w:r>
            <w:r w:rsidRPr="00FA7FD0">
              <w:rPr>
                <w:rtl/>
              </w:rPr>
              <w:t xml:space="preserve">בית המשפט </w:t>
            </w:r>
            <w:r w:rsidRPr="00FA7FD0">
              <w:rPr>
                <w:rFonts w:hint="cs"/>
                <w:rtl/>
              </w:rPr>
              <w:t>י</w:t>
            </w:r>
            <w:r w:rsidRPr="00BD7844">
              <w:rPr>
                <w:rtl/>
              </w:rPr>
              <w:t>יתן הוראות בדבר הפיקוח על ביצוע הסדר הפשרה לפי סעיף זה לרבות הוראות בדבר הגשת דין וחשבון סופי המתאר את ביצוע הסדר הפשרה על ידי הצדדים</w:t>
            </w:r>
            <w:r>
              <w:rPr>
                <w:rFonts w:hint="cs"/>
                <w:rtl/>
              </w:rPr>
              <w:t>.</w:t>
            </w:r>
            <w:r w:rsidRPr="00BD7844">
              <w:rPr>
                <w:rtl/>
              </w:rPr>
              <w:t>";</w:t>
            </w:r>
          </w:p>
        </w:tc>
      </w:tr>
      <w:tr w:rsidR="00F1058C" w:rsidTr="0096273D">
        <w:trPr>
          <w:cantSplit/>
        </w:trPr>
        <w:tc>
          <w:tcPr>
            <w:tcW w:w="1869" w:type="dxa"/>
          </w:tcPr>
          <w:p w:rsidR="00F1058C" w:rsidRPr="00FA7FD0" w:rsidRDefault="00F1058C" w:rsidP="00B11B5B">
            <w:pPr>
              <w:pStyle w:val="TableSideHeading"/>
              <w:ind w:right="0"/>
              <w:rPr>
                <w:rtl/>
              </w:rPr>
            </w:pPr>
          </w:p>
        </w:tc>
        <w:tc>
          <w:tcPr>
            <w:tcW w:w="623" w:type="dxa"/>
          </w:tcPr>
          <w:p w:rsidR="00F1058C" w:rsidRDefault="00F1058C" w:rsidP="00B11B5B">
            <w:pPr>
              <w:pStyle w:val="TableText"/>
              <w:rPr>
                <w:rtl/>
              </w:rPr>
            </w:pPr>
          </w:p>
        </w:tc>
        <w:tc>
          <w:tcPr>
            <w:tcW w:w="7144" w:type="dxa"/>
            <w:gridSpan w:val="6"/>
          </w:tcPr>
          <w:p w:rsidR="00F1058C" w:rsidRPr="008C645C" w:rsidRDefault="00F1058C" w:rsidP="0096273D">
            <w:pPr>
              <w:pStyle w:val="TableBlock"/>
              <w:rPr>
                <w:rtl/>
              </w:rPr>
            </w:pPr>
            <w:r w:rsidRPr="00FA7FD0">
              <w:rPr>
                <w:rFonts w:hint="cs"/>
                <w:rtl/>
              </w:rPr>
              <w:t>(</w:t>
            </w:r>
            <w:r>
              <w:rPr>
                <w:rFonts w:hint="cs"/>
                <w:rtl/>
              </w:rPr>
              <w:t>4</w:t>
            </w:r>
            <w:r w:rsidRPr="00FA7FD0">
              <w:rPr>
                <w:rFonts w:hint="cs"/>
                <w:rtl/>
              </w:rPr>
              <w:t xml:space="preserve">) </w:t>
            </w:r>
            <w:r>
              <w:rPr>
                <w:rtl/>
              </w:rPr>
              <w:tab/>
            </w:r>
            <w:r w:rsidRPr="00FA7FD0">
              <w:rPr>
                <w:rFonts w:hint="cs"/>
                <w:rtl/>
              </w:rPr>
              <w:t>בסעיף קטן (ו), בסופו יבוא "</w:t>
            </w:r>
            <w:r w:rsidRPr="00BD7844">
              <w:rPr>
                <w:rtl/>
              </w:rPr>
              <w:t>תשלום שכר הטרחה לבא כוח המייצג יהיה מותנה, כולו או חלקו, במימוש הסדר הפשרה והשלמת ביצועו</w:t>
            </w:r>
            <w:r w:rsidRPr="00BD7844">
              <w:rPr>
                <w:rFonts w:hint="cs"/>
                <w:rtl/>
              </w:rPr>
              <w:t>.</w:t>
            </w:r>
            <w:r w:rsidRPr="008C645C">
              <w:rPr>
                <w:rFonts w:hint="cs"/>
                <w:rtl/>
              </w:rPr>
              <w:t>"</w:t>
            </w:r>
          </w:p>
        </w:tc>
      </w:tr>
      <w:tr w:rsidR="00F1058C" w:rsidTr="0096273D">
        <w:trPr>
          <w:cantSplit/>
        </w:trPr>
        <w:tc>
          <w:tcPr>
            <w:tcW w:w="1869" w:type="dxa"/>
          </w:tcPr>
          <w:p w:rsidR="00F1058C" w:rsidRPr="00FA7FD0" w:rsidRDefault="00F1058C" w:rsidP="00B11B5B">
            <w:pPr>
              <w:pStyle w:val="TableSideHeading"/>
              <w:ind w:right="0"/>
              <w:rPr>
                <w:rtl/>
              </w:rPr>
            </w:pPr>
            <w:r w:rsidRPr="00FA7FD0">
              <w:rPr>
                <w:rFonts w:hint="cs"/>
                <w:rtl/>
              </w:rPr>
              <w:t>תיקון סעיף 20</w:t>
            </w:r>
          </w:p>
        </w:tc>
        <w:tc>
          <w:tcPr>
            <w:tcW w:w="623" w:type="dxa"/>
          </w:tcPr>
          <w:p w:rsidR="00F1058C" w:rsidRDefault="00F1058C" w:rsidP="00B11B5B">
            <w:pPr>
              <w:pStyle w:val="TableText"/>
              <w:rPr>
                <w:rtl/>
              </w:rPr>
            </w:pPr>
            <w:r>
              <w:rPr>
                <w:rFonts w:hint="cs"/>
                <w:rtl/>
              </w:rPr>
              <w:t>4.</w:t>
            </w:r>
          </w:p>
        </w:tc>
        <w:tc>
          <w:tcPr>
            <w:tcW w:w="7144" w:type="dxa"/>
            <w:gridSpan w:val="6"/>
          </w:tcPr>
          <w:p w:rsidR="00F1058C" w:rsidRDefault="00F1058C" w:rsidP="0096273D">
            <w:pPr>
              <w:pStyle w:val="TableBlock"/>
              <w:rPr>
                <w:rtl/>
              </w:rPr>
            </w:pPr>
            <w:r w:rsidRPr="00FA7FD0">
              <w:rPr>
                <w:rFonts w:hint="cs"/>
                <w:rtl/>
              </w:rPr>
              <w:t xml:space="preserve">בסעיף 20 </w:t>
            </w:r>
            <w:r w:rsidRPr="00BD7844">
              <w:rPr>
                <w:rFonts w:hint="cs"/>
                <w:rtl/>
              </w:rPr>
              <w:t xml:space="preserve">לחוק העיקרי </w:t>
            </w:r>
            <w:r w:rsidRPr="00BD7844">
              <w:rPr>
                <w:rtl/>
              </w:rPr>
              <w:t>–</w:t>
            </w:r>
            <w:r w:rsidRPr="00BD7844">
              <w:rPr>
                <w:rFonts w:hint="cs"/>
                <w:rtl/>
              </w:rPr>
              <w:t xml:space="preserve"> </w:t>
            </w:r>
          </w:p>
        </w:tc>
      </w:tr>
      <w:tr w:rsidR="00F1058C" w:rsidTr="0096273D">
        <w:trPr>
          <w:cantSplit/>
        </w:trPr>
        <w:tc>
          <w:tcPr>
            <w:tcW w:w="1869" w:type="dxa"/>
          </w:tcPr>
          <w:p w:rsidR="00F1058C" w:rsidRPr="00FA7FD0" w:rsidRDefault="00F1058C" w:rsidP="00B11B5B">
            <w:pPr>
              <w:pStyle w:val="TableSideHeading"/>
              <w:ind w:right="0"/>
              <w:rPr>
                <w:rtl/>
              </w:rPr>
            </w:pPr>
          </w:p>
        </w:tc>
        <w:tc>
          <w:tcPr>
            <w:tcW w:w="623" w:type="dxa"/>
          </w:tcPr>
          <w:p w:rsidR="00F1058C" w:rsidRDefault="00F1058C" w:rsidP="00B11B5B">
            <w:pPr>
              <w:pStyle w:val="TableText"/>
              <w:rPr>
                <w:rtl/>
              </w:rPr>
            </w:pPr>
          </w:p>
        </w:tc>
        <w:tc>
          <w:tcPr>
            <w:tcW w:w="7144" w:type="dxa"/>
            <w:gridSpan w:val="6"/>
          </w:tcPr>
          <w:p w:rsidR="00F1058C" w:rsidRPr="00FA7FD0" w:rsidRDefault="00F1058C" w:rsidP="0096273D">
            <w:pPr>
              <w:pStyle w:val="TableBlock"/>
              <w:rPr>
                <w:rtl/>
              </w:rPr>
            </w:pPr>
            <w:r w:rsidRPr="00425002">
              <w:rPr>
                <w:rFonts w:hint="cs"/>
                <w:rtl/>
              </w:rPr>
              <w:t>(</w:t>
            </w:r>
            <w:r w:rsidRPr="00425002">
              <w:rPr>
                <w:rtl/>
              </w:rPr>
              <w:t xml:space="preserve">1) </w:t>
            </w:r>
            <w:r>
              <w:rPr>
                <w:rtl/>
              </w:rPr>
              <w:tab/>
            </w:r>
            <w:r w:rsidRPr="00425002">
              <w:rPr>
                <w:rFonts w:hint="cs"/>
                <w:rtl/>
              </w:rPr>
              <w:t xml:space="preserve">בסעיף קטן (א)(3), </w:t>
            </w:r>
            <w:r w:rsidR="0096273D">
              <w:rPr>
                <w:rFonts w:hint="cs"/>
                <w:rtl/>
              </w:rPr>
              <w:t xml:space="preserve">במקום </w:t>
            </w:r>
            <w:r w:rsidRPr="00425002">
              <w:rPr>
                <w:rFonts w:hint="cs"/>
                <w:rtl/>
              </w:rPr>
              <w:t>"</w:t>
            </w:r>
            <w:r w:rsidRPr="00425002">
              <w:rPr>
                <w:rtl/>
              </w:rPr>
              <w:t>לאוצר המדינה</w:t>
            </w:r>
            <w:r w:rsidRPr="00425002">
              <w:rPr>
                <w:rFonts w:hint="cs"/>
                <w:rtl/>
              </w:rPr>
              <w:t>" יבוא "</w:t>
            </w:r>
            <w:r w:rsidRPr="00425002">
              <w:rPr>
                <w:rtl/>
              </w:rPr>
              <w:t xml:space="preserve">לקרן </w:t>
            </w:r>
            <w:r w:rsidRPr="00425002">
              <w:rPr>
                <w:rFonts w:hint="cs"/>
                <w:rtl/>
              </w:rPr>
              <w:t>שתקום מכ</w:t>
            </w:r>
            <w:r w:rsidR="0096273D">
              <w:rPr>
                <w:rFonts w:hint="cs"/>
                <w:rtl/>
              </w:rPr>
              <w:t>ו</w:t>
            </w:r>
            <w:r w:rsidRPr="00425002">
              <w:rPr>
                <w:rFonts w:hint="cs"/>
                <w:rtl/>
              </w:rPr>
              <w:t>ח סעיף 27א לחוק זה</w:t>
            </w:r>
            <w:r>
              <w:rPr>
                <w:rFonts w:hint="cs"/>
                <w:rtl/>
              </w:rPr>
              <w:t>;</w:t>
            </w:r>
            <w:r w:rsidRPr="00425002">
              <w:rPr>
                <w:rtl/>
              </w:rPr>
              <w:t xml:space="preserve"> </w:t>
            </w:r>
            <w:r>
              <w:rPr>
                <w:rFonts w:hint="cs"/>
                <w:rtl/>
              </w:rPr>
              <w:t>הכספים ייועדו לתחום הקרוב לנושא התובענה הייצוגית שהוגשה; נוכח בית המשפט כי העברת הכספים לתחום הקרוב לנושא התובענה הייצוגית שהוגשה אינו מתאפשר בנסיבות העניין, רשאי בית המשפט להורות כי הכספים ייועדו לתחום אחר</w:t>
            </w:r>
            <w:r w:rsidR="0096273D">
              <w:rPr>
                <w:rFonts w:hint="cs"/>
                <w:rtl/>
              </w:rPr>
              <w:t>, הקרוב ככל האפשר לנושא התובענה</w:t>
            </w:r>
            <w:r w:rsidRPr="00425002">
              <w:rPr>
                <w:rFonts w:hint="cs"/>
                <w:rtl/>
              </w:rPr>
              <w:t>";</w:t>
            </w:r>
            <w:r>
              <w:rPr>
                <w:rtl/>
              </w:rPr>
              <w:t xml:space="preserve"> </w:t>
            </w:r>
          </w:p>
        </w:tc>
      </w:tr>
      <w:tr w:rsidR="00F1058C" w:rsidTr="0096273D">
        <w:trPr>
          <w:cantSplit/>
        </w:trPr>
        <w:tc>
          <w:tcPr>
            <w:tcW w:w="1869" w:type="dxa"/>
          </w:tcPr>
          <w:p w:rsidR="00F1058C" w:rsidRPr="00FA7FD0" w:rsidRDefault="00F1058C" w:rsidP="00B11B5B">
            <w:pPr>
              <w:pStyle w:val="TableSideHeading"/>
              <w:ind w:right="0"/>
              <w:rPr>
                <w:rtl/>
              </w:rPr>
            </w:pPr>
          </w:p>
        </w:tc>
        <w:tc>
          <w:tcPr>
            <w:tcW w:w="623" w:type="dxa"/>
          </w:tcPr>
          <w:p w:rsidR="00F1058C" w:rsidRDefault="00F1058C" w:rsidP="00B11B5B">
            <w:pPr>
              <w:pStyle w:val="TableText"/>
              <w:rPr>
                <w:rtl/>
              </w:rPr>
            </w:pPr>
          </w:p>
        </w:tc>
        <w:tc>
          <w:tcPr>
            <w:tcW w:w="7144" w:type="dxa"/>
            <w:gridSpan w:val="6"/>
          </w:tcPr>
          <w:p w:rsidR="00F1058C" w:rsidRPr="00425002" w:rsidRDefault="00F1058C" w:rsidP="0096273D">
            <w:pPr>
              <w:pStyle w:val="TableBlock"/>
              <w:rPr>
                <w:rtl/>
              </w:rPr>
            </w:pPr>
            <w:r w:rsidRPr="00425002">
              <w:rPr>
                <w:rFonts w:hint="cs"/>
                <w:rtl/>
              </w:rPr>
              <w:t>(</w:t>
            </w:r>
            <w:r>
              <w:rPr>
                <w:rFonts w:hint="cs"/>
                <w:rtl/>
              </w:rPr>
              <w:t>2</w:t>
            </w:r>
            <w:r w:rsidRPr="00425002">
              <w:rPr>
                <w:rFonts w:hint="cs"/>
                <w:rtl/>
              </w:rPr>
              <w:t xml:space="preserve">) </w:t>
            </w:r>
            <w:r>
              <w:rPr>
                <w:rtl/>
              </w:rPr>
              <w:tab/>
            </w:r>
            <w:r w:rsidRPr="00425002">
              <w:rPr>
                <w:rFonts w:hint="cs"/>
                <w:rtl/>
              </w:rPr>
              <w:t xml:space="preserve">בסעיף קטן (ג), </w:t>
            </w:r>
            <w:r>
              <w:rPr>
                <w:rFonts w:hint="cs"/>
                <w:rtl/>
              </w:rPr>
              <w:t xml:space="preserve">במקום </w:t>
            </w:r>
            <w:proofErr w:type="spellStart"/>
            <w:r>
              <w:rPr>
                <w:rFonts w:hint="cs"/>
                <w:rtl/>
              </w:rPr>
              <w:t>הסיפה</w:t>
            </w:r>
            <w:proofErr w:type="spellEnd"/>
            <w:r>
              <w:rPr>
                <w:rFonts w:hint="cs"/>
                <w:rtl/>
              </w:rPr>
              <w:t xml:space="preserve"> </w:t>
            </w:r>
            <w:r w:rsidRPr="00425002">
              <w:rPr>
                <w:rFonts w:hint="cs"/>
                <w:rtl/>
              </w:rPr>
              <w:t>החל במילים "</w:t>
            </w:r>
            <w:r w:rsidRPr="00425002">
              <w:rPr>
                <w:rtl/>
              </w:rPr>
              <w:t>רשאי הוא להורות על מתן כל סעד אחר</w:t>
            </w:r>
            <w:r w:rsidRPr="00425002">
              <w:rPr>
                <w:rFonts w:hint="cs"/>
                <w:rtl/>
              </w:rPr>
              <w:t>" יבוא "</w:t>
            </w:r>
            <w:r w:rsidRPr="00425002">
              <w:rPr>
                <w:rtl/>
              </w:rPr>
              <w:t xml:space="preserve">יורה בית המשפט על העברת הכספים המיועדים להיפסק כסעד לטובת הקבוצה לקרן </w:t>
            </w:r>
            <w:r w:rsidRPr="00425002">
              <w:rPr>
                <w:rFonts w:hint="cs"/>
                <w:rtl/>
              </w:rPr>
              <w:t xml:space="preserve">שתקום </w:t>
            </w:r>
            <w:proofErr w:type="spellStart"/>
            <w:r w:rsidRPr="00425002">
              <w:rPr>
                <w:rFonts w:hint="cs"/>
                <w:rtl/>
              </w:rPr>
              <w:t>מכח</w:t>
            </w:r>
            <w:proofErr w:type="spellEnd"/>
            <w:r w:rsidRPr="00425002">
              <w:rPr>
                <w:rFonts w:hint="cs"/>
                <w:rtl/>
              </w:rPr>
              <w:t xml:space="preserve"> סעיף 27א לחוק זה</w:t>
            </w:r>
            <w:r>
              <w:rPr>
                <w:rFonts w:hint="cs"/>
                <w:rtl/>
              </w:rPr>
              <w:t>;</w:t>
            </w:r>
            <w:r w:rsidRPr="00425002">
              <w:rPr>
                <w:rtl/>
              </w:rPr>
              <w:t xml:space="preserve"> </w:t>
            </w:r>
            <w:r>
              <w:rPr>
                <w:rFonts w:hint="cs"/>
                <w:rtl/>
              </w:rPr>
              <w:t>הכספים ייועדו לתחום הקרוב לנושא התובענה הייצוגית שהוגשה; נוכח בית המשפט כי העברת הכספים לתחום הקרוב לנושא התובענה הייצוגית שהוגשה אינו מתאפשר בנסיבות העניין, רשאי בית המשפט להורות כי הכספים ייועדו לתחום אחר, הקרוב ככל האפשר לנושא התובענה."</w:t>
            </w:r>
            <w:r w:rsidR="0096273D">
              <w:rPr>
                <w:rFonts w:hint="cs"/>
                <w:rtl/>
              </w:rPr>
              <w:t>;</w:t>
            </w:r>
          </w:p>
        </w:tc>
      </w:tr>
      <w:tr w:rsidR="00F1058C" w:rsidTr="0096273D">
        <w:trPr>
          <w:cantSplit/>
        </w:trPr>
        <w:tc>
          <w:tcPr>
            <w:tcW w:w="1869" w:type="dxa"/>
          </w:tcPr>
          <w:p w:rsidR="00F1058C" w:rsidRPr="00FA7FD0" w:rsidRDefault="00F1058C" w:rsidP="00B11B5B">
            <w:pPr>
              <w:pStyle w:val="TableSideHeading"/>
              <w:ind w:right="0"/>
              <w:rPr>
                <w:rtl/>
              </w:rPr>
            </w:pPr>
          </w:p>
        </w:tc>
        <w:tc>
          <w:tcPr>
            <w:tcW w:w="623" w:type="dxa"/>
          </w:tcPr>
          <w:p w:rsidR="00F1058C" w:rsidRDefault="00F1058C" w:rsidP="00B11B5B">
            <w:pPr>
              <w:pStyle w:val="TableText"/>
              <w:rPr>
                <w:rtl/>
              </w:rPr>
            </w:pPr>
          </w:p>
        </w:tc>
        <w:tc>
          <w:tcPr>
            <w:tcW w:w="7144" w:type="dxa"/>
            <w:gridSpan w:val="6"/>
          </w:tcPr>
          <w:p w:rsidR="00F1058C" w:rsidRPr="00425002" w:rsidRDefault="00F1058C" w:rsidP="0096273D">
            <w:pPr>
              <w:pStyle w:val="TableBlock"/>
              <w:rPr>
                <w:rtl/>
              </w:rPr>
            </w:pPr>
            <w:r w:rsidRPr="00425002">
              <w:rPr>
                <w:rFonts w:hint="cs"/>
                <w:rtl/>
              </w:rPr>
              <w:t>(</w:t>
            </w:r>
            <w:r>
              <w:rPr>
                <w:rFonts w:hint="cs"/>
                <w:rtl/>
              </w:rPr>
              <w:t>3</w:t>
            </w:r>
            <w:r w:rsidRPr="00425002">
              <w:rPr>
                <w:rFonts w:hint="cs"/>
                <w:rtl/>
              </w:rPr>
              <w:t xml:space="preserve">) </w:t>
            </w:r>
            <w:r>
              <w:rPr>
                <w:rtl/>
              </w:rPr>
              <w:tab/>
            </w:r>
            <w:r w:rsidRPr="00425002">
              <w:rPr>
                <w:rFonts w:hint="cs"/>
                <w:rtl/>
              </w:rPr>
              <w:t>בסעיף קטן (ו), במקום "רשאי לתת" יבוא "י</w:t>
            </w:r>
            <w:r>
              <w:rPr>
                <w:rFonts w:hint="cs"/>
                <w:rtl/>
              </w:rPr>
              <w:t>י</w:t>
            </w:r>
            <w:r w:rsidRPr="00425002">
              <w:rPr>
                <w:rFonts w:hint="cs"/>
                <w:rtl/>
              </w:rPr>
              <w:t>תן";</w:t>
            </w:r>
          </w:p>
        </w:tc>
      </w:tr>
      <w:tr w:rsidR="00F1058C" w:rsidTr="0096273D">
        <w:trPr>
          <w:cantSplit/>
        </w:trPr>
        <w:tc>
          <w:tcPr>
            <w:tcW w:w="1869" w:type="dxa"/>
          </w:tcPr>
          <w:p w:rsidR="00F1058C" w:rsidRPr="00FA7FD0" w:rsidRDefault="00F1058C" w:rsidP="00B11B5B">
            <w:pPr>
              <w:pStyle w:val="TableSideHeading"/>
              <w:ind w:right="0"/>
              <w:rPr>
                <w:rtl/>
              </w:rPr>
            </w:pPr>
          </w:p>
        </w:tc>
        <w:tc>
          <w:tcPr>
            <w:tcW w:w="623" w:type="dxa"/>
          </w:tcPr>
          <w:p w:rsidR="00F1058C" w:rsidRDefault="00F1058C" w:rsidP="00B11B5B">
            <w:pPr>
              <w:pStyle w:val="TableText"/>
              <w:rPr>
                <w:rtl/>
              </w:rPr>
            </w:pPr>
          </w:p>
        </w:tc>
        <w:tc>
          <w:tcPr>
            <w:tcW w:w="7144" w:type="dxa"/>
            <w:gridSpan w:val="6"/>
          </w:tcPr>
          <w:p w:rsidR="00F1058C" w:rsidRPr="00425002" w:rsidRDefault="00F1058C" w:rsidP="0096273D">
            <w:pPr>
              <w:pStyle w:val="TableBlock"/>
              <w:rPr>
                <w:rtl/>
              </w:rPr>
            </w:pPr>
            <w:r w:rsidRPr="00425002">
              <w:rPr>
                <w:rFonts w:hint="cs"/>
                <w:rtl/>
              </w:rPr>
              <w:t>(</w:t>
            </w:r>
            <w:r>
              <w:rPr>
                <w:rFonts w:hint="cs"/>
                <w:rtl/>
              </w:rPr>
              <w:t>4</w:t>
            </w:r>
            <w:r w:rsidRPr="00425002">
              <w:rPr>
                <w:rFonts w:hint="cs"/>
                <w:rtl/>
              </w:rPr>
              <w:t xml:space="preserve">) </w:t>
            </w:r>
            <w:r w:rsidRPr="00425002">
              <w:rPr>
                <w:rtl/>
              </w:rPr>
              <w:tab/>
            </w:r>
            <w:r w:rsidRPr="00425002">
              <w:rPr>
                <w:rFonts w:hint="cs"/>
                <w:rtl/>
              </w:rPr>
              <w:t>בסופו יבוא "</w:t>
            </w:r>
            <w:r w:rsidRPr="00425002">
              <w:rPr>
                <w:rtl/>
              </w:rPr>
              <w:t>לרבות הוראות בדבר הגשת דין וחשבון סופי המתאר את ביצוע פסק הדין על ידי הצדדים</w:t>
            </w:r>
            <w:r>
              <w:rPr>
                <w:rFonts w:hint="cs"/>
                <w:rtl/>
              </w:rPr>
              <w:t>."</w:t>
            </w:r>
          </w:p>
        </w:tc>
      </w:tr>
      <w:tr w:rsidR="00F1058C" w:rsidTr="0096273D">
        <w:trPr>
          <w:cantSplit/>
        </w:trPr>
        <w:tc>
          <w:tcPr>
            <w:tcW w:w="1869" w:type="dxa"/>
          </w:tcPr>
          <w:p w:rsidR="00F1058C" w:rsidRPr="00FA7FD0" w:rsidRDefault="00F1058C" w:rsidP="00B11B5B">
            <w:pPr>
              <w:pStyle w:val="TableSideHeading"/>
              <w:ind w:right="0"/>
              <w:rPr>
                <w:rtl/>
              </w:rPr>
            </w:pPr>
            <w:r w:rsidRPr="00FA7FD0">
              <w:rPr>
                <w:rFonts w:hint="cs"/>
                <w:rtl/>
              </w:rPr>
              <w:t>תיקון סעיף 23</w:t>
            </w:r>
          </w:p>
        </w:tc>
        <w:tc>
          <w:tcPr>
            <w:tcW w:w="623" w:type="dxa"/>
          </w:tcPr>
          <w:p w:rsidR="00F1058C" w:rsidRDefault="00F1058C" w:rsidP="00B11B5B">
            <w:pPr>
              <w:pStyle w:val="TableText"/>
              <w:rPr>
                <w:rtl/>
              </w:rPr>
            </w:pPr>
            <w:r>
              <w:rPr>
                <w:rFonts w:hint="cs"/>
                <w:rtl/>
              </w:rPr>
              <w:t>5.</w:t>
            </w:r>
          </w:p>
        </w:tc>
        <w:tc>
          <w:tcPr>
            <w:tcW w:w="7144" w:type="dxa"/>
            <w:gridSpan w:val="6"/>
          </w:tcPr>
          <w:p w:rsidR="00F1058C" w:rsidRPr="00C231EA" w:rsidRDefault="00F1058C" w:rsidP="0096273D">
            <w:pPr>
              <w:pStyle w:val="TableBlock"/>
              <w:rPr>
                <w:rtl/>
              </w:rPr>
            </w:pPr>
            <w:r>
              <w:rPr>
                <w:rFonts w:hint="cs"/>
                <w:rtl/>
              </w:rPr>
              <w:t>בסעיף 23(א) לחוק העיקרי, בסופו יבוא "שכר טרחת בא הכוח המייצג לא יעלה על 15 אחוזים מהסכום שנגבה בפועל מתוך הסכום שנפסק לטובת הקבוצה."</w:t>
            </w:r>
          </w:p>
        </w:tc>
      </w:tr>
      <w:tr w:rsidR="00F1058C" w:rsidTr="0096273D">
        <w:trPr>
          <w:cantSplit/>
        </w:trPr>
        <w:tc>
          <w:tcPr>
            <w:tcW w:w="1869" w:type="dxa"/>
          </w:tcPr>
          <w:p w:rsidR="00F1058C" w:rsidRPr="00BD7844" w:rsidRDefault="00F1058C" w:rsidP="00B11B5B">
            <w:pPr>
              <w:pStyle w:val="TableSideHeading"/>
              <w:ind w:right="0"/>
              <w:rPr>
                <w:rtl/>
              </w:rPr>
            </w:pPr>
            <w:r w:rsidRPr="00FA7FD0">
              <w:rPr>
                <w:rFonts w:hint="cs"/>
                <w:rtl/>
              </w:rPr>
              <w:t>הוספת סעיף 27א</w:t>
            </w:r>
          </w:p>
        </w:tc>
        <w:tc>
          <w:tcPr>
            <w:tcW w:w="623" w:type="dxa"/>
          </w:tcPr>
          <w:p w:rsidR="00F1058C" w:rsidRDefault="00F1058C" w:rsidP="00B11B5B">
            <w:pPr>
              <w:pStyle w:val="TableText"/>
              <w:rPr>
                <w:rtl/>
              </w:rPr>
            </w:pPr>
            <w:r>
              <w:rPr>
                <w:rFonts w:hint="cs"/>
                <w:rtl/>
              </w:rPr>
              <w:t>6.</w:t>
            </w:r>
          </w:p>
        </w:tc>
        <w:tc>
          <w:tcPr>
            <w:tcW w:w="7144" w:type="dxa"/>
            <w:gridSpan w:val="6"/>
          </w:tcPr>
          <w:p w:rsidR="00F1058C" w:rsidRDefault="00F1058C" w:rsidP="0096273D">
            <w:pPr>
              <w:pStyle w:val="TableBlock"/>
              <w:rPr>
                <w:rtl/>
              </w:rPr>
            </w:pPr>
            <w:r>
              <w:rPr>
                <w:rFonts w:hint="cs"/>
                <w:rtl/>
              </w:rPr>
              <w:t>אחרי סעיף 27 לחוק העיקרי יבוא:</w:t>
            </w:r>
          </w:p>
        </w:tc>
      </w:tr>
      <w:tr w:rsidR="00F1058C" w:rsidTr="0096273D">
        <w:trPr>
          <w:cantSplit/>
        </w:trPr>
        <w:tc>
          <w:tcPr>
            <w:tcW w:w="1869" w:type="dxa"/>
          </w:tcPr>
          <w:p w:rsidR="00F1058C" w:rsidRPr="00214152" w:rsidRDefault="00F1058C" w:rsidP="00B11B5B">
            <w:pPr>
              <w:pStyle w:val="TableSideHeading"/>
              <w:ind w:right="0"/>
            </w:pPr>
          </w:p>
        </w:tc>
        <w:tc>
          <w:tcPr>
            <w:tcW w:w="623" w:type="dxa"/>
          </w:tcPr>
          <w:p w:rsidR="00F1058C" w:rsidRDefault="00F1058C" w:rsidP="00B11B5B">
            <w:pPr>
              <w:pStyle w:val="TableText"/>
              <w:keepLines w:val="0"/>
            </w:pPr>
          </w:p>
        </w:tc>
        <w:tc>
          <w:tcPr>
            <w:tcW w:w="1872" w:type="dxa"/>
            <w:gridSpan w:val="3"/>
          </w:tcPr>
          <w:p w:rsidR="00F1058C" w:rsidRDefault="00F1058C" w:rsidP="00B11B5B">
            <w:pPr>
              <w:pStyle w:val="TableInnerSideHeading"/>
            </w:pPr>
            <w:r>
              <w:rPr>
                <w:rFonts w:hint="cs"/>
                <w:rtl/>
              </w:rPr>
              <w:t>"</w:t>
            </w:r>
            <w:r w:rsidRPr="004D658D">
              <w:rPr>
                <w:rtl/>
              </w:rPr>
              <w:t>הקרן לחלוקת כספים שנפסקו כסעד לטובת הציבור</w:t>
            </w:r>
          </w:p>
        </w:tc>
        <w:tc>
          <w:tcPr>
            <w:tcW w:w="624" w:type="dxa"/>
          </w:tcPr>
          <w:p w:rsidR="00F1058C" w:rsidRDefault="00F1058C" w:rsidP="00B11B5B">
            <w:pPr>
              <w:pStyle w:val="TableText"/>
            </w:pPr>
            <w:r>
              <w:rPr>
                <w:rFonts w:hint="cs"/>
                <w:rtl/>
              </w:rPr>
              <w:t>27א</w:t>
            </w:r>
            <w:r w:rsidR="0096273D">
              <w:rPr>
                <w:rFonts w:hint="cs"/>
                <w:rtl/>
              </w:rPr>
              <w:t>.</w:t>
            </w:r>
          </w:p>
        </w:tc>
        <w:tc>
          <w:tcPr>
            <w:tcW w:w="4648" w:type="dxa"/>
            <w:gridSpan w:val="2"/>
          </w:tcPr>
          <w:p w:rsidR="0096273D" w:rsidRDefault="00F1058C" w:rsidP="0096273D">
            <w:pPr>
              <w:pStyle w:val="TableBlock"/>
            </w:pPr>
            <w:r>
              <w:rPr>
                <w:rFonts w:hint="cs"/>
                <w:rtl/>
              </w:rPr>
              <w:t>(</w:t>
            </w:r>
            <w:r w:rsidR="0096273D">
              <w:rPr>
                <w:rtl/>
              </w:rPr>
              <w:t>א)</w:t>
            </w:r>
            <w:r w:rsidR="0096273D">
              <w:rPr>
                <w:rFonts w:hint="cs"/>
                <w:rtl/>
              </w:rPr>
              <w:tab/>
            </w:r>
            <w:r>
              <w:rPr>
                <w:rtl/>
              </w:rPr>
              <w:t>מוקמת בזה קרן לניהול וחלוקת כספים</w:t>
            </w:r>
            <w:r w:rsidR="0096273D">
              <w:rPr>
                <w:rtl/>
              </w:rPr>
              <w:t xml:space="preserve"> הנפסקים מכוח סעיף 20(ג)</w:t>
            </w:r>
            <w:r>
              <w:rPr>
                <w:rtl/>
              </w:rPr>
              <w:t>.</w:t>
            </w:r>
          </w:p>
          <w:p w:rsidR="00F1058C" w:rsidRDefault="00F1058C" w:rsidP="00B11B5B">
            <w:pPr>
              <w:pStyle w:val="TableBlock"/>
            </w:pPr>
          </w:p>
        </w:tc>
      </w:tr>
      <w:tr w:rsidR="0096273D" w:rsidTr="0096273D">
        <w:trPr>
          <w:cantSplit/>
        </w:trPr>
        <w:tc>
          <w:tcPr>
            <w:tcW w:w="1869" w:type="dxa"/>
          </w:tcPr>
          <w:p w:rsidR="0096273D" w:rsidRDefault="0096273D">
            <w:pPr>
              <w:pStyle w:val="TableSideHeading"/>
              <w:rPr>
                <w:rFonts w:hint="cs"/>
              </w:rPr>
            </w:pPr>
          </w:p>
        </w:tc>
        <w:tc>
          <w:tcPr>
            <w:tcW w:w="623" w:type="dxa"/>
          </w:tcPr>
          <w:p w:rsidR="0096273D" w:rsidRDefault="0096273D">
            <w:pPr>
              <w:pStyle w:val="TableText"/>
            </w:pPr>
          </w:p>
        </w:tc>
        <w:tc>
          <w:tcPr>
            <w:tcW w:w="624" w:type="dxa"/>
          </w:tcPr>
          <w:p w:rsidR="0096273D" w:rsidRDefault="0096273D">
            <w:pPr>
              <w:pStyle w:val="TableText"/>
              <w:rPr>
                <w:rFonts w:hint="cs"/>
              </w:rPr>
            </w:pPr>
          </w:p>
        </w:tc>
        <w:tc>
          <w:tcPr>
            <w:tcW w:w="624" w:type="dxa"/>
          </w:tcPr>
          <w:p w:rsidR="0096273D" w:rsidRDefault="0096273D">
            <w:pPr>
              <w:pStyle w:val="TableText"/>
            </w:pPr>
          </w:p>
        </w:tc>
        <w:tc>
          <w:tcPr>
            <w:tcW w:w="624" w:type="dxa"/>
          </w:tcPr>
          <w:p w:rsidR="0096273D" w:rsidRDefault="0096273D">
            <w:pPr>
              <w:pStyle w:val="TableText"/>
            </w:pPr>
          </w:p>
        </w:tc>
        <w:tc>
          <w:tcPr>
            <w:tcW w:w="624" w:type="dxa"/>
          </w:tcPr>
          <w:p w:rsidR="0096273D" w:rsidRDefault="0096273D">
            <w:pPr>
              <w:pStyle w:val="TableText"/>
            </w:pPr>
          </w:p>
        </w:tc>
        <w:tc>
          <w:tcPr>
            <w:tcW w:w="4648" w:type="dxa"/>
            <w:gridSpan w:val="2"/>
          </w:tcPr>
          <w:p w:rsidR="0096273D" w:rsidRDefault="0096273D" w:rsidP="0096273D">
            <w:pPr>
              <w:pStyle w:val="TableBlock"/>
            </w:pPr>
            <w:r>
              <w:rPr>
                <w:rtl/>
              </w:rPr>
              <w:t>(ב)</w:t>
            </w:r>
            <w:r>
              <w:rPr>
                <w:rFonts w:hint="cs"/>
                <w:rtl/>
              </w:rPr>
              <w:tab/>
            </w:r>
            <w:r>
              <w:rPr>
                <w:rtl/>
              </w:rPr>
              <w:t>מטרת הקרן לחלק את הכספ</w:t>
            </w:r>
            <w:r>
              <w:rPr>
                <w:rtl/>
              </w:rPr>
              <w:t>ים הנפסקים מכוח סעיף 20(ג)</w:t>
            </w:r>
            <w:r>
              <w:rPr>
                <w:rFonts w:hint="cs"/>
                <w:rtl/>
              </w:rPr>
              <w:t xml:space="preserve"> </w:t>
            </w:r>
            <w:r>
              <w:rPr>
                <w:rtl/>
              </w:rPr>
              <w:t xml:space="preserve">לטובת מטרות ציבוריות שונות, </w:t>
            </w:r>
            <w:proofErr w:type="spellStart"/>
            <w:r>
              <w:rPr>
                <w:rtl/>
              </w:rPr>
              <w:t>הכל</w:t>
            </w:r>
            <w:proofErr w:type="spellEnd"/>
            <w:r>
              <w:rPr>
                <w:rtl/>
              </w:rPr>
              <w:t xml:space="preserve"> כפי שיוגדר בנהלי הקרן.</w:t>
            </w:r>
            <w:r>
              <w:rPr>
                <w:rtl/>
              </w:rPr>
              <w:t xml:space="preserve"> </w:t>
            </w:r>
            <w:r w:rsidRPr="007973B6">
              <w:rPr>
                <w:rFonts w:hint="cs"/>
                <w:rtl/>
              </w:rPr>
              <w:t xml:space="preserve"> </w:t>
            </w:r>
          </w:p>
        </w:tc>
      </w:tr>
      <w:tr w:rsidR="0096273D" w:rsidTr="0096273D">
        <w:trPr>
          <w:cantSplit/>
        </w:trPr>
        <w:tc>
          <w:tcPr>
            <w:tcW w:w="1869" w:type="dxa"/>
          </w:tcPr>
          <w:p w:rsidR="0096273D" w:rsidRDefault="0096273D">
            <w:pPr>
              <w:pStyle w:val="TableSideHeading"/>
              <w:rPr>
                <w:rFonts w:hint="cs"/>
              </w:rPr>
            </w:pPr>
          </w:p>
        </w:tc>
        <w:tc>
          <w:tcPr>
            <w:tcW w:w="623" w:type="dxa"/>
          </w:tcPr>
          <w:p w:rsidR="0096273D" w:rsidRDefault="0096273D" w:rsidP="0096273D">
            <w:pPr>
              <w:pStyle w:val="TableText"/>
            </w:pPr>
          </w:p>
        </w:tc>
        <w:tc>
          <w:tcPr>
            <w:tcW w:w="624" w:type="dxa"/>
          </w:tcPr>
          <w:p w:rsidR="0096273D" w:rsidRDefault="0096273D">
            <w:pPr>
              <w:pStyle w:val="TableText"/>
              <w:rPr>
                <w:rFonts w:hint="cs"/>
              </w:rPr>
            </w:pPr>
          </w:p>
        </w:tc>
        <w:tc>
          <w:tcPr>
            <w:tcW w:w="624" w:type="dxa"/>
          </w:tcPr>
          <w:p w:rsidR="0096273D" w:rsidRDefault="0096273D">
            <w:pPr>
              <w:pStyle w:val="TableText"/>
            </w:pPr>
          </w:p>
        </w:tc>
        <w:tc>
          <w:tcPr>
            <w:tcW w:w="624" w:type="dxa"/>
          </w:tcPr>
          <w:p w:rsidR="0096273D" w:rsidRDefault="0096273D">
            <w:pPr>
              <w:pStyle w:val="TableText"/>
            </w:pPr>
          </w:p>
        </w:tc>
        <w:tc>
          <w:tcPr>
            <w:tcW w:w="624" w:type="dxa"/>
          </w:tcPr>
          <w:p w:rsidR="0096273D" w:rsidRDefault="0096273D">
            <w:pPr>
              <w:pStyle w:val="TableText"/>
            </w:pPr>
          </w:p>
        </w:tc>
        <w:tc>
          <w:tcPr>
            <w:tcW w:w="4648" w:type="dxa"/>
            <w:gridSpan w:val="2"/>
          </w:tcPr>
          <w:p w:rsidR="0096273D" w:rsidRDefault="0096273D" w:rsidP="0096273D">
            <w:pPr>
              <w:pStyle w:val="TableBlock"/>
              <w:rPr>
                <w:rtl/>
              </w:rPr>
            </w:pPr>
            <w:r w:rsidRPr="007973B6">
              <w:rPr>
                <w:rFonts w:hint="cs"/>
                <w:rtl/>
              </w:rPr>
              <w:t xml:space="preserve">(ג) </w:t>
            </w:r>
            <w:r>
              <w:rPr>
                <w:rtl/>
              </w:rPr>
              <w:tab/>
            </w:r>
            <w:r w:rsidRPr="007973B6">
              <w:rPr>
                <w:rFonts w:hint="cs"/>
                <w:rtl/>
              </w:rPr>
              <w:t>הקרן תנוהל בידי הנהלה בת שלושה חברים, ואלה חבריה:</w:t>
            </w:r>
          </w:p>
        </w:tc>
      </w:tr>
      <w:tr w:rsidR="0096273D" w:rsidTr="0096273D">
        <w:trPr>
          <w:cantSplit/>
          <w:trHeight w:val="60"/>
        </w:trPr>
        <w:tc>
          <w:tcPr>
            <w:tcW w:w="1869" w:type="dxa"/>
          </w:tcPr>
          <w:p w:rsidR="0096273D" w:rsidRDefault="0096273D">
            <w:pPr>
              <w:pStyle w:val="TableSideHeading"/>
              <w:rPr>
                <w:rFonts w:hint="cs"/>
              </w:rPr>
            </w:pPr>
          </w:p>
        </w:tc>
        <w:tc>
          <w:tcPr>
            <w:tcW w:w="623" w:type="dxa"/>
          </w:tcPr>
          <w:p w:rsidR="0096273D" w:rsidRDefault="0096273D">
            <w:pPr>
              <w:pStyle w:val="TableText"/>
            </w:pPr>
          </w:p>
        </w:tc>
        <w:tc>
          <w:tcPr>
            <w:tcW w:w="624" w:type="dxa"/>
          </w:tcPr>
          <w:p w:rsidR="0096273D" w:rsidRDefault="0096273D">
            <w:pPr>
              <w:pStyle w:val="TableText"/>
              <w:rPr>
                <w:rFonts w:hint="cs"/>
              </w:rPr>
            </w:pPr>
          </w:p>
        </w:tc>
        <w:tc>
          <w:tcPr>
            <w:tcW w:w="624" w:type="dxa"/>
          </w:tcPr>
          <w:p w:rsidR="0096273D" w:rsidRDefault="0096273D">
            <w:pPr>
              <w:pStyle w:val="TableText"/>
              <w:rPr>
                <w:rFonts w:hint="cs"/>
              </w:rPr>
            </w:pPr>
          </w:p>
        </w:tc>
        <w:tc>
          <w:tcPr>
            <w:tcW w:w="624" w:type="dxa"/>
          </w:tcPr>
          <w:p w:rsidR="0096273D" w:rsidRDefault="0096273D">
            <w:pPr>
              <w:pStyle w:val="TableText"/>
            </w:pPr>
          </w:p>
        </w:tc>
        <w:tc>
          <w:tcPr>
            <w:tcW w:w="624" w:type="dxa"/>
          </w:tcPr>
          <w:p w:rsidR="0096273D" w:rsidRDefault="0096273D">
            <w:pPr>
              <w:pStyle w:val="TableText"/>
            </w:pPr>
          </w:p>
        </w:tc>
        <w:tc>
          <w:tcPr>
            <w:tcW w:w="624" w:type="dxa"/>
          </w:tcPr>
          <w:p w:rsidR="0096273D" w:rsidRDefault="0096273D">
            <w:pPr>
              <w:pStyle w:val="TableText"/>
            </w:pPr>
          </w:p>
        </w:tc>
        <w:tc>
          <w:tcPr>
            <w:tcW w:w="4024" w:type="dxa"/>
          </w:tcPr>
          <w:p w:rsidR="0096273D" w:rsidRDefault="0096273D" w:rsidP="0096273D">
            <w:pPr>
              <w:pStyle w:val="TableBlock"/>
            </w:pPr>
            <w:r w:rsidRPr="007973B6">
              <w:rPr>
                <w:rFonts w:hint="cs"/>
                <w:rtl/>
              </w:rPr>
              <w:t>(1)</w:t>
            </w:r>
            <w:r>
              <w:rPr>
                <w:rtl/>
              </w:rPr>
              <w:tab/>
            </w:r>
            <w:r w:rsidRPr="007973B6">
              <w:rPr>
                <w:rFonts w:hint="cs"/>
                <w:rtl/>
              </w:rPr>
              <w:t xml:space="preserve"> האפוטרופוס הכללי</w:t>
            </w:r>
            <w:r>
              <w:rPr>
                <w:rFonts w:hint="cs"/>
                <w:rtl/>
              </w:rPr>
              <w:t>;</w:t>
            </w:r>
          </w:p>
        </w:tc>
      </w:tr>
      <w:tr w:rsidR="0096273D" w:rsidTr="0096273D">
        <w:trPr>
          <w:cantSplit/>
          <w:trHeight w:val="60"/>
        </w:trPr>
        <w:tc>
          <w:tcPr>
            <w:tcW w:w="1869" w:type="dxa"/>
          </w:tcPr>
          <w:p w:rsidR="0096273D" w:rsidRDefault="0096273D">
            <w:pPr>
              <w:pStyle w:val="TableSideHeading"/>
              <w:rPr>
                <w:rFonts w:hint="cs"/>
              </w:rPr>
            </w:pPr>
          </w:p>
        </w:tc>
        <w:tc>
          <w:tcPr>
            <w:tcW w:w="623" w:type="dxa"/>
          </w:tcPr>
          <w:p w:rsidR="0096273D" w:rsidRDefault="0096273D" w:rsidP="0096273D">
            <w:pPr>
              <w:pStyle w:val="TableText"/>
            </w:pPr>
          </w:p>
        </w:tc>
        <w:tc>
          <w:tcPr>
            <w:tcW w:w="624" w:type="dxa"/>
          </w:tcPr>
          <w:p w:rsidR="0096273D" w:rsidRDefault="0096273D">
            <w:pPr>
              <w:pStyle w:val="TableText"/>
              <w:rPr>
                <w:rFonts w:hint="cs"/>
              </w:rPr>
            </w:pPr>
          </w:p>
        </w:tc>
        <w:tc>
          <w:tcPr>
            <w:tcW w:w="624" w:type="dxa"/>
          </w:tcPr>
          <w:p w:rsidR="0096273D" w:rsidRDefault="0096273D">
            <w:pPr>
              <w:pStyle w:val="TableText"/>
              <w:rPr>
                <w:rFonts w:hint="cs"/>
              </w:rPr>
            </w:pPr>
          </w:p>
        </w:tc>
        <w:tc>
          <w:tcPr>
            <w:tcW w:w="624" w:type="dxa"/>
          </w:tcPr>
          <w:p w:rsidR="0096273D" w:rsidRDefault="0096273D">
            <w:pPr>
              <w:pStyle w:val="TableText"/>
            </w:pPr>
          </w:p>
        </w:tc>
        <w:tc>
          <w:tcPr>
            <w:tcW w:w="624" w:type="dxa"/>
          </w:tcPr>
          <w:p w:rsidR="0096273D" w:rsidRDefault="0096273D">
            <w:pPr>
              <w:pStyle w:val="TableText"/>
            </w:pPr>
          </w:p>
        </w:tc>
        <w:tc>
          <w:tcPr>
            <w:tcW w:w="624" w:type="dxa"/>
          </w:tcPr>
          <w:p w:rsidR="0096273D" w:rsidRDefault="0096273D">
            <w:pPr>
              <w:pStyle w:val="TableText"/>
            </w:pPr>
          </w:p>
        </w:tc>
        <w:tc>
          <w:tcPr>
            <w:tcW w:w="4024" w:type="dxa"/>
          </w:tcPr>
          <w:p w:rsidR="0096273D" w:rsidRDefault="0096273D">
            <w:pPr>
              <w:pStyle w:val="TableBlock"/>
            </w:pPr>
            <w:r w:rsidRPr="007973B6">
              <w:rPr>
                <w:rFonts w:hint="cs"/>
                <w:rtl/>
              </w:rPr>
              <w:t xml:space="preserve">(2) </w:t>
            </w:r>
            <w:r>
              <w:rPr>
                <w:rtl/>
              </w:rPr>
              <w:tab/>
            </w:r>
            <w:r w:rsidRPr="007973B6">
              <w:rPr>
                <w:rFonts w:hint="cs"/>
                <w:rtl/>
              </w:rPr>
              <w:t>שני חברים נוספים שימנה השר</w:t>
            </w:r>
            <w:r>
              <w:rPr>
                <w:rFonts w:hint="cs"/>
                <w:rtl/>
              </w:rPr>
              <w:t>.</w:t>
            </w:r>
          </w:p>
        </w:tc>
      </w:tr>
      <w:tr w:rsidR="0096273D" w:rsidTr="0096273D">
        <w:trPr>
          <w:cantSplit/>
        </w:trPr>
        <w:tc>
          <w:tcPr>
            <w:tcW w:w="1869" w:type="dxa"/>
          </w:tcPr>
          <w:p w:rsidR="0096273D" w:rsidRDefault="0096273D">
            <w:pPr>
              <w:pStyle w:val="TableSideHeading"/>
              <w:rPr>
                <w:rFonts w:hint="cs"/>
              </w:rPr>
            </w:pPr>
          </w:p>
        </w:tc>
        <w:tc>
          <w:tcPr>
            <w:tcW w:w="623" w:type="dxa"/>
          </w:tcPr>
          <w:p w:rsidR="0096273D" w:rsidRDefault="0096273D" w:rsidP="0096273D">
            <w:pPr>
              <w:pStyle w:val="TableText"/>
            </w:pPr>
          </w:p>
        </w:tc>
        <w:tc>
          <w:tcPr>
            <w:tcW w:w="624" w:type="dxa"/>
          </w:tcPr>
          <w:p w:rsidR="0096273D" w:rsidRDefault="0096273D">
            <w:pPr>
              <w:pStyle w:val="TableText"/>
              <w:rPr>
                <w:rFonts w:hint="cs"/>
              </w:rPr>
            </w:pPr>
          </w:p>
        </w:tc>
        <w:tc>
          <w:tcPr>
            <w:tcW w:w="624" w:type="dxa"/>
          </w:tcPr>
          <w:p w:rsidR="0096273D" w:rsidRDefault="0096273D">
            <w:pPr>
              <w:pStyle w:val="TableText"/>
            </w:pPr>
          </w:p>
        </w:tc>
        <w:tc>
          <w:tcPr>
            <w:tcW w:w="624" w:type="dxa"/>
          </w:tcPr>
          <w:p w:rsidR="0096273D" w:rsidRDefault="0096273D">
            <w:pPr>
              <w:pStyle w:val="TableText"/>
            </w:pPr>
          </w:p>
        </w:tc>
        <w:tc>
          <w:tcPr>
            <w:tcW w:w="624" w:type="dxa"/>
          </w:tcPr>
          <w:p w:rsidR="0096273D" w:rsidRDefault="0096273D">
            <w:pPr>
              <w:pStyle w:val="TableText"/>
            </w:pPr>
          </w:p>
        </w:tc>
        <w:tc>
          <w:tcPr>
            <w:tcW w:w="4648" w:type="dxa"/>
            <w:gridSpan w:val="2"/>
          </w:tcPr>
          <w:p w:rsidR="0096273D" w:rsidRPr="007973B6" w:rsidRDefault="0096273D" w:rsidP="0096273D">
            <w:pPr>
              <w:pStyle w:val="TableBlock"/>
              <w:rPr>
                <w:rFonts w:hint="cs"/>
                <w:rtl/>
              </w:rPr>
            </w:pPr>
            <w:r>
              <w:rPr>
                <w:rtl/>
              </w:rPr>
              <w:t xml:space="preserve">(ד) </w:t>
            </w:r>
            <w:r>
              <w:rPr>
                <w:rFonts w:hint="cs"/>
                <w:rtl/>
              </w:rPr>
              <w:tab/>
            </w:r>
            <w:r>
              <w:rPr>
                <w:rtl/>
              </w:rPr>
              <w:t xml:space="preserve">השר יקבע הוראות לביצוע סעיף זה, לרבות בדבר מבחנים לחלוקת הכספים ואופן הפרסום של מבחנים כאמור, בדבר סדרי הגשת בקשות לקבלת תמיכה מן הקרן, סדרי עבודתה של הקרן ומתן דיווח בידי מקבל התמיכות לעניין השימוש שעשו בכספים שקיבלו מהקרן. </w:t>
            </w:r>
          </w:p>
        </w:tc>
      </w:tr>
      <w:tr w:rsidR="0096273D" w:rsidTr="0096273D">
        <w:trPr>
          <w:cantSplit/>
        </w:trPr>
        <w:tc>
          <w:tcPr>
            <w:tcW w:w="1869" w:type="dxa"/>
          </w:tcPr>
          <w:p w:rsidR="0096273D" w:rsidRDefault="0096273D">
            <w:pPr>
              <w:pStyle w:val="TableSideHeading"/>
              <w:rPr>
                <w:rFonts w:hint="cs"/>
              </w:rPr>
            </w:pPr>
          </w:p>
        </w:tc>
        <w:tc>
          <w:tcPr>
            <w:tcW w:w="623" w:type="dxa"/>
          </w:tcPr>
          <w:p w:rsidR="0096273D" w:rsidRDefault="0096273D" w:rsidP="0096273D">
            <w:pPr>
              <w:pStyle w:val="TableText"/>
            </w:pPr>
          </w:p>
        </w:tc>
        <w:tc>
          <w:tcPr>
            <w:tcW w:w="624" w:type="dxa"/>
          </w:tcPr>
          <w:p w:rsidR="0096273D" w:rsidRDefault="0096273D">
            <w:pPr>
              <w:pStyle w:val="TableText"/>
              <w:rPr>
                <w:rFonts w:hint="cs"/>
              </w:rPr>
            </w:pPr>
          </w:p>
        </w:tc>
        <w:tc>
          <w:tcPr>
            <w:tcW w:w="624" w:type="dxa"/>
          </w:tcPr>
          <w:p w:rsidR="0096273D" w:rsidRDefault="0096273D">
            <w:pPr>
              <w:pStyle w:val="TableText"/>
            </w:pPr>
          </w:p>
        </w:tc>
        <w:tc>
          <w:tcPr>
            <w:tcW w:w="624" w:type="dxa"/>
          </w:tcPr>
          <w:p w:rsidR="0096273D" w:rsidRDefault="0096273D">
            <w:pPr>
              <w:pStyle w:val="TableText"/>
            </w:pPr>
          </w:p>
        </w:tc>
        <w:tc>
          <w:tcPr>
            <w:tcW w:w="624" w:type="dxa"/>
          </w:tcPr>
          <w:p w:rsidR="0096273D" w:rsidRDefault="0096273D">
            <w:pPr>
              <w:pStyle w:val="TableText"/>
            </w:pPr>
          </w:p>
        </w:tc>
        <w:tc>
          <w:tcPr>
            <w:tcW w:w="4648" w:type="dxa"/>
            <w:gridSpan w:val="2"/>
          </w:tcPr>
          <w:p w:rsidR="0096273D" w:rsidRPr="007973B6" w:rsidRDefault="0096273D" w:rsidP="0096273D">
            <w:pPr>
              <w:pStyle w:val="TableBlock"/>
              <w:rPr>
                <w:rtl/>
              </w:rPr>
            </w:pPr>
            <w:r>
              <w:rPr>
                <w:rtl/>
              </w:rPr>
              <w:t xml:space="preserve">(ה) </w:t>
            </w:r>
            <w:r>
              <w:rPr>
                <w:rFonts w:hint="cs"/>
                <w:rtl/>
              </w:rPr>
              <w:tab/>
            </w:r>
            <w:r>
              <w:rPr>
                <w:rtl/>
              </w:rPr>
              <w:t>השר יפרסם בתום כל שנת תקציב, ברשומות ובאתר האינטרנט של משרד המשפטים, דין וחשבון על פעולות הקרן, הכנסותיה והוצאותיה.</w:t>
            </w:r>
            <w:r>
              <w:rPr>
                <w:rFonts w:hint="cs"/>
                <w:rtl/>
              </w:rPr>
              <w:t>"</w:t>
            </w:r>
          </w:p>
        </w:tc>
      </w:tr>
    </w:tbl>
    <w:p w:rsidR="00F1058C" w:rsidRDefault="00F1058C" w:rsidP="00F1058C">
      <w:pPr>
        <w:pStyle w:val="HeadDivreiHesber"/>
        <w:spacing w:before="0" w:after="0"/>
        <w:rPr>
          <w:rtl/>
        </w:rPr>
      </w:pPr>
    </w:p>
    <w:p w:rsidR="00F1058C" w:rsidRDefault="00F1058C" w:rsidP="00F1058C">
      <w:pPr>
        <w:pStyle w:val="HeadDivreiHesber"/>
        <w:spacing w:before="0" w:after="0"/>
        <w:rPr>
          <w:rtl/>
        </w:rPr>
      </w:pPr>
      <w:r>
        <w:rPr>
          <w:rFonts w:hint="cs"/>
          <w:rtl/>
        </w:rPr>
        <w:t>דברי הסבר</w:t>
      </w:r>
    </w:p>
    <w:p w:rsidR="00F1058C" w:rsidRPr="00BD7844" w:rsidRDefault="00F1058C" w:rsidP="00F1058C">
      <w:pPr>
        <w:pStyle w:val="Hesber"/>
        <w:rPr>
          <w:rtl/>
        </w:rPr>
      </w:pPr>
      <w:r w:rsidRPr="00AA02CB">
        <w:rPr>
          <w:rFonts w:hint="cs"/>
          <w:rtl/>
        </w:rPr>
        <w:t xml:space="preserve">חוק תובענות ייצוגיות, </w:t>
      </w:r>
      <w:proofErr w:type="spellStart"/>
      <w:r w:rsidRPr="00AA02CB">
        <w:rPr>
          <w:rFonts w:hint="cs"/>
          <w:rtl/>
        </w:rPr>
        <w:t>התשס"ו</w:t>
      </w:r>
      <w:proofErr w:type="spellEnd"/>
      <w:r>
        <w:rPr>
          <w:rFonts w:hint="eastAsia"/>
          <w:rtl/>
        </w:rPr>
        <w:t>–</w:t>
      </w:r>
      <w:r w:rsidRPr="00AA02CB">
        <w:rPr>
          <w:rFonts w:hint="cs"/>
          <w:rtl/>
        </w:rPr>
        <w:t>2006</w:t>
      </w:r>
      <w:r w:rsidR="0096273D">
        <w:rPr>
          <w:rFonts w:hint="cs"/>
          <w:rtl/>
        </w:rPr>
        <w:t>,</w:t>
      </w:r>
      <w:r w:rsidRPr="00AA02CB">
        <w:rPr>
          <w:rFonts w:hint="cs"/>
          <w:rtl/>
        </w:rPr>
        <w:t xml:space="preserve"> נועד לקבוע הסדר שלם וממצה של מנגנון התובענה הייצוגית בדין הישראלי. מטרותיו של החוק, אשר הוגדרו בסעיף 1 לחוק, הן מימוש זכות הגישה לבית המשפט, אכיפת הדין והרתעה מפני הפרתו, מתן סעד הולם לנפגעים מהפרת הדין וניהול יעיל, הוגן וממצה של תביעות. כדי להשיג מטרות אלה קבע החוק, בין היתר, הוראות מפורטות המסדירות את נושא הסכמי הפשרה וההסתלקות בתובענה הייצוגית. בעיות רבות ביישום החוק נוגעות לפשרה והסתלקות: חלק מהתביעות הן תביעות ראויות, אשר מסתיימות בפשרות שעלותן לנתבע ותועלתן לקבוצת התובעים נמוכה; חלק אחר מהתביעות הן תביעות סרק, ולמרות זאת נתבעים מסכימים להתפשר בהן כדי להסיר מעל עצמם את המטרד הכרוך בהתגוננות מולם; בעיות נוספות נובעות מקשיים בהליך אישור הפשרה בתובענה הייצוגית - קשיי הערכה של שווי הפשרה לקבוצה המיוצגת וקשיים הנוגעים מהיעדרו של הליך אדברסרי. קשיים ובעיות אלה מפחיתים מתועלתה של התובענה הי</w:t>
      </w:r>
      <w:r w:rsidRPr="00FA7FD0">
        <w:rPr>
          <w:rFonts w:hint="cs"/>
          <w:rtl/>
        </w:rPr>
        <w:t>יצוגית ומעמיסים עלויות מיותרות על נתבעים ועל בתי המשפט</w:t>
      </w:r>
      <w:r w:rsidRPr="00BD7844">
        <w:rPr>
          <w:rFonts w:hint="cs"/>
          <w:rtl/>
        </w:rPr>
        <w:t>.</w:t>
      </w:r>
    </w:p>
    <w:p w:rsidR="00F1058C" w:rsidRPr="00BD7844" w:rsidRDefault="00F1058C" w:rsidP="00F1058C">
      <w:pPr>
        <w:pStyle w:val="Hesber"/>
        <w:rPr>
          <w:rtl/>
        </w:rPr>
      </w:pPr>
      <w:r w:rsidRPr="00BD7844">
        <w:rPr>
          <w:rFonts w:hint="cs"/>
          <w:rtl/>
        </w:rPr>
        <w:t>אשר על כן, מוצע לתקן את הבעיות השונות כפי שיפורט להלן</w:t>
      </w:r>
      <w:r>
        <w:rPr>
          <w:rFonts w:hint="cs"/>
          <w:rtl/>
        </w:rPr>
        <w:t>.</w:t>
      </w:r>
    </w:p>
    <w:p w:rsidR="00F1058C" w:rsidRPr="00BD7844" w:rsidRDefault="00F1058C" w:rsidP="00F1058C">
      <w:pPr>
        <w:pStyle w:val="Hesber"/>
        <w:rPr>
          <w:rtl/>
        </w:rPr>
      </w:pPr>
      <w:r w:rsidRPr="00BD7844">
        <w:rPr>
          <w:rFonts w:hint="cs"/>
          <w:rtl/>
        </w:rPr>
        <w:t xml:space="preserve">במקרים רבים </w:t>
      </w:r>
      <w:r w:rsidRPr="00B02742">
        <w:rPr>
          <w:rFonts w:hint="cs"/>
          <w:rtl/>
        </w:rPr>
        <w:t xml:space="preserve">מסכים </w:t>
      </w:r>
      <w:r w:rsidRPr="00BD7844">
        <w:rPr>
          <w:rFonts w:hint="cs"/>
          <w:rtl/>
        </w:rPr>
        <w:t xml:space="preserve">הנתבע לתת לתובע טובת הנאה כדי לחסוך מעצמו את ניהול ההליך. בקשות כאלה מטילות עומס על מערכת המשפט, גורמות עלויות מיותרות לנתבעים ואינן משרתות את עניינם של חברי הקבוצה המיוצגת ושל הציבור. </w:t>
      </w:r>
    </w:p>
    <w:p w:rsidR="00F1058C" w:rsidRPr="00BD7844" w:rsidRDefault="00F1058C" w:rsidP="00F1058C">
      <w:pPr>
        <w:pStyle w:val="Hesber"/>
        <w:rPr>
          <w:rtl/>
        </w:rPr>
      </w:pPr>
      <w:r w:rsidRPr="00BD7844">
        <w:rPr>
          <w:rFonts w:hint="cs"/>
          <w:rtl/>
        </w:rPr>
        <w:t xml:space="preserve">מוצע לקבוע במפורש כי התובע המייצג ובא כוחו לא יקבלו כל גמול, שכר טרחה או טובת הנאה </w:t>
      </w:r>
      <w:r w:rsidRPr="00BD7844">
        <w:rPr>
          <w:rFonts w:hint="cs"/>
          <w:rtl/>
        </w:rPr>
        <w:lastRenderedPageBreak/>
        <w:t xml:space="preserve">במסגרת הסתלקותם, אלא אם מדובר </w:t>
      </w:r>
      <w:r w:rsidRPr="00E11D5B">
        <w:rPr>
          <w:rFonts w:hint="cs"/>
          <w:rtl/>
        </w:rPr>
        <w:t>בבקשת אישור או בתובענה ייצוגית</w:t>
      </w:r>
      <w:r w:rsidRPr="00BD7844">
        <w:rPr>
          <w:rFonts w:hint="cs"/>
          <w:rtl/>
        </w:rPr>
        <w:t xml:space="preserve"> שהביאו תועלת לחברי הקבוצה.</w:t>
      </w:r>
    </w:p>
    <w:p w:rsidR="00F1058C" w:rsidRPr="00AA02CB" w:rsidRDefault="00F1058C" w:rsidP="00F1058C">
      <w:pPr>
        <w:pStyle w:val="Hesber"/>
        <w:rPr>
          <w:rtl/>
        </w:rPr>
      </w:pPr>
      <w:r w:rsidRPr="00BD7844">
        <w:rPr>
          <w:rFonts w:hint="cs"/>
          <w:rtl/>
        </w:rPr>
        <w:t>בפסק הדין שניתן לאחרונה בע"א</w:t>
      </w:r>
      <w:r w:rsidRPr="00BD7844">
        <w:t xml:space="preserve"> </w:t>
      </w:r>
      <w:r w:rsidRPr="00BD7844">
        <w:rPr>
          <w:rFonts w:hint="cs"/>
          <w:rtl/>
        </w:rPr>
        <w:t xml:space="preserve">7809/12 </w:t>
      </w:r>
      <w:proofErr w:type="spellStart"/>
      <w:r w:rsidRPr="0096273D">
        <w:rPr>
          <w:rFonts w:hint="eastAsia"/>
          <w:b/>
          <w:bCs/>
          <w:rtl/>
        </w:rPr>
        <w:t>חזאן</w:t>
      </w:r>
      <w:proofErr w:type="spellEnd"/>
      <w:r w:rsidRPr="0096273D">
        <w:rPr>
          <w:b/>
          <w:bCs/>
          <w:rtl/>
        </w:rPr>
        <w:t xml:space="preserve"> נ' קלאב הוטל</w:t>
      </w:r>
      <w:r>
        <w:rPr>
          <w:rFonts w:hint="cs"/>
          <w:rtl/>
        </w:rPr>
        <w:t xml:space="preserve">, פס' 14 לפסק דינו של הנשיא </w:t>
      </w:r>
      <w:proofErr w:type="spellStart"/>
      <w:r>
        <w:rPr>
          <w:rFonts w:hint="cs"/>
          <w:rtl/>
        </w:rPr>
        <w:t>גרוניס</w:t>
      </w:r>
      <w:proofErr w:type="spellEnd"/>
      <w:r>
        <w:rPr>
          <w:rFonts w:hint="cs"/>
          <w:rtl/>
        </w:rPr>
        <w:t xml:space="preserve"> (פורסם בנבו, 31/12/2013)</w:t>
      </w:r>
      <w:r w:rsidRPr="00AA02CB">
        <w:rPr>
          <w:rFonts w:hint="cs"/>
          <w:rtl/>
        </w:rPr>
        <w:t xml:space="preserve">, עמד הנשיא </w:t>
      </w:r>
      <w:proofErr w:type="spellStart"/>
      <w:r w:rsidRPr="00AA02CB">
        <w:rPr>
          <w:rFonts w:hint="cs"/>
          <w:rtl/>
        </w:rPr>
        <w:t>גרוניס</w:t>
      </w:r>
      <w:proofErr w:type="spellEnd"/>
      <w:r w:rsidRPr="00AA02CB">
        <w:rPr>
          <w:rFonts w:hint="cs"/>
          <w:rtl/>
        </w:rPr>
        <w:t xml:space="preserve"> על </w:t>
      </w:r>
      <w:r w:rsidRPr="00AA02CB">
        <w:rPr>
          <w:rFonts w:hint="eastAsia"/>
          <w:rtl/>
        </w:rPr>
        <w:t>חשיבותו</w:t>
      </w:r>
      <w:r w:rsidRPr="00AA02CB">
        <w:rPr>
          <w:rtl/>
        </w:rPr>
        <w:t xml:space="preserve"> של מוסד ההתנגדות</w:t>
      </w:r>
      <w:r w:rsidRPr="00B11B5B">
        <w:rPr>
          <w:rtl/>
        </w:rPr>
        <w:t xml:space="preserve"> </w:t>
      </w:r>
      <w:r w:rsidRPr="00AA02CB">
        <w:rPr>
          <w:rFonts w:hint="cs"/>
          <w:rtl/>
        </w:rPr>
        <w:t xml:space="preserve">בתובענות ייצוגיות. הנשיא </w:t>
      </w:r>
      <w:proofErr w:type="spellStart"/>
      <w:r w:rsidRPr="00AA02CB">
        <w:rPr>
          <w:rFonts w:hint="cs"/>
          <w:rtl/>
        </w:rPr>
        <w:t>גרוניס</w:t>
      </w:r>
      <w:proofErr w:type="spellEnd"/>
      <w:r w:rsidRPr="00AA02CB">
        <w:rPr>
          <w:rFonts w:hint="cs"/>
          <w:rtl/>
        </w:rPr>
        <w:t xml:space="preserve"> ציין כי לעתים, בשל "בעיית הנציג", קיימת חשיבות רבה לשמוע לא רק את עמדתם של צדדים שלישיים בנוגע להסכם הפשרה (למשל את חוות דעתו של הבודק) אלא גם את עמדתם של חברי קבוצה אחרים שאינם נמנים על התובעים המיוצגים. </w:t>
      </w:r>
    </w:p>
    <w:p w:rsidR="00F1058C" w:rsidRPr="007973B6" w:rsidRDefault="00F1058C" w:rsidP="00F1058C">
      <w:pPr>
        <w:pStyle w:val="Hesber"/>
        <w:rPr>
          <w:rtl/>
        </w:rPr>
      </w:pPr>
      <w:r w:rsidRPr="00AA02CB">
        <w:rPr>
          <w:rFonts w:hint="cs"/>
          <w:rtl/>
        </w:rPr>
        <w:t xml:space="preserve">לפיכך, מוצע לקבוע כי כל אדם המעוניין </w:t>
      </w:r>
      <w:r w:rsidRPr="00795472">
        <w:rPr>
          <w:rFonts w:hint="cs"/>
          <w:rtl/>
        </w:rPr>
        <w:t xml:space="preserve">בדבר יוכל להגיש התנגדותו להסדר פשרה אשר הוגש לאישורו של בית המשפט. </w:t>
      </w:r>
      <w:r w:rsidRPr="00BB2DAD">
        <w:rPr>
          <w:rFonts w:hint="cs"/>
          <w:rtl/>
        </w:rPr>
        <w:t xml:space="preserve">לצד פתיחת האפשרות </w:t>
      </w:r>
      <w:r w:rsidRPr="006B05B6">
        <w:rPr>
          <w:rFonts w:hint="eastAsia"/>
          <w:rtl/>
        </w:rPr>
        <w:t>לכל</w:t>
      </w:r>
      <w:r w:rsidRPr="006B05B6">
        <w:rPr>
          <w:rtl/>
        </w:rPr>
        <w:t xml:space="preserve"> </w:t>
      </w:r>
      <w:r w:rsidRPr="00214152">
        <w:rPr>
          <w:rFonts w:hint="eastAsia"/>
          <w:rtl/>
        </w:rPr>
        <w:t>אדם</w:t>
      </w:r>
      <w:r w:rsidRPr="00214152">
        <w:rPr>
          <w:rtl/>
        </w:rPr>
        <w:t xml:space="preserve"> </w:t>
      </w:r>
      <w:r w:rsidRPr="00781B78">
        <w:rPr>
          <w:rFonts w:hint="eastAsia"/>
          <w:rtl/>
        </w:rPr>
        <w:t>המעוניין</w:t>
      </w:r>
      <w:r w:rsidRPr="00781B78">
        <w:rPr>
          <w:rtl/>
        </w:rPr>
        <w:t xml:space="preserve"> </w:t>
      </w:r>
      <w:r w:rsidRPr="00781B78">
        <w:rPr>
          <w:rFonts w:hint="eastAsia"/>
          <w:rtl/>
        </w:rPr>
        <w:t>בדבר</w:t>
      </w:r>
      <w:r w:rsidRPr="00781B78">
        <w:rPr>
          <w:rtl/>
        </w:rPr>
        <w:t xml:space="preserve"> </w:t>
      </w:r>
      <w:r w:rsidRPr="00781B78">
        <w:rPr>
          <w:rFonts w:hint="eastAsia"/>
          <w:rtl/>
        </w:rPr>
        <w:t>להתנגד</w:t>
      </w:r>
      <w:r w:rsidRPr="00781B78">
        <w:rPr>
          <w:rtl/>
        </w:rPr>
        <w:t xml:space="preserve"> </w:t>
      </w:r>
      <w:r w:rsidRPr="00781B78">
        <w:rPr>
          <w:rFonts w:hint="eastAsia"/>
          <w:rtl/>
        </w:rPr>
        <w:t>להסדר</w:t>
      </w:r>
      <w:r w:rsidRPr="00781B78">
        <w:rPr>
          <w:rtl/>
        </w:rPr>
        <w:t xml:space="preserve"> </w:t>
      </w:r>
      <w:r w:rsidRPr="00781B78">
        <w:rPr>
          <w:rFonts w:hint="eastAsia"/>
          <w:rtl/>
        </w:rPr>
        <w:t>פשרה</w:t>
      </w:r>
      <w:r w:rsidRPr="00FA7FD0">
        <w:rPr>
          <w:rFonts w:hint="cs"/>
          <w:rtl/>
        </w:rPr>
        <w:t xml:space="preserve"> שהוגש לאישור בית המשפט, ראוי לקבוע </w:t>
      </w:r>
      <w:r w:rsidRPr="00BD7844">
        <w:rPr>
          <w:rFonts w:hint="cs"/>
          <w:rtl/>
        </w:rPr>
        <w:t xml:space="preserve">הסדר המונע הגשתן של התנגדויות סרק שמטרתן היחידה היא לקבל טובת הנאה מהצדדים תמורת הסתלקות מההתנגדות. על כן </w:t>
      </w:r>
      <w:r w:rsidRPr="007973B6">
        <w:rPr>
          <w:rFonts w:hint="cs"/>
          <w:rtl/>
        </w:rPr>
        <w:t>מוצע במקביל כי מתנגד לא יוכל להסתלק מהתנגדותו אלא אם יקבל את אישורו של בית המשפט</w:t>
      </w:r>
      <w:r>
        <w:rPr>
          <w:rFonts w:hint="cs"/>
          <w:rtl/>
        </w:rPr>
        <w:t>, וכן לא יקבל טובת הנאה בעבור ההסתלקות ללא אישורו של בית המשפט.</w:t>
      </w:r>
    </w:p>
    <w:p w:rsidR="00F1058C" w:rsidRPr="00AA02CB" w:rsidRDefault="00F1058C" w:rsidP="0096273D">
      <w:pPr>
        <w:pStyle w:val="Hesber"/>
        <w:rPr>
          <w:rtl/>
        </w:rPr>
      </w:pPr>
      <w:r w:rsidRPr="007973B6">
        <w:rPr>
          <w:rFonts w:hint="cs"/>
          <w:rtl/>
        </w:rPr>
        <w:t>כמו כן, ב</w:t>
      </w:r>
      <w:r w:rsidRPr="00AA02CB">
        <w:rPr>
          <w:rFonts w:hint="eastAsia"/>
          <w:rtl/>
        </w:rPr>
        <w:t>רוב</w:t>
      </w:r>
      <w:r w:rsidRPr="00AA02CB">
        <w:rPr>
          <w:rtl/>
        </w:rPr>
        <w:t xml:space="preserve"> </w:t>
      </w:r>
      <w:r w:rsidRPr="00AA02CB">
        <w:rPr>
          <w:rFonts w:hint="eastAsia"/>
          <w:rtl/>
        </w:rPr>
        <w:t>הסדרי</w:t>
      </w:r>
      <w:r w:rsidRPr="00AA02CB">
        <w:rPr>
          <w:rtl/>
        </w:rPr>
        <w:t xml:space="preserve"> </w:t>
      </w:r>
      <w:r w:rsidRPr="00AA02CB">
        <w:rPr>
          <w:rFonts w:hint="eastAsia"/>
          <w:rtl/>
        </w:rPr>
        <w:t>הפשרה</w:t>
      </w:r>
      <w:r w:rsidRPr="00AA02CB">
        <w:rPr>
          <w:rtl/>
        </w:rPr>
        <w:t xml:space="preserve"> </w:t>
      </w:r>
      <w:r w:rsidRPr="00AA02CB">
        <w:rPr>
          <w:rFonts w:hint="eastAsia"/>
          <w:rtl/>
        </w:rPr>
        <w:t>שאושרו</w:t>
      </w:r>
      <w:r w:rsidRPr="00AA02CB">
        <w:rPr>
          <w:rtl/>
        </w:rPr>
        <w:t xml:space="preserve">, </w:t>
      </w:r>
      <w:r w:rsidRPr="00AA02CB">
        <w:rPr>
          <w:rFonts w:hint="eastAsia"/>
          <w:rtl/>
        </w:rPr>
        <w:t>בתי</w:t>
      </w:r>
      <w:r w:rsidRPr="00AA02CB">
        <w:rPr>
          <w:rtl/>
        </w:rPr>
        <w:t xml:space="preserve"> </w:t>
      </w:r>
      <w:r w:rsidRPr="00AA02CB">
        <w:rPr>
          <w:rFonts w:hint="eastAsia"/>
          <w:rtl/>
        </w:rPr>
        <w:t>המשפט</w:t>
      </w:r>
      <w:r w:rsidRPr="00AA02CB">
        <w:rPr>
          <w:rtl/>
        </w:rPr>
        <w:t xml:space="preserve"> </w:t>
      </w:r>
      <w:r w:rsidRPr="00AA02CB">
        <w:rPr>
          <w:rFonts w:hint="eastAsia"/>
          <w:rtl/>
        </w:rPr>
        <w:t>לא</w:t>
      </w:r>
      <w:r w:rsidRPr="00AA02CB">
        <w:rPr>
          <w:rtl/>
        </w:rPr>
        <w:t xml:space="preserve"> </w:t>
      </w:r>
      <w:r w:rsidRPr="00AA02CB">
        <w:rPr>
          <w:rFonts w:hint="eastAsia"/>
          <w:rtl/>
        </w:rPr>
        <w:t>קבעו</w:t>
      </w:r>
      <w:r w:rsidRPr="00AA02CB">
        <w:rPr>
          <w:rtl/>
        </w:rPr>
        <w:t xml:space="preserve"> </w:t>
      </w:r>
      <w:r w:rsidRPr="00AA02CB">
        <w:rPr>
          <w:rFonts w:hint="eastAsia"/>
          <w:rtl/>
        </w:rPr>
        <w:t>מנגנונים</w:t>
      </w:r>
      <w:r w:rsidRPr="00AA02CB">
        <w:rPr>
          <w:rtl/>
        </w:rPr>
        <w:t xml:space="preserve"> </w:t>
      </w:r>
      <w:r w:rsidRPr="00AA02CB">
        <w:rPr>
          <w:rFonts w:hint="eastAsia"/>
          <w:rtl/>
        </w:rPr>
        <w:t>לפיקוח</w:t>
      </w:r>
      <w:r w:rsidRPr="00AA02CB">
        <w:rPr>
          <w:rtl/>
        </w:rPr>
        <w:t xml:space="preserve"> </w:t>
      </w:r>
      <w:r w:rsidRPr="00AA02CB">
        <w:rPr>
          <w:rFonts w:hint="eastAsia"/>
          <w:rtl/>
        </w:rPr>
        <w:t>על</w:t>
      </w:r>
      <w:r w:rsidRPr="00AA02CB">
        <w:rPr>
          <w:rtl/>
        </w:rPr>
        <w:t xml:space="preserve"> </w:t>
      </w:r>
      <w:r w:rsidRPr="00AA02CB">
        <w:rPr>
          <w:rFonts w:hint="eastAsia"/>
          <w:rtl/>
        </w:rPr>
        <w:t>המימוש</w:t>
      </w:r>
      <w:r w:rsidRPr="00AA02CB">
        <w:rPr>
          <w:rtl/>
        </w:rPr>
        <w:t xml:space="preserve">. מאחר שלאחר אישור הסדר הפשרה או מתן פסק הדין לנתבע ולתובע אין שום אינטרס במימוש, ומאחר שחברי הקבוצה המיוצגת אינם מודעים לפסק הדין או שזכותם על פיו מזערית מכדי להצדיק נקיטת צעדים למימושה, פסקי דין רבים המאשרים הסדרי פשרה אינם ממומשים, בחלקם או במלואם. בנוסף, בע"א 2046/10 </w:t>
      </w:r>
      <w:r w:rsidRPr="0096273D">
        <w:rPr>
          <w:b/>
          <w:bCs/>
          <w:rtl/>
        </w:rPr>
        <w:t xml:space="preserve">עזבון שמש נ' </w:t>
      </w:r>
      <w:proofErr w:type="spellStart"/>
      <w:r w:rsidRPr="0096273D">
        <w:rPr>
          <w:b/>
          <w:bCs/>
          <w:rtl/>
        </w:rPr>
        <w:t>רייכרט</w:t>
      </w:r>
      <w:proofErr w:type="spellEnd"/>
      <w:r>
        <w:rPr>
          <w:rFonts w:hint="cs"/>
          <w:rtl/>
        </w:rPr>
        <w:t xml:space="preserve"> (פורסם בנבו, 23/5/2012),</w:t>
      </w:r>
      <w:r w:rsidRPr="00AA02CB">
        <w:rPr>
          <w:rFonts w:hint="cs"/>
          <w:rtl/>
        </w:rPr>
        <w:t xml:space="preserve"> קבע בית המשפט העליון מפורשות כי </w:t>
      </w:r>
      <w:r w:rsidRPr="00AA02CB">
        <w:rPr>
          <w:rtl/>
        </w:rPr>
        <w:t xml:space="preserve">הדרך לחישוב שכר טרחת עורך הדין המייצג בתובענה ייצוגית </w:t>
      </w:r>
      <w:r w:rsidR="0096273D">
        <w:rPr>
          <w:rFonts w:hint="cs"/>
          <w:rtl/>
        </w:rPr>
        <w:t>תהיה</w:t>
      </w:r>
      <w:r w:rsidRPr="00AA02CB">
        <w:rPr>
          <w:rtl/>
        </w:rPr>
        <w:t xml:space="preserve"> כשיעור </w:t>
      </w:r>
      <w:r>
        <w:rPr>
          <w:rFonts w:hint="cs"/>
          <w:rtl/>
        </w:rPr>
        <w:t>מתוך הסכום</w:t>
      </w:r>
      <w:r w:rsidRPr="00AA02CB">
        <w:rPr>
          <w:rtl/>
        </w:rPr>
        <w:t xml:space="preserve"> שבו זכו חברי הקבוצה המיוצגת</w:t>
      </w:r>
      <w:r>
        <w:rPr>
          <w:rFonts w:hint="cs"/>
          <w:rtl/>
        </w:rPr>
        <w:t>.</w:t>
      </w:r>
    </w:p>
    <w:p w:rsidR="00F1058C" w:rsidRPr="00BD7844" w:rsidRDefault="00F1058C" w:rsidP="00F1058C">
      <w:pPr>
        <w:pStyle w:val="Hesber"/>
        <w:rPr>
          <w:rtl/>
        </w:rPr>
      </w:pPr>
      <w:r w:rsidRPr="00AA02CB">
        <w:rPr>
          <w:rFonts w:hint="cs"/>
          <w:rtl/>
        </w:rPr>
        <w:t>לפיכך מוצע לקבוע כי בית המשפט י</w:t>
      </w:r>
      <w:r>
        <w:rPr>
          <w:rFonts w:hint="cs"/>
          <w:rtl/>
        </w:rPr>
        <w:t>י</w:t>
      </w:r>
      <w:r w:rsidRPr="00AA02CB">
        <w:rPr>
          <w:rFonts w:hint="cs"/>
          <w:rtl/>
        </w:rPr>
        <w:t>תן הוראות בדבר פיקוח על ביצוע הסדר הפשרה וכי יורה לצדדים לדווח לו על ביצוע הסדר הפשרה.</w:t>
      </w:r>
      <w:r w:rsidRPr="00FA7FD0">
        <w:rPr>
          <w:rFonts w:hint="cs"/>
          <w:rtl/>
        </w:rPr>
        <w:t xml:space="preserve"> מוצע גם לקבוע כי תשלום שכר הטרחה לבא כוח המייצג יהיה מותנה, כולו או חלקו, במימוש הסדר הפשרה והשלמת ביצועו</w:t>
      </w:r>
      <w:r w:rsidRPr="00BD7844">
        <w:rPr>
          <w:rFonts w:hint="cs"/>
          <w:rtl/>
        </w:rPr>
        <w:t>.</w:t>
      </w:r>
    </w:p>
    <w:p w:rsidR="00F1058C" w:rsidRPr="00AA02CB" w:rsidRDefault="00F1058C" w:rsidP="00F1058C">
      <w:pPr>
        <w:pStyle w:val="Hesber"/>
        <w:rPr>
          <w:rtl/>
        </w:rPr>
      </w:pPr>
      <w:r>
        <w:rPr>
          <w:rFonts w:hint="cs"/>
          <w:rtl/>
        </w:rPr>
        <w:t>ב</w:t>
      </w:r>
      <w:r w:rsidRPr="00BD7844">
        <w:rPr>
          <w:rFonts w:hint="cs"/>
          <w:rtl/>
        </w:rPr>
        <w:t>עניין נוסף, כיום ניתן לקבוע פיצוי על תביעה בדרך של תרומה. פיצוי</w:t>
      </w:r>
      <w:r w:rsidRPr="00BD7844">
        <w:rPr>
          <w:rtl/>
        </w:rPr>
        <w:t xml:space="preserve"> </w:t>
      </w:r>
      <w:r w:rsidRPr="00BD7844">
        <w:rPr>
          <w:rFonts w:hint="cs"/>
          <w:rtl/>
        </w:rPr>
        <w:t>חברי</w:t>
      </w:r>
      <w:r w:rsidRPr="00BD7844">
        <w:rPr>
          <w:rtl/>
        </w:rPr>
        <w:t xml:space="preserve"> </w:t>
      </w:r>
      <w:r w:rsidRPr="00BD7844">
        <w:rPr>
          <w:rFonts w:hint="cs"/>
          <w:rtl/>
        </w:rPr>
        <w:t>הקבוצה</w:t>
      </w:r>
      <w:r w:rsidRPr="00BD7844">
        <w:rPr>
          <w:rtl/>
        </w:rPr>
        <w:t xml:space="preserve"> </w:t>
      </w:r>
      <w:r w:rsidRPr="00BD7844">
        <w:rPr>
          <w:rFonts w:hint="cs"/>
          <w:rtl/>
        </w:rPr>
        <w:t>בדרך</w:t>
      </w:r>
      <w:r w:rsidRPr="00E11D5B">
        <w:rPr>
          <w:rtl/>
        </w:rPr>
        <w:t xml:space="preserve"> </w:t>
      </w:r>
      <w:r w:rsidRPr="00E11D5B">
        <w:rPr>
          <w:rFonts w:hint="cs"/>
          <w:rtl/>
        </w:rPr>
        <w:t>של</w:t>
      </w:r>
      <w:r w:rsidRPr="008C645C">
        <w:rPr>
          <w:rtl/>
        </w:rPr>
        <w:t xml:space="preserve"> </w:t>
      </w:r>
      <w:r w:rsidRPr="007973B6">
        <w:rPr>
          <w:rFonts w:hint="cs"/>
          <w:rtl/>
        </w:rPr>
        <w:t>תרומה</w:t>
      </w:r>
      <w:r w:rsidRPr="007973B6">
        <w:rPr>
          <w:rtl/>
        </w:rPr>
        <w:t xml:space="preserve"> </w:t>
      </w:r>
      <w:r w:rsidRPr="007973B6">
        <w:rPr>
          <w:rFonts w:hint="cs"/>
          <w:rtl/>
        </w:rPr>
        <w:t>מעלה</w:t>
      </w:r>
      <w:r w:rsidRPr="007973B6">
        <w:rPr>
          <w:rtl/>
        </w:rPr>
        <w:t xml:space="preserve"> </w:t>
      </w:r>
      <w:r w:rsidRPr="007973B6">
        <w:rPr>
          <w:rFonts w:hint="cs"/>
          <w:rtl/>
        </w:rPr>
        <w:t>שאלות</w:t>
      </w:r>
      <w:r w:rsidRPr="00AA02CB">
        <w:rPr>
          <w:rtl/>
        </w:rPr>
        <w:t xml:space="preserve"> </w:t>
      </w:r>
      <w:r w:rsidRPr="00AA02CB">
        <w:rPr>
          <w:rFonts w:hint="eastAsia"/>
          <w:rtl/>
        </w:rPr>
        <w:t>שיש</w:t>
      </w:r>
      <w:r w:rsidRPr="00AA02CB">
        <w:rPr>
          <w:rtl/>
        </w:rPr>
        <w:t xml:space="preserve"> </w:t>
      </w:r>
      <w:r w:rsidRPr="00AA02CB">
        <w:rPr>
          <w:rFonts w:hint="eastAsia"/>
          <w:rtl/>
        </w:rPr>
        <w:t>להתחשב</w:t>
      </w:r>
      <w:r w:rsidRPr="00AA02CB">
        <w:rPr>
          <w:rtl/>
        </w:rPr>
        <w:t xml:space="preserve"> </w:t>
      </w:r>
      <w:r w:rsidRPr="00AA02CB">
        <w:rPr>
          <w:rFonts w:hint="eastAsia"/>
          <w:rtl/>
        </w:rPr>
        <w:t>בהן</w:t>
      </w:r>
      <w:r w:rsidRPr="00AA02CB">
        <w:rPr>
          <w:rtl/>
        </w:rPr>
        <w:t xml:space="preserve"> </w:t>
      </w:r>
      <w:r w:rsidRPr="00AA02CB">
        <w:rPr>
          <w:rFonts w:hint="eastAsia"/>
          <w:rtl/>
        </w:rPr>
        <w:t>טרם</w:t>
      </w:r>
      <w:r w:rsidRPr="00AA02CB">
        <w:rPr>
          <w:rtl/>
        </w:rPr>
        <w:t xml:space="preserve"> </w:t>
      </w:r>
      <w:r w:rsidRPr="00AA02CB">
        <w:rPr>
          <w:rFonts w:hint="eastAsia"/>
          <w:rtl/>
        </w:rPr>
        <w:t>אישור</w:t>
      </w:r>
      <w:r w:rsidRPr="00AA02CB">
        <w:rPr>
          <w:rtl/>
        </w:rPr>
        <w:t xml:space="preserve"> </w:t>
      </w:r>
      <w:r w:rsidRPr="00AA02CB">
        <w:rPr>
          <w:rFonts w:hint="eastAsia"/>
          <w:rtl/>
        </w:rPr>
        <w:t>הפיצוי</w:t>
      </w:r>
      <w:r w:rsidRPr="00AA02CB">
        <w:rPr>
          <w:rtl/>
        </w:rPr>
        <w:t xml:space="preserve"> </w:t>
      </w:r>
      <w:r w:rsidRPr="00AA02CB">
        <w:rPr>
          <w:rFonts w:hint="eastAsia"/>
          <w:rtl/>
        </w:rPr>
        <w:t>לעמותות</w:t>
      </w:r>
      <w:r w:rsidRPr="00AA02CB">
        <w:rPr>
          <w:rtl/>
        </w:rPr>
        <w:t xml:space="preserve"> </w:t>
      </w:r>
      <w:r w:rsidRPr="00AA02CB">
        <w:rPr>
          <w:rFonts w:hint="eastAsia"/>
          <w:rtl/>
        </w:rPr>
        <w:t>המוצעות</w:t>
      </w:r>
      <w:r w:rsidRPr="00AA02CB">
        <w:rPr>
          <w:rtl/>
        </w:rPr>
        <w:t xml:space="preserve"> </w:t>
      </w:r>
      <w:r w:rsidRPr="00AA02CB">
        <w:rPr>
          <w:rFonts w:hint="eastAsia"/>
          <w:rtl/>
        </w:rPr>
        <w:t>במסגרת</w:t>
      </w:r>
      <w:r w:rsidRPr="00AA02CB">
        <w:rPr>
          <w:rtl/>
        </w:rPr>
        <w:t xml:space="preserve"> </w:t>
      </w:r>
      <w:r w:rsidRPr="00AA02CB">
        <w:rPr>
          <w:rFonts w:hint="eastAsia"/>
          <w:rtl/>
        </w:rPr>
        <w:t>הסדרי</w:t>
      </w:r>
      <w:r w:rsidRPr="00AA02CB">
        <w:rPr>
          <w:rtl/>
        </w:rPr>
        <w:t xml:space="preserve"> </w:t>
      </w:r>
      <w:r w:rsidRPr="00AA02CB">
        <w:rPr>
          <w:rFonts w:hint="eastAsia"/>
          <w:rtl/>
        </w:rPr>
        <w:t>פשרה</w:t>
      </w:r>
      <w:r w:rsidRPr="00AA02CB">
        <w:rPr>
          <w:rtl/>
        </w:rPr>
        <w:t xml:space="preserve">: </w:t>
      </w:r>
      <w:r w:rsidRPr="00AA02CB">
        <w:rPr>
          <w:rFonts w:hint="eastAsia"/>
          <w:rtl/>
        </w:rPr>
        <w:t>שאלות</w:t>
      </w:r>
      <w:r w:rsidRPr="00AA02CB">
        <w:rPr>
          <w:rtl/>
        </w:rPr>
        <w:t xml:space="preserve"> </w:t>
      </w:r>
      <w:r w:rsidRPr="00AA02CB">
        <w:rPr>
          <w:rFonts w:hint="eastAsia"/>
          <w:rtl/>
        </w:rPr>
        <w:t>הנוגעות</w:t>
      </w:r>
      <w:r w:rsidRPr="00AA02CB">
        <w:rPr>
          <w:rtl/>
        </w:rPr>
        <w:t xml:space="preserve"> </w:t>
      </w:r>
      <w:r w:rsidRPr="00AA02CB">
        <w:rPr>
          <w:rFonts w:hint="eastAsia"/>
          <w:rtl/>
        </w:rPr>
        <w:t>לעצם</w:t>
      </w:r>
      <w:r w:rsidRPr="00AA02CB">
        <w:rPr>
          <w:rtl/>
        </w:rPr>
        <w:t xml:space="preserve"> </w:t>
      </w:r>
      <w:r w:rsidRPr="00AA02CB">
        <w:rPr>
          <w:rFonts w:hint="eastAsia"/>
          <w:rtl/>
        </w:rPr>
        <w:t>בחירת</w:t>
      </w:r>
      <w:r w:rsidRPr="00AA02CB">
        <w:rPr>
          <w:rtl/>
        </w:rPr>
        <w:t xml:space="preserve"> </w:t>
      </w:r>
      <w:r w:rsidRPr="00AA02CB">
        <w:rPr>
          <w:rFonts w:hint="eastAsia"/>
          <w:rtl/>
        </w:rPr>
        <w:t>העמותה</w:t>
      </w:r>
      <w:r w:rsidRPr="00AA02CB">
        <w:rPr>
          <w:rtl/>
        </w:rPr>
        <w:t xml:space="preserve"> </w:t>
      </w:r>
      <w:r w:rsidRPr="00AA02CB">
        <w:rPr>
          <w:rFonts w:hint="eastAsia"/>
          <w:rtl/>
        </w:rPr>
        <w:t>והיותה</w:t>
      </w:r>
      <w:r w:rsidRPr="00AA02CB">
        <w:rPr>
          <w:rtl/>
        </w:rPr>
        <w:t xml:space="preserve"> </w:t>
      </w:r>
      <w:r w:rsidRPr="00AA02CB">
        <w:rPr>
          <w:rFonts w:hint="eastAsia"/>
          <w:rtl/>
        </w:rPr>
        <w:t>ראויה</w:t>
      </w:r>
      <w:r w:rsidRPr="00AA02CB">
        <w:rPr>
          <w:rtl/>
        </w:rPr>
        <w:t xml:space="preserve"> </w:t>
      </w:r>
      <w:r w:rsidRPr="00AA02CB">
        <w:rPr>
          <w:rFonts w:hint="eastAsia"/>
          <w:rtl/>
        </w:rPr>
        <w:t>ומסוגלת</w:t>
      </w:r>
      <w:r w:rsidRPr="00AA02CB">
        <w:rPr>
          <w:rtl/>
        </w:rPr>
        <w:t xml:space="preserve"> </w:t>
      </w:r>
      <w:r w:rsidRPr="00AA02CB">
        <w:rPr>
          <w:rFonts w:hint="eastAsia"/>
          <w:rtl/>
        </w:rPr>
        <w:t>להשתמש</w:t>
      </w:r>
      <w:r w:rsidRPr="00AA02CB">
        <w:rPr>
          <w:rtl/>
        </w:rPr>
        <w:t xml:space="preserve"> </w:t>
      </w:r>
      <w:r w:rsidRPr="00AA02CB">
        <w:rPr>
          <w:rFonts w:hint="eastAsia"/>
          <w:rtl/>
        </w:rPr>
        <w:t>בכספים</w:t>
      </w:r>
      <w:r w:rsidRPr="00AA02CB">
        <w:rPr>
          <w:rtl/>
        </w:rPr>
        <w:t xml:space="preserve"> </w:t>
      </w:r>
      <w:r w:rsidRPr="00AA02CB">
        <w:rPr>
          <w:rFonts w:hint="eastAsia"/>
          <w:rtl/>
        </w:rPr>
        <w:t>הנוספים</w:t>
      </w:r>
      <w:r w:rsidRPr="00AA02CB">
        <w:rPr>
          <w:rtl/>
        </w:rPr>
        <w:t xml:space="preserve"> </w:t>
      </w:r>
      <w:r w:rsidRPr="00AA02CB">
        <w:rPr>
          <w:rFonts w:hint="eastAsia"/>
          <w:rtl/>
        </w:rPr>
        <w:t>לצרכים</w:t>
      </w:r>
      <w:r w:rsidRPr="00AA02CB">
        <w:rPr>
          <w:rtl/>
        </w:rPr>
        <w:t xml:space="preserve"> </w:t>
      </w:r>
      <w:r w:rsidRPr="00AA02CB">
        <w:rPr>
          <w:rFonts w:hint="eastAsia"/>
          <w:rtl/>
        </w:rPr>
        <w:t>שנמנו</w:t>
      </w:r>
      <w:r w:rsidRPr="00AA02CB">
        <w:rPr>
          <w:rtl/>
        </w:rPr>
        <w:t xml:space="preserve"> </w:t>
      </w:r>
      <w:r w:rsidRPr="00AA02CB">
        <w:rPr>
          <w:rFonts w:hint="eastAsia"/>
          <w:rtl/>
        </w:rPr>
        <w:t>במטרותיה</w:t>
      </w:r>
      <w:r w:rsidRPr="00AA02CB">
        <w:rPr>
          <w:rtl/>
        </w:rPr>
        <w:t xml:space="preserve">; </w:t>
      </w:r>
      <w:r w:rsidRPr="00AA02CB">
        <w:rPr>
          <w:rFonts w:hint="eastAsia"/>
          <w:rtl/>
        </w:rPr>
        <w:t>שאלות</w:t>
      </w:r>
      <w:r w:rsidRPr="00AA02CB">
        <w:rPr>
          <w:rtl/>
        </w:rPr>
        <w:t xml:space="preserve"> </w:t>
      </w:r>
      <w:r w:rsidRPr="00AA02CB">
        <w:rPr>
          <w:rFonts w:hint="eastAsia"/>
          <w:rtl/>
        </w:rPr>
        <w:t>הנוגעות</w:t>
      </w:r>
      <w:r w:rsidRPr="00AA02CB">
        <w:rPr>
          <w:rtl/>
        </w:rPr>
        <w:t xml:space="preserve"> </w:t>
      </w:r>
      <w:r w:rsidRPr="00AA02CB">
        <w:rPr>
          <w:rFonts w:hint="eastAsia"/>
          <w:rtl/>
        </w:rPr>
        <w:t>לאופן</w:t>
      </w:r>
      <w:r w:rsidRPr="00AA02CB">
        <w:rPr>
          <w:rtl/>
        </w:rPr>
        <w:t xml:space="preserve"> </w:t>
      </w:r>
      <w:r w:rsidRPr="00AA02CB">
        <w:rPr>
          <w:rFonts w:hint="eastAsia"/>
          <w:rtl/>
        </w:rPr>
        <w:t>שבו</w:t>
      </w:r>
      <w:r w:rsidRPr="00AA02CB">
        <w:rPr>
          <w:rtl/>
        </w:rPr>
        <w:t xml:space="preserve"> </w:t>
      </w:r>
      <w:r w:rsidRPr="00AA02CB">
        <w:rPr>
          <w:rFonts w:hint="eastAsia"/>
          <w:rtl/>
        </w:rPr>
        <w:t>נבחרה</w:t>
      </w:r>
      <w:r w:rsidRPr="00AA02CB">
        <w:rPr>
          <w:rtl/>
        </w:rPr>
        <w:t xml:space="preserve"> </w:t>
      </w:r>
      <w:r w:rsidRPr="00AA02CB">
        <w:rPr>
          <w:rFonts w:hint="eastAsia"/>
          <w:rtl/>
        </w:rPr>
        <w:t>העמותה</w:t>
      </w:r>
      <w:r w:rsidRPr="00AA02CB">
        <w:rPr>
          <w:rtl/>
        </w:rPr>
        <w:t xml:space="preserve">, </w:t>
      </w:r>
      <w:r w:rsidRPr="00AA02CB">
        <w:rPr>
          <w:rFonts w:hint="eastAsia"/>
          <w:rtl/>
        </w:rPr>
        <w:t>לרבות</w:t>
      </w:r>
      <w:r w:rsidRPr="00AA02CB">
        <w:rPr>
          <w:rtl/>
        </w:rPr>
        <w:t xml:space="preserve"> </w:t>
      </w:r>
      <w:r w:rsidRPr="00AA02CB">
        <w:rPr>
          <w:rFonts w:hint="eastAsia"/>
          <w:rtl/>
        </w:rPr>
        <w:t>שאלות</w:t>
      </w:r>
      <w:r w:rsidRPr="00AA02CB">
        <w:rPr>
          <w:rtl/>
        </w:rPr>
        <w:t xml:space="preserve"> </w:t>
      </w:r>
      <w:r w:rsidRPr="00AA02CB">
        <w:rPr>
          <w:rFonts w:hint="eastAsia"/>
          <w:rtl/>
        </w:rPr>
        <w:t>הנוגעות</w:t>
      </w:r>
      <w:r w:rsidRPr="00AA02CB">
        <w:rPr>
          <w:rtl/>
        </w:rPr>
        <w:t xml:space="preserve"> </w:t>
      </w:r>
      <w:r w:rsidRPr="00AA02CB">
        <w:rPr>
          <w:rFonts w:hint="eastAsia"/>
          <w:rtl/>
        </w:rPr>
        <w:t>לקשרים</w:t>
      </w:r>
      <w:r w:rsidRPr="00AA02CB">
        <w:rPr>
          <w:rtl/>
        </w:rPr>
        <w:t xml:space="preserve"> </w:t>
      </w:r>
      <w:r w:rsidRPr="00AA02CB">
        <w:rPr>
          <w:rFonts w:hint="eastAsia"/>
          <w:rtl/>
        </w:rPr>
        <w:t>קודמים</w:t>
      </w:r>
      <w:r w:rsidRPr="00AA02CB">
        <w:rPr>
          <w:rtl/>
        </w:rPr>
        <w:t xml:space="preserve"> </w:t>
      </w:r>
      <w:r w:rsidRPr="00AA02CB">
        <w:rPr>
          <w:rFonts w:hint="eastAsia"/>
          <w:rtl/>
        </w:rPr>
        <w:t>בין</w:t>
      </w:r>
      <w:r w:rsidRPr="00AA02CB">
        <w:rPr>
          <w:rtl/>
        </w:rPr>
        <w:t xml:space="preserve"> </w:t>
      </w:r>
      <w:r w:rsidRPr="00AA02CB">
        <w:rPr>
          <w:rFonts w:hint="eastAsia"/>
          <w:rtl/>
        </w:rPr>
        <w:t>מי</w:t>
      </w:r>
      <w:r w:rsidRPr="00AA02CB">
        <w:rPr>
          <w:rtl/>
        </w:rPr>
        <w:t xml:space="preserve"> </w:t>
      </w:r>
      <w:r w:rsidRPr="00AA02CB">
        <w:rPr>
          <w:rFonts w:hint="eastAsia"/>
          <w:rtl/>
        </w:rPr>
        <w:t>מן</w:t>
      </w:r>
      <w:r w:rsidRPr="00AA02CB">
        <w:rPr>
          <w:rtl/>
        </w:rPr>
        <w:t xml:space="preserve"> </w:t>
      </w:r>
      <w:r w:rsidRPr="00AA02CB">
        <w:rPr>
          <w:rFonts w:hint="eastAsia"/>
          <w:rtl/>
        </w:rPr>
        <w:t>הצדדים</w:t>
      </w:r>
      <w:r w:rsidRPr="00AA02CB">
        <w:rPr>
          <w:rtl/>
        </w:rPr>
        <w:t xml:space="preserve"> </w:t>
      </w:r>
      <w:r w:rsidRPr="00AA02CB">
        <w:rPr>
          <w:rFonts w:hint="eastAsia"/>
          <w:rtl/>
        </w:rPr>
        <w:t>לבין</w:t>
      </w:r>
      <w:r w:rsidRPr="00AA02CB">
        <w:rPr>
          <w:rtl/>
        </w:rPr>
        <w:t xml:space="preserve"> </w:t>
      </w:r>
      <w:r w:rsidRPr="00AA02CB">
        <w:rPr>
          <w:rFonts w:hint="eastAsia"/>
          <w:rtl/>
        </w:rPr>
        <w:t>העמותה</w:t>
      </w:r>
      <w:r w:rsidRPr="00AA02CB">
        <w:rPr>
          <w:rtl/>
        </w:rPr>
        <w:t xml:space="preserve"> (ניגוד </w:t>
      </w:r>
      <w:r w:rsidRPr="00AA02CB">
        <w:rPr>
          <w:rFonts w:hint="eastAsia"/>
          <w:rtl/>
        </w:rPr>
        <w:t>עניינים</w:t>
      </w:r>
      <w:r w:rsidRPr="00AA02CB">
        <w:rPr>
          <w:rtl/>
        </w:rPr>
        <w:t xml:space="preserve">); </w:t>
      </w:r>
      <w:r w:rsidRPr="00AA02CB">
        <w:rPr>
          <w:rFonts w:hint="eastAsia"/>
          <w:rtl/>
        </w:rPr>
        <w:t>ושאלות</w:t>
      </w:r>
      <w:r w:rsidRPr="00AA02CB">
        <w:rPr>
          <w:rtl/>
        </w:rPr>
        <w:t xml:space="preserve"> </w:t>
      </w:r>
      <w:r w:rsidRPr="00AA02CB">
        <w:rPr>
          <w:rFonts w:hint="eastAsia"/>
          <w:rtl/>
        </w:rPr>
        <w:t>הנוגעות</w:t>
      </w:r>
      <w:r w:rsidRPr="00AA02CB">
        <w:rPr>
          <w:rtl/>
        </w:rPr>
        <w:t xml:space="preserve"> </w:t>
      </w:r>
      <w:r w:rsidRPr="00AA02CB">
        <w:rPr>
          <w:rFonts w:hint="eastAsia"/>
          <w:rtl/>
        </w:rPr>
        <w:t>לאפשרות</w:t>
      </w:r>
      <w:r w:rsidRPr="00AA02CB">
        <w:rPr>
          <w:rtl/>
        </w:rPr>
        <w:t xml:space="preserve"> </w:t>
      </w:r>
      <w:r w:rsidRPr="00AA02CB">
        <w:rPr>
          <w:rFonts w:hint="eastAsia"/>
          <w:rtl/>
        </w:rPr>
        <w:t>לפקח</w:t>
      </w:r>
      <w:r w:rsidRPr="00AA02CB">
        <w:rPr>
          <w:rtl/>
        </w:rPr>
        <w:t xml:space="preserve"> </w:t>
      </w:r>
      <w:r w:rsidRPr="00AA02CB">
        <w:rPr>
          <w:rFonts w:hint="eastAsia"/>
          <w:rtl/>
        </w:rPr>
        <w:t>כי</w:t>
      </w:r>
      <w:r w:rsidRPr="00AA02CB">
        <w:rPr>
          <w:rtl/>
        </w:rPr>
        <w:t xml:space="preserve"> </w:t>
      </w:r>
      <w:r w:rsidRPr="00AA02CB">
        <w:rPr>
          <w:rFonts w:hint="eastAsia"/>
          <w:rtl/>
        </w:rPr>
        <w:t>הכספים</w:t>
      </w:r>
      <w:r w:rsidRPr="00AA02CB">
        <w:rPr>
          <w:rtl/>
        </w:rPr>
        <w:t xml:space="preserve"> </w:t>
      </w:r>
      <w:r w:rsidRPr="00AA02CB">
        <w:rPr>
          <w:rFonts w:hint="eastAsia"/>
          <w:rtl/>
        </w:rPr>
        <w:t>שיועברו</w:t>
      </w:r>
      <w:r w:rsidRPr="00AA02CB">
        <w:rPr>
          <w:rtl/>
        </w:rPr>
        <w:t xml:space="preserve"> </w:t>
      </w:r>
      <w:r w:rsidRPr="00AA02CB">
        <w:rPr>
          <w:rFonts w:hint="eastAsia"/>
          <w:rtl/>
        </w:rPr>
        <w:t>לעמותה</w:t>
      </w:r>
      <w:r w:rsidRPr="00AA02CB">
        <w:rPr>
          <w:rtl/>
        </w:rPr>
        <w:t xml:space="preserve"> </w:t>
      </w:r>
      <w:r w:rsidRPr="00AA02CB">
        <w:rPr>
          <w:rFonts w:hint="eastAsia"/>
          <w:rtl/>
        </w:rPr>
        <w:t>ישמשו</w:t>
      </w:r>
      <w:r w:rsidRPr="00AA02CB">
        <w:rPr>
          <w:rtl/>
        </w:rPr>
        <w:t xml:space="preserve"> </w:t>
      </w:r>
      <w:r w:rsidRPr="00AA02CB">
        <w:rPr>
          <w:rFonts w:hint="eastAsia"/>
          <w:rtl/>
        </w:rPr>
        <w:t>למטרות</w:t>
      </w:r>
      <w:r w:rsidRPr="00AA02CB">
        <w:rPr>
          <w:rtl/>
        </w:rPr>
        <w:t xml:space="preserve"> </w:t>
      </w:r>
      <w:r w:rsidRPr="00AA02CB">
        <w:rPr>
          <w:rFonts w:hint="eastAsia"/>
          <w:rtl/>
        </w:rPr>
        <w:t>שהוצהר</w:t>
      </w:r>
      <w:r w:rsidRPr="00AA02CB">
        <w:rPr>
          <w:rtl/>
        </w:rPr>
        <w:t xml:space="preserve"> </w:t>
      </w:r>
      <w:r w:rsidRPr="00AA02CB">
        <w:rPr>
          <w:rFonts w:hint="eastAsia"/>
          <w:rtl/>
        </w:rPr>
        <w:t>עליהן</w:t>
      </w:r>
      <w:r w:rsidRPr="00AA02CB">
        <w:rPr>
          <w:rtl/>
        </w:rPr>
        <w:t>.</w:t>
      </w:r>
    </w:p>
    <w:p w:rsidR="00F1058C" w:rsidRDefault="00F1058C" w:rsidP="00F1058C">
      <w:pPr>
        <w:pStyle w:val="Hesber"/>
        <w:rPr>
          <w:rtl/>
        </w:rPr>
      </w:pPr>
      <w:r w:rsidRPr="00AA02CB">
        <w:rPr>
          <w:rFonts w:hint="eastAsia"/>
          <w:rtl/>
        </w:rPr>
        <w:t>על</w:t>
      </w:r>
      <w:r w:rsidRPr="00AA02CB">
        <w:rPr>
          <w:rtl/>
        </w:rPr>
        <w:t xml:space="preserve"> </w:t>
      </w:r>
      <w:r w:rsidRPr="00AA02CB">
        <w:rPr>
          <w:rFonts w:hint="eastAsia"/>
          <w:rtl/>
        </w:rPr>
        <w:t>מנת</w:t>
      </w:r>
      <w:r w:rsidRPr="00AA02CB">
        <w:rPr>
          <w:rtl/>
        </w:rPr>
        <w:t xml:space="preserve"> </w:t>
      </w:r>
      <w:r w:rsidRPr="00AA02CB">
        <w:rPr>
          <w:rFonts w:hint="eastAsia"/>
          <w:rtl/>
        </w:rPr>
        <w:t>למנוע</w:t>
      </w:r>
      <w:r w:rsidRPr="00AA02CB">
        <w:rPr>
          <w:rtl/>
        </w:rPr>
        <w:t xml:space="preserve"> </w:t>
      </w:r>
      <w:r w:rsidRPr="00AA02CB">
        <w:rPr>
          <w:rFonts w:hint="eastAsia"/>
          <w:rtl/>
        </w:rPr>
        <w:t>בעיות</w:t>
      </w:r>
      <w:r w:rsidRPr="00AA02CB">
        <w:rPr>
          <w:rtl/>
        </w:rPr>
        <w:t xml:space="preserve"> </w:t>
      </w:r>
      <w:r w:rsidRPr="00AA02CB">
        <w:rPr>
          <w:rFonts w:hint="eastAsia"/>
          <w:rtl/>
        </w:rPr>
        <w:t>אלה</w:t>
      </w:r>
      <w:r w:rsidRPr="00AA02CB">
        <w:rPr>
          <w:rtl/>
        </w:rPr>
        <w:t xml:space="preserve">, </w:t>
      </w:r>
      <w:r w:rsidRPr="00AA02CB">
        <w:rPr>
          <w:rFonts w:hint="eastAsia"/>
          <w:rtl/>
        </w:rPr>
        <w:t>מוצע</w:t>
      </w:r>
      <w:r w:rsidRPr="00AA02CB">
        <w:rPr>
          <w:rtl/>
        </w:rPr>
        <w:t xml:space="preserve"> </w:t>
      </w:r>
      <w:r w:rsidRPr="00AA02CB">
        <w:rPr>
          <w:rFonts w:hint="eastAsia"/>
          <w:rtl/>
        </w:rPr>
        <w:t>לקבוע</w:t>
      </w:r>
      <w:r w:rsidRPr="00AA02CB">
        <w:rPr>
          <w:rtl/>
        </w:rPr>
        <w:t xml:space="preserve"> </w:t>
      </w:r>
      <w:r w:rsidRPr="00AA02CB">
        <w:rPr>
          <w:rFonts w:hint="eastAsia"/>
          <w:rtl/>
        </w:rPr>
        <w:t>כי</w:t>
      </w:r>
      <w:r w:rsidRPr="00AA02CB">
        <w:rPr>
          <w:rtl/>
        </w:rPr>
        <w:t xml:space="preserve"> </w:t>
      </w:r>
      <w:r w:rsidRPr="00AA02CB">
        <w:rPr>
          <w:rFonts w:hint="eastAsia"/>
          <w:rtl/>
        </w:rPr>
        <w:t>הכספים</w:t>
      </w:r>
      <w:r w:rsidRPr="00AA02CB">
        <w:rPr>
          <w:rtl/>
        </w:rPr>
        <w:t xml:space="preserve"> </w:t>
      </w:r>
      <w:r w:rsidRPr="00AA02CB">
        <w:rPr>
          <w:rFonts w:hint="eastAsia"/>
          <w:rtl/>
        </w:rPr>
        <w:t>המיועדים</w:t>
      </w:r>
      <w:r w:rsidRPr="00AA02CB">
        <w:rPr>
          <w:rtl/>
        </w:rPr>
        <w:t xml:space="preserve"> </w:t>
      </w:r>
      <w:r w:rsidRPr="00AA02CB">
        <w:rPr>
          <w:rFonts w:hint="eastAsia"/>
          <w:rtl/>
        </w:rPr>
        <w:t>להיפסק</w:t>
      </w:r>
      <w:r w:rsidRPr="00AA02CB">
        <w:rPr>
          <w:rtl/>
        </w:rPr>
        <w:t xml:space="preserve"> </w:t>
      </w:r>
      <w:r w:rsidRPr="00AA02CB">
        <w:rPr>
          <w:rFonts w:hint="eastAsia"/>
          <w:rtl/>
        </w:rPr>
        <w:t>כסעד</w:t>
      </w:r>
      <w:r w:rsidRPr="00AA02CB">
        <w:rPr>
          <w:rtl/>
        </w:rPr>
        <w:t xml:space="preserve"> </w:t>
      </w:r>
      <w:r w:rsidRPr="00AA02CB">
        <w:rPr>
          <w:rFonts w:hint="eastAsia"/>
          <w:rtl/>
        </w:rPr>
        <w:t>לטובת</w:t>
      </w:r>
      <w:r w:rsidRPr="00AA02CB">
        <w:rPr>
          <w:rtl/>
        </w:rPr>
        <w:t xml:space="preserve"> </w:t>
      </w:r>
      <w:r w:rsidRPr="00AA02CB">
        <w:rPr>
          <w:rFonts w:hint="eastAsia"/>
          <w:rtl/>
        </w:rPr>
        <w:t>הקבוצה</w:t>
      </w:r>
      <w:r w:rsidRPr="00AA02CB">
        <w:rPr>
          <w:rtl/>
        </w:rPr>
        <w:t xml:space="preserve"> </w:t>
      </w:r>
      <w:r w:rsidRPr="00AA02CB">
        <w:rPr>
          <w:rFonts w:hint="eastAsia"/>
          <w:rtl/>
        </w:rPr>
        <w:t>או</w:t>
      </w:r>
      <w:r w:rsidRPr="00AA02CB">
        <w:rPr>
          <w:rtl/>
        </w:rPr>
        <w:t xml:space="preserve"> </w:t>
      </w:r>
      <w:r w:rsidRPr="00AA02CB">
        <w:rPr>
          <w:rFonts w:hint="eastAsia"/>
          <w:rtl/>
        </w:rPr>
        <w:t>לטובת</w:t>
      </w:r>
      <w:r w:rsidRPr="00AA02CB">
        <w:rPr>
          <w:rtl/>
        </w:rPr>
        <w:t xml:space="preserve"> </w:t>
      </w:r>
      <w:r w:rsidRPr="00AA02CB">
        <w:rPr>
          <w:rFonts w:hint="eastAsia"/>
          <w:rtl/>
        </w:rPr>
        <w:t>הציבור</w:t>
      </w:r>
      <w:r w:rsidRPr="00AA02CB">
        <w:rPr>
          <w:rtl/>
        </w:rPr>
        <w:t xml:space="preserve">, </w:t>
      </w:r>
      <w:r w:rsidRPr="00AA02CB">
        <w:rPr>
          <w:rFonts w:hint="eastAsia"/>
          <w:rtl/>
        </w:rPr>
        <w:t>יועברו</w:t>
      </w:r>
      <w:r w:rsidRPr="00AA02CB">
        <w:rPr>
          <w:rtl/>
        </w:rPr>
        <w:t xml:space="preserve"> </w:t>
      </w:r>
      <w:r w:rsidRPr="00AA02CB">
        <w:rPr>
          <w:rFonts w:hint="eastAsia"/>
          <w:rtl/>
        </w:rPr>
        <w:t>אל</w:t>
      </w:r>
      <w:r w:rsidRPr="00AA02CB">
        <w:rPr>
          <w:rtl/>
        </w:rPr>
        <w:t xml:space="preserve"> </w:t>
      </w:r>
      <w:r w:rsidRPr="00AA02CB">
        <w:rPr>
          <w:rFonts w:hint="eastAsia"/>
          <w:rtl/>
        </w:rPr>
        <w:t>קרן</w:t>
      </w:r>
      <w:r w:rsidRPr="00AA02CB">
        <w:rPr>
          <w:rtl/>
        </w:rPr>
        <w:t xml:space="preserve"> </w:t>
      </w:r>
      <w:r w:rsidRPr="00AA02CB">
        <w:rPr>
          <w:rFonts w:hint="eastAsia"/>
          <w:rtl/>
        </w:rPr>
        <w:t>הע</w:t>
      </w:r>
      <w:r>
        <w:rPr>
          <w:rFonts w:hint="cs"/>
          <w:rtl/>
        </w:rPr>
        <w:t>י</w:t>
      </w:r>
      <w:r w:rsidRPr="00BD7844">
        <w:rPr>
          <w:rFonts w:hint="cs"/>
          <w:rtl/>
        </w:rPr>
        <w:t>זבונות. הכספים אשר יועברו לקרן זו יוקצו למימוש מטרות אשר יש בהן משום תרומה לחברה, לקהילה ולמדינה, כדי לסייע לפעולותיהם של מוסדות לטובת הציבור</w:t>
      </w:r>
      <w:r>
        <w:rPr>
          <w:rFonts w:hint="cs"/>
          <w:rtl/>
        </w:rPr>
        <w:t xml:space="preserve"> ובראש וראשונה למטרות הקרובות לנושא התובענה הייצוגית שהוגשה</w:t>
      </w:r>
      <w:r w:rsidRPr="00BD7844">
        <w:rPr>
          <w:rFonts w:hint="cs"/>
          <w:rtl/>
        </w:rPr>
        <w:t xml:space="preserve">. </w:t>
      </w:r>
    </w:p>
    <w:p w:rsidR="00F1058C" w:rsidRPr="00BD7844" w:rsidRDefault="00F1058C" w:rsidP="00F1058C">
      <w:pPr>
        <w:pStyle w:val="Hesber"/>
        <w:rPr>
          <w:rtl/>
        </w:rPr>
      </w:pPr>
      <w:r w:rsidRPr="00BD7844">
        <w:rPr>
          <w:rFonts w:hint="cs"/>
          <w:rtl/>
        </w:rPr>
        <w:t>המנגנון המוצע יפתור את כל הבעיות שתוארו לעיל:</w:t>
      </w:r>
    </w:p>
    <w:p w:rsidR="00F1058C" w:rsidRPr="00B11B5B" w:rsidRDefault="00F1058C" w:rsidP="00F1058C">
      <w:pPr>
        <w:pStyle w:val="Hesber"/>
      </w:pPr>
      <w:r w:rsidRPr="00B11B5B">
        <w:rPr>
          <w:rtl/>
        </w:rPr>
        <w:t>ראשית, המנגנון המוצע מביא לניתוק הקשר בין הצדדים להליך לבין הגוף הנתרם: מאחר שהקרן שתוקם לא תהווה היעד הסופי של הכספים אלא רק 'צינור' להעברת הכספים לגופים אחרים, מתנתק הקשר בין הצדדים להלי</w:t>
      </w:r>
      <w:r w:rsidR="0096273D">
        <w:rPr>
          <w:rtl/>
        </w:rPr>
        <w:t xml:space="preserve">ך הייצוגי לבין הגופים הנתרמים. </w:t>
      </w:r>
      <w:r w:rsidRPr="00B11B5B">
        <w:rPr>
          <w:rtl/>
        </w:rPr>
        <w:t xml:space="preserve">כך מוסר החשש מניגוד עניינים ומתרומה </w:t>
      </w:r>
      <w:r w:rsidRPr="00B11B5B">
        <w:rPr>
          <w:rtl/>
        </w:rPr>
        <w:lastRenderedPageBreak/>
        <w:t>לגופים הקשורים לצדדים. כך גם תימנע האפשרות של נתבעות לעשות מספר שימושים באותה התרומה; שנית, מנגנון זה מבטיח אכיפה מלאה של פסק הדין: יהיה גוף חיצוני ואובייקטיבי אשר עליו תוטל משימת הביצוע של פסק הדין והוא יוכל לוודא כי הכספים אכן מועברים אליו במלואם; שלישית, המנגנון המוצע מבטיח כי רק גופים אשר עברו הליך בירוקרטי מסודר ושקוף יזכו ליהנות מכספי הקבוצה המיוצג</w:t>
      </w:r>
      <w:r w:rsidR="0096273D">
        <w:rPr>
          <w:rtl/>
        </w:rPr>
        <w:t xml:space="preserve">ת: מבחינה זו המנגנון המוצע </w:t>
      </w:r>
      <w:r w:rsidRPr="00B11B5B">
        <w:rPr>
          <w:rtl/>
        </w:rPr>
        <w:t>יעיל וחסכוני שכן הוא חוסך לבית המשפט (וכן לצדדים, ליועץ המשפטי לממשלה ולגופים מתנגדים נוספים) לבדוק כל אחת ואחת מן העמותות שנבחרו על ידי הצדדים בה</w:t>
      </w:r>
      <w:r w:rsidR="0096273D">
        <w:rPr>
          <w:rtl/>
        </w:rPr>
        <w:t xml:space="preserve">סדר; לבסוף, המנגנון המוצע </w:t>
      </w:r>
      <w:r w:rsidRPr="00B11B5B">
        <w:rPr>
          <w:rtl/>
        </w:rPr>
        <w:t>פשוט ונוח לתפעול ואינו מצריך הפעלת מנגנוני פיקוח הדורשים עלויות של בתי המשפט.</w:t>
      </w:r>
    </w:p>
    <w:p w:rsidR="00F1058C" w:rsidRDefault="00F1058C" w:rsidP="00F1058C">
      <w:pPr>
        <w:pStyle w:val="Hesber"/>
        <w:rPr>
          <w:rFonts w:hint="cs"/>
          <w:rtl/>
        </w:rPr>
      </w:pPr>
      <w:r w:rsidRPr="00AA02CB">
        <w:rPr>
          <w:rFonts w:hint="cs"/>
          <w:rtl/>
        </w:rPr>
        <w:t>ההצעה נערכה ונוסחה בסיוע הקליניקה לתובענות ייצוגיות שבמרכז הבינתחומי</w:t>
      </w:r>
      <w:r>
        <w:rPr>
          <w:rFonts w:hint="cs"/>
          <w:rtl/>
        </w:rPr>
        <w:t xml:space="preserve"> </w:t>
      </w:r>
      <w:r w:rsidRPr="00AA02CB">
        <w:rPr>
          <w:rFonts w:hint="cs"/>
          <w:rtl/>
        </w:rPr>
        <w:t>הרצליה.</w:t>
      </w:r>
    </w:p>
    <w:p w:rsidR="0096273D" w:rsidRDefault="0096273D" w:rsidP="00F1058C">
      <w:pPr>
        <w:pStyle w:val="Hesber"/>
        <w:rPr>
          <w:rFonts w:hint="cs"/>
          <w:rtl/>
        </w:rPr>
      </w:pPr>
    </w:p>
    <w:p w:rsidR="0096273D" w:rsidRDefault="0096273D" w:rsidP="0096273D">
      <w:pPr>
        <w:pStyle w:val="TableBlock"/>
        <w:rPr>
          <w:rtl/>
        </w:rPr>
      </w:pPr>
    </w:p>
    <w:p w:rsidR="0096273D" w:rsidRPr="0022704F" w:rsidRDefault="0096273D" w:rsidP="0096273D">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w:t>
      </w:r>
    </w:p>
    <w:p w:rsidR="0096273D" w:rsidRPr="0022704F" w:rsidRDefault="0096273D" w:rsidP="0096273D">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הוגשה ליו"ר הכנסת והסגנים</w:t>
      </w:r>
    </w:p>
    <w:p w:rsidR="0096273D" w:rsidRPr="0022704F" w:rsidRDefault="0096273D" w:rsidP="0096273D">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והונחה על שולחן הכנסת ביום</w:t>
      </w:r>
    </w:p>
    <w:p w:rsidR="0096273D" w:rsidRPr="00935520" w:rsidRDefault="0096273D" w:rsidP="0096273D">
      <w:pPr>
        <w:ind w:left="340" w:firstLine="0"/>
        <w:rPr>
          <w:rFonts w:ascii="Arial" w:eastAsia="Arial Unicode MS" w:hAnsi="Arial" w:cs="David"/>
          <w:snapToGrid w:val="0"/>
          <w:spacing w:val="0"/>
          <w:sz w:val="20"/>
          <w:szCs w:val="26"/>
        </w:rPr>
      </w:pPr>
      <w:r>
        <w:rPr>
          <w:rFonts w:ascii="Arial" w:eastAsia="Arial Unicode MS" w:hAnsi="Arial" w:cs="David" w:hint="cs"/>
          <w:snapToGrid w:val="0"/>
          <w:spacing w:val="0"/>
          <w:sz w:val="20"/>
          <w:szCs w:val="26"/>
          <w:rtl/>
        </w:rPr>
        <w:t xml:space="preserve">י"ז באדר ב' </w:t>
      </w:r>
      <w:proofErr w:type="spellStart"/>
      <w:r>
        <w:rPr>
          <w:rFonts w:ascii="Arial" w:eastAsia="Arial Unicode MS" w:hAnsi="Arial" w:cs="David" w:hint="cs"/>
          <w:snapToGrid w:val="0"/>
          <w:spacing w:val="0"/>
          <w:sz w:val="20"/>
          <w:szCs w:val="26"/>
          <w:rtl/>
        </w:rPr>
        <w:t>התשע"ד</w:t>
      </w:r>
      <w:proofErr w:type="spellEnd"/>
      <w:r w:rsidRPr="00935520">
        <w:rPr>
          <w:rFonts w:ascii="Arial" w:eastAsia="Arial Unicode MS" w:hAnsi="Arial" w:cs="David" w:hint="cs"/>
          <w:snapToGrid w:val="0"/>
          <w:spacing w:val="0"/>
          <w:sz w:val="20"/>
          <w:szCs w:val="26"/>
          <w:rtl/>
        </w:rPr>
        <w:t xml:space="preserve"> – </w:t>
      </w:r>
      <w:r>
        <w:rPr>
          <w:rFonts w:ascii="Arial" w:eastAsia="Arial Unicode MS" w:hAnsi="Arial" w:cs="David" w:hint="cs"/>
          <w:snapToGrid w:val="0"/>
          <w:spacing w:val="0"/>
          <w:sz w:val="20"/>
          <w:szCs w:val="26"/>
          <w:rtl/>
        </w:rPr>
        <w:t>19</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3</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14</w:t>
      </w:r>
    </w:p>
    <w:p w:rsidR="00F1058C" w:rsidRPr="0096273D" w:rsidRDefault="00F1058C" w:rsidP="00F1058C">
      <w:pPr>
        <w:snapToGrid w:val="0"/>
        <w:spacing w:before="0" w:line="360" w:lineRule="auto"/>
        <w:rPr>
          <w:rtl/>
        </w:rPr>
      </w:pPr>
    </w:p>
    <w:p w:rsidR="00E13C27" w:rsidRPr="00F1058C" w:rsidRDefault="00E13C27" w:rsidP="00F1058C">
      <w:pPr>
        <w:rPr>
          <w:rtl/>
        </w:rPr>
      </w:pPr>
    </w:p>
    <w:sectPr w:rsidR="00E13C27" w:rsidRPr="00F1058C"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8E3" w:rsidRDefault="00A948E3">
      <w:r>
        <w:separator/>
      </w:r>
    </w:p>
  </w:endnote>
  <w:endnote w:type="continuationSeparator" w:id="0">
    <w:p w:rsidR="00A948E3" w:rsidRDefault="00A94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0000000000000000000"/>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rsidR="001A0623" w:rsidRDefault="001A062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96273D">
      <w:rPr>
        <w:rStyle w:val="aa"/>
        <w:noProof/>
        <w:rtl/>
      </w:rPr>
      <w:t>2</w:t>
    </w:r>
    <w:r>
      <w:rPr>
        <w:rStyle w:val="aa"/>
        <w:rtl/>
      </w:rPr>
      <w:fldChar w:fldCharType="end"/>
    </w:r>
  </w:p>
  <w:p w:rsidR="001A0623" w:rsidRDefault="001A062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8E3" w:rsidRDefault="00A948E3">
      <w:r>
        <w:separator/>
      </w:r>
    </w:p>
  </w:footnote>
  <w:footnote w:type="continuationSeparator" w:id="0">
    <w:p w:rsidR="00A948E3" w:rsidRDefault="00A948E3">
      <w:r>
        <w:continuationSeparator/>
      </w:r>
    </w:p>
  </w:footnote>
  <w:footnote w:type="continuationNotice" w:id="1">
    <w:p w:rsidR="00A948E3" w:rsidRDefault="00A948E3"/>
  </w:footnote>
  <w:footnote w:id="2">
    <w:p w:rsidR="00F1058C" w:rsidRDefault="00F1058C" w:rsidP="00F1058C">
      <w:pPr>
        <w:pStyle w:val="a4"/>
        <w:rPr>
          <w:rtl/>
        </w:rPr>
      </w:pPr>
      <w:r>
        <w:rPr>
          <w:rStyle w:val="a5"/>
        </w:rPr>
        <w:footnoteRef/>
      </w:r>
      <w:r>
        <w:rPr>
          <w:rtl/>
        </w:rPr>
        <w:t xml:space="preserve"> </w:t>
      </w:r>
      <w:r>
        <w:rPr>
          <w:rFonts w:hint="cs"/>
          <w:rtl/>
        </w:rPr>
        <w:t xml:space="preserve">ס"ח </w:t>
      </w:r>
      <w:proofErr w:type="spellStart"/>
      <w:r>
        <w:rPr>
          <w:rFonts w:hint="cs"/>
          <w:rtl/>
        </w:rPr>
        <w:t>התשס"ו</w:t>
      </w:r>
      <w:proofErr w:type="spellEnd"/>
      <w:r>
        <w:rPr>
          <w:rFonts w:hint="cs"/>
          <w:rtl/>
        </w:rPr>
        <w:t>, עמ' 264.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0E132DA9"/>
    <w:multiLevelType w:val="hybridMultilevel"/>
    <w:tmpl w:val="E9FC20B6"/>
    <w:lvl w:ilvl="0" w:tplc="72B4F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5BB0E43"/>
    <w:multiLevelType w:val="hybridMultilevel"/>
    <w:tmpl w:val="BB72BBDC"/>
    <w:lvl w:ilvl="0" w:tplc="57220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B43621"/>
    <w:multiLevelType w:val="hybridMultilevel"/>
    <w:tmpl w:val="4F74A2FE"/>
    <w:lvl w:ilvl="0" w:tplc="4DEE0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0"/>
  </w:num>
  <w:num w:numId="15">
    <w:abstractNumId w:val="14"/>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548580lsCopyOriginal.docx"/>
    <w:docVar w:name="StartMode" w:val="3"/>
  </w:docVars>
  <w:rsids>
    <w:rsidRoot w:val="00DB7060"/>
    <w:rsid w:val="00015B27"/>
    <w:rsid w:val="00035B62"/>
    <w:rsid w:val="000A542E"/>
    <w:rsid w:val="000E4C28"/>
    <w:rsid w:val="001207F8"/>
    <w:rsid w:val="00121924"/>
    <w:rsid w:val="001279A8"/>
    <w:rsid w:val="0014195F"/>
    <w:rsid w:val="00152609"/>
    <w:rsid w:val="00153E1B"/>
    <w:rsid w:val="001A0623"/>
    <w:rsid w:val="001C23B0"/>
    <w:rsid w:val="00203A7F"/>
    <w:rsid w:val="002200A1"/>
    <w:rsid w:val="002362BF"/>
    <w:rsid w:val="00241B97"/>
    <w:rsid w:val="00254605"/>
    <w:rsid w:val="002728B4"/>
    <w:rsid w:val="00292712"/>
    <w:rsid w:val="002C2E29"/>
    <w:rsid w:val="002D7993"/>
    <w:rsid w:val="003232A2"/>
    <w:rsid w:val="003710F6"/>
    <w:rsid w:val="00386E88"/>
    <w:rsid w:val="003D74A0"/>
    <w:rsid w:val="004033D8"/>
    <w:rsid w:val="00492937"/>
    <w:rsid w:val="004D3876"/>
    <w:rsid w:val="004E4552"/>
    <w:rsid w:val="0054366B"/>
    <w:rsid w:val="00553C9D"/>
    <w:rsid w:val="005B064E"/>
    <w:rsid w:val="005D51AE"/>
    <w:rsid w:val="00644940"/>
    <w:rsid w:val="006818A9"/>
    <w:rsid w:val="006C1D0D"/>
    <w:rsid w:val="0070601E"/>
    <w:rsid w:val="00765F66"/>
    <w:rsid w:val="007D5A12"/>
    <w:rsid w:val="007E59F9"/>
    <w:rsid w:val="00810BCD"/>
    <w:rsid w:val="00812C98"/>
    <w:rsid w:val="00814D92"/>
    <w:rsid w:val="00892135"/>
    <w:rsid w:val="00895449"/>
    <w:rsid w:val="00897879"/>
    <w:rsid w:val="008C2DDC"/>
    <w:rsid w:val="008F0D63"/>
    <w:rsid w:val="008F2C35"/>
    <w:rsid w:val="0091204F"/>
    <w:rsid w:val="009203DB"/>
    <w:rsid w:val="00943386"/>
    <w:rsid w:val="00957589"/>
    <w:rsid w:val="0096273D"/>
    <w:rsid w:val="00982412"/>
    <w:rsid w:val="00A1341E"/>
    <w:rsid w:val="00A26BD6"/>
    <w:rsid w:val="00A82CB7"/>
    <w:rsid w:val="00A948E3"/>
    <w:rsid w:val="00AC36F7"/>
    <w:rsid w:val="00B35784"/>
    <w:rsid w:val="00B918FA"/>
    <w:rsid w:val="00BC45FB"/>
    <w:rsid w:val="00C9176A"/>
    <w:rsid w:val="00D421F5"/>
    <w:rsid w:val="00D867D7"/>
    <w:rsid w:val="00DA7FB8"/>
    <w:rsid w:val="00DB7060"/>
    <w:rsid w:val="00DC1A62"/>
    <w:rsid w:val="00DE3153"/>
    <w:rsid w:val="00E13C27"/>
    <w:rsid w:val="00E33BBD"/>
    <w:rsid w:val="00E45103"/>
    <w:rsid w:val="00E665B9"/>
    <w:rsid w:val="00EA01E6"/>
    <w:rsid w:val="00EA758F"/>
    <w:rsid w:val="00EB4667"/>
    <w:rsid w:val="00ED4A6F"/>
    <w:rsid w:val="00EF3A3A"/>
    <w:rsid w:val="00F105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73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semiHidden/>
    <w:rsid w:val="0096273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96273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96273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96273D"/>
    <w:rPr>
      <w:sz w:val="36"/>
      <w:szCs w:val="52"/>
    </w:rPr>
  </w:style>
  <w:style w:type="paragraph" w:customStyle="1" w:styleId="Cover3-Haknesset">
    <w:name w:val="Cover 3-Haknesset"/>
    <w:basedOn w:val="Cover1-Reshumot"/>
    <w:rsid w:val="0096273D"/>
    <w:rPr>
      <w:b/>
      <w:bCs/>
      <w:spacing w:val="60"/>
    </w:rPr>
  </w:style>
  <w:style w:type="paragraph" w:customStyle="1" w:styleId="Cover4-Date">
    <w:name w:val="Cover 4-Date"/>
    <w:basedOn w:val="a"/>
    <w:rsid w:val="0096273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96273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96273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96273D"/>
    <w:pPr>
      <w:spacing w:before="120" w:after="120"/>
    </w:pPr>
    <w:rPr>
      <w:color w:val="FF0000"/>
      <w:w w:val="80"/>
    </w:rPr>
  </w:style>
  <w:style w:type="paragraph" w:styleId="a3">
    <w:name w:val="endnote text"/>
    <w:basedOn w:val="a"/>
    <w:semiHidden/>
    <w:rsid w:val="0096273D"/>
    <w:pPr>
      <w:ind w:left="227" w:hanging="227"/>
    </w:pPr>
    <w:rPr>
      <w:sz w:val="14"/>
      <w:szCs w:val="22"/>
    </w:rPr>
  </w:style>
  <w:style w:type="paragraph" w:customStyle="1" w:styleId="TableText">
    <w:name w:val="Table Text"/>
    <w:basedOn w:val="a"/>
    <w:rsid w:val="0096273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96273D"/>
  </w:style>
  <w:style w:type="paragraph" w:customStyle="1" w:styleId="TableBlock">
    <w:name w:val="Table Block"/>
    <w:basedOn w:val="TableText"/>
    <w:rsid w:val="0096273D"/>
    <w:pPr>
      <w:ind w:right="0"/>
      <w:jc w:val="both"/>
    </w:pPr>
  </w:style>
  <w:style w:type="paragraph" w:customStyle="1" w:styleId="TableHead">
    <w:name w:val="Table Head"/>
    <w:basedOn w:val="TableText"/>
    <w:rsid w:val="0096273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6273D"/>
  </w:style>
  <w:style w:type="paragraph" w:customStyle="1" w:styleId="Hesber">
    <w:name w:val="Hesber"/>
    <w:basedOn w:val="a"/>
    <w:rsid w:val="0096273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96273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basedOn w:val="a0"/>
    <w:semiHidden/>
    <w:rsid w:val="0096273D"/>
    <w:rPr>
      <w:vertAlign w:val="superscript"/>
    </w:rPr>
  </w:style>
  <w:style w:type="paragraph" w:customStyle="1" w:styleId="HesberHeading">
    <w:name w:val="Hesber Heading"/>
    <w:basedOn w:val="Hesber"/>
    <w:rsid w:val="0096273D"/>
    <w:pPr>
      <w:tabs>
        <w:tab w:val="left" w:pos="624"/>
        <w:tab w:val="left" w:pos="1247"/>
      </w:tabs>
      <w:ind w:firstLine="0"/>
    </w:pPr>
    <w:rPr>
      <w:b/>
      <w:bCs/>
    </w:rPr>
  </w:style>
  <w:style w:type="paragraph" w:customStyle="1" w:styleId="HesberWriters">
    <w:name w:val="Hesber Writers"/>
    <w:basedOn w:val="Hesber"/>
    <w:rsid w:val="0096273D"/>
    <w:pPr>
      <w:spacing w:before="120" w:after="6000"/>
      <w:ind w:left="1418" w:firstLine="0"/>
      <w:jc w:val="right"/>
    </w:pPr>
    <w:rPr>
      <w:b/>
      <w:bCs/>
    </w:rPr>
  </w:style>
  <w:style w:type="paragraph" w:customStyle="1" w:styleId="Hesber1st">
    <w:name w:val="Hesber 1st"/>
    <w:basedOn w:val="Hesber"/>
    <w:rsid w:val="0096273D"/>
    <w:pPr>
      <w:tabs>
        <w:tab w:val="left" w:pos="680"/>
        <w:tab w:val="left" w:pos="1020"/>
      </w:tabs>
      <w:ind w:firstLine="0"/>
    </w:pPr>
  </w:style>
  <w:style w:type="character" w:styleId="a6">
    <w:name w:val="endnote reference"/>
    <w:basedOn w:val="a0"/>
    <w:semiHidden/>
    <w:rsid w:val="0096273D"/>
    <w:rPr>
      <w:vertAlign w:val="superscript"/>
    </w:rPr>
  </w:style>
  <w:style w:type="paragraph" w:customStyle="1" w:styleId="TableBlockOutdent">
    <w:name w:val="Table BlockOutdent"/>
    <w:basedOn w:val="TableBlock"/>
    <w:rsid w:val="0096273D"/>
    <w:pPr>
      <w:ind w:left="624" w:hanging="624"/>
    </w:pPr>
  </w:style>
  <w:style w:type="paragraph" w:styleId="a7">
    <w:name w:val="header"/>
    <w:basedOn w:val="a"/>
    <w:rsid w:val="0096273D"/>
    <w:pPr>
      <w:tabs>
        <w:tab w:val="center" w:pos="4153"/>
        <w:tab w:val="right" w:pos="8306"/>
      </w:tabs>
    </w:pPr>
  </w:style>
  <w:style w:type="paragraph" w:styleId="a8">
    <w:name w:val="footer"/>
    <w:basedOn w:val="a"/>
    <w:rsid w:val="0096273D"/>
    <w:pPr>
      <w:tabs>
        <w:tab w:val="center" w:pos="4153"/>
        <w:tab w:val="right" w:pos="8306"/>
      </w:tabs>
    </w:pPr>
  </w:style>
  <w:style w:type="paragraph" w:customStyle="1" w:styleId="HeadDivreiHesber">
    <w:name w:val="Head DivreiHesber"/>
    <w:basedOn w:val="a"/>
    <w:rsid w:val="0096273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96273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96273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73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semiHidden/>
    <w:rsid w:val="0096273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96273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96273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96273D"/>
    <w:rPr>
      <w:sz w:val="36"/>
      <w:szCs w:val="52"/>
    </w:rPr>
  </w:style>
  <w:style w:type="paragraph" w:customStyle="1" w:styleId="Cover3-Haknesset">
    <w:name w:val="Cover 3-Haknesset"/>
    <w:basedOn w:val="Cover1-Reshumot"/>
    <w:rsid w:val="0096273D"/>
    <w:rPr>
      <w:b/>
      <w:bCs/>
      <w:spacing w:val="60"/>
    </w:rPr>
  </w:style>
  <w:style w:type="paragraph" w:customStyle="1" w:styleId="Cover4-Date">
    <w:name w:val="Cover 4-Date"/>
    <w:basedOn w:val="a"/>
    <w:rsid w:val="0096273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96273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96273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96273D"/>
    <w:pPr>
      <w:spacing w:before="120" w:after="120"/>
    </w:pPr>
    <w:rPr>
      <w:color w:val="FF0000"/>
      <w:w w:val="80"/>
    </w:rPr>
  </w:style>
  <w:style w:type="paragraph" w:styleId="a3">
    <w:name w:val="endnote text"/>
    <w:basedOn w:val="a"/>
    <w:semiHidden/>
    <w:rsid w:val="0096273D"/>
    <w:pPr>
      <w:ind w:left="227" w:hanging="227"/>
    </w:pPr>
    <w:rPr>
      <w:sz w:val="14"/>
      <w:szCs w:val="22"/>
    </w:rPr>
  </w:style>
  <w:style w:type="paragraph" w:customStyle="1" w:styleId="TableText">
    <w:name w:val="Table Text"/>
    <w:basedOn w:val="a"/>
    <w:rsid w:val="0096273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96273D"/>
  </w:style>
  <w:style w:type="paragraph" w:customStyle="1" w:styleId="TableBlock">
    <w:name w:val="Table Block"/>
    <w:basedOn w:val="TableText"/>
    <w:rsid w:val="0096273D"/>
    <w:pPr>
      <w:ind w:right="0"/>
      <w:jc w:val="both"/>
    </w:pPr>
  </w:style>
  <w:style w:type="paragraph" w:customStyle="1" w:styleId="TableHead">
    <w:name w:val="Table Head"/>
    <w:basedOn w:val="TableText"/>
    <w:rsid w:val="0096273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6273D"/>
  </w:style>
  <w:style w:type="paragraph" w:customStyle="1" w:styleId="Hesber">
    <w:name w:val="Hesber"/>
    <w:basedOn w:val="a"/>
    <w:rsid w:val="0096273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96273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basedOn w:val="a0"/>
    <w:semiHidden/>
    <w:rsid w:val="0096273D"/>
    <w:rPr>
      <w:vertAlign w:val="superscript"/>
    </w:rPr>
  </w:style>
  <w:style w:type="paragraph" w:customStyle="1" w:styleId="HesberHeading">
    <w:name w:val="Hesber Heading"/>
    <w:basedOn w:val="Hesber"/>
    <w:rsid w:val="0096273D"/>
    <w:pPr>
      <w:tabs>
        <w:tab w:val="left" w:pos="624"/>
        <w:tab w:val="left" w:pos="1247"/>
      </w:tabs>
      <w:ind w:firstLine="0"/>
    </w:pPr>
    <w:rPr>
      <w:b/>
      <w:bCs/>
    </w:rPr>
  </w:style>
  <w:style w:type="paragraph" w:customStyle="1" w:styleId="HesberWriters">
    <w:name w:val="Hesber Writers"/>
    <w:basedOn w:val="Hesber"/>
    <w:rsid w:val="0096273D"/>
    <w:pPr>
      <w:spacing w:before="120" w:after="6000"/>
      <w:ind w:left="1418" w:firstLine="0"/>
      <w:jc w:val="right"/>
    </w:pPr>
    <w:rPr>
      <w:b/>
      <w:bCs/>
    </w:rPr>
  </w:style>
  <w:style w:type="paragraph" w:customStyle="1" w:styleId="Hesber1st">
    <w:name w:val="Hesber 1st"/>
    <w:basedOn w:val="Hesber"/>
    <w:rsid w:val="0096273D"/>
    <w:pPr>
      <w:tabs>
        <w:tab w:val="left" w:pos="680"/>
        <w:tab w:val="left" w:pos="1020"/>
      </w:tabs>
      <w:ind w:firstLine="0"/>
    </w:pPr>
  </w:style>
  <w:style w:type="character" w:styleId="a6">
    <w:name w:val="endnote reference"/>
    <w:basedOn w:val="a0"/>
    <w:semiHidden/>
    <w:rsid w:val="0096273D"/>
    <w:rPr>
      <w:vertAlign w:val="superscript"/>
    </w:rPr>
  </w:style>
  <w:style w:type="paragraph" w:customStyle="1" w:styleId="TableBlockOutdent">
    <w:name w:val="Table BlockOutdent"/>
    <w:basedOn w:val="TableBlock"/>
    <w:rsid w:val="0096273D"/>
    <w:pPr>
      <w:ind w:left="624" w:hanging="624"/>
    </w:pPr>
  </w:style>
  <w:style w:type="paragraph" w:styleId="a7">
    <w:name w:val="header"/>
    <w:basedOn w:val="a"/>
    <w:rsid w:val="0096273D"/>
    <w:pPr>
      <w:tabs>
        <w:tab w:val="center" w:pos="4153"/>
        <w:tab w:val="right" w:pos="8306"/>
      </w:tabs>
    </w:pPr>
  </w:style>
  <w:style w:type="paragraph" w:styleId="a8">
    <w:name w:val="footer"/>
    <w:basedOn w:val="a"/>
    <w:rsid w:val="0096273D"/>
    <w:pPr>
      <w:tabs>
        <w:tab w:val="center" w:pos="4153"/>
        <w:tab w:val="right" w:pos="8306"/>
      </w:tabs>
    </w:pPr>
  </w:style>
  <w:style w:type="paragraph" w:customStyle="1" w:styleId="HeadDivreiHesber">
    <w:name w:val="Head DivreiHesber"/>
    <w:basedOn w:val="a"/>
    <w:rsid w:val="0096273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96273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96273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46FE45364FA8EB4FBEC0B966165873B1" ma:contentTypeVersion="0" ma:contentTypeDescription="צור מסמך חדש." ma:contentTypeScope="" ma:versionID="a3747a42eb9d5f788bff01a6054f17ab">
  <xsd:schema xmlns:xsd="http://www.w3.org/2001/XMLSchema" xmlns:xs="http://www.w3.org/2001/XMLSchema" xmlns:p="http://schemas.microsoft.com/office/2006/metadata/properties" targetNamespace="http://schemas.microsoft.com/office/2006/metadata/properties" ma:root="true" ma:fieldsID="3c69e330b17b26747b49104fe0872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CE8246-A886-4E26-AD08-7169A533A5C7}"/>
</file>

<file path=customXml/itemProps2.xml><?xml version="1.0" encoding="utf-8"?>
<ds:datastoreItem xmlns:ds="http://schemas.openxmlformats.org/officeDocument/2006/customXml" ds:itemID="{53CDC32B-DD97-493E-9196-3EF77D6F9C7D}"/>
</file>

<file path=customXml/itemProps3.xml><?xml version="1.0" encoding="utf-8"?>
<ds:datastoreItem xmlns:ds="http://schemas.openxmlformats.org/officeDocument/2006/customXml" ds:itemID="{88F4AFE3-9455-419C-8851-785A55F44517}"/>
</file>

<file path=docProps/app.xml><?xml version="1.0" encoding="utf-8"?>
<Properties xmlns="http://schemas.openxmlformats.org/officeDocument/2006/extended-properties" xmlns:vt="http://schemas.openxmlformats.org/officeDocument/2006/docPropsVTypes">
  <Template>Normal.dotm</Template>
  <TotalTime>0</TotalTime>
  <Pages>5</Pages>
  <Words>1392</Words>
  <Characters>6887</Characters>
  <Application>Microsoft Office Word</Application>
  <DocSecurity>0</DocSecurity>
  <Lines>57</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 </Company>
  <LinksUpToDate>false</LinksUpToDate>
  <CharactersWithSpaces>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subject/>
  <dc:creator>פנחס גורט</dc:creator>
  <cp:keywords/>
  <dc:description/>
  <cp:lastModifiedBy>תהל טהר לב</cp:lastModifiedBy>
  <cp:revision>2</cp:revision>
  <cp:lastPrinted>1900-12-31T22:00:00Z</cp:lastPrinted>
  <dcterms:created xsi:type="dcterms:W3CDTF">2014-03-19T08:37:00Z</dcterms:created>
  <dcterms:modified xsi:type="dcterms:W3CDTF">2014-03-19T08:37:00Z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0x01010046FE45364FA8EB4FBEC0B966165873B1</vt:lpwstr>
  </property>
</Properties>
</file>