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29" w:rsidRPr="00CD77D5" w:rsidRDefault="004033D8" w:rsidP="002C2E29">
      <w:pPr>
        <w:pStyle w:val="HeadHatzaotHok"/>
        <w:jc w:val="right"/>
        <w:rPr>
          <w:b w:val="0"/>
          <w:bCs w:val="0"/>
          <w:szCs w:val="20"/>
        </w:rPr>
      </w:pPr>
      <w:r w:rsidRPr="00CD77D5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ItemID"/>
      <w:r w:rsidR="00FD4305" w:rsidRPr="00CD77D5">
        <w:rPr>
          <w:b w:val="0"/>
          <w:bCs w:val="0"/>
          <w:szCs w:val="20"/>
          <w:rtl/>
        </w:rPr>
        <w:t>545814</w:t>
      </w:r>
      <w:bookmarkEnd w:id="0"/>
    </w:p>
    <w:p w:rsidR="00E13C27" w:rsidRPr="00DB7060" w:rsidRDefault="00E13C27" w:rsidP="00E13C27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KnessetNum"/>
      <w:r w:rsidR="00FD4305" w:rsidRPr="00FD4305">
        <w:rPr>
          <w:sz w:val="28"/>
          <w:szCs w:val="28"/>
          <w:rtl/>
        </w:rPr>
        <w:t>התשע-עשרה</w:t>
      </w:r>
      <w:bookmarkEnd w:id="1"/>
    </w:p>
    <w:p w:rsidR="00E13C27" w:rsidRDefault="00E13C27" w:rsidP="00E13C27">
      <w:pPr>
        <w:rPr>
          <w:rFonts w:cs="David"/>
          <w:sz w:val="26"/>
          <w:szCs w:val="26"/>
          <w:rtl/>
        </w:rPr>
      </w:pPr>
    </w:p>
    <w:p w:rsidR="00E13C27" w:rsidRPr="00E22229" w:rsidRDefault="00FD4305" w:rsidP="0091204F">
      <w:pPr>
        <w:pStyle w:val="David"/>
        <w:ind w:left="2880" w:firstLine="663"/>
        <w:rPr>
          <w:b/>
          <w:bCs/>
          <w:rtl/>
        </w:rPr>
      </w:pPr>
      <w:bookmarkStart w:id="2" w:name="MKsSingleOrMulti"/>
      <w:r w:rsidRPr="00E22229">
        <w:rPr>
          <w:b/>
          <w:bCs/>
          <w:rtl/>
        </w:rPr>
        <w:t>יוזמת:           חברת הכנסת</w:t>
      </w:r>
      <w:bookmarkEnd w:id="2"/>
      <w:r w:rsidR="00B35784" w:rsidRPr="00E22229">
        <w:rPr>
          <w:b/>
          <w:bCs/>
        </w:rPr>
        <w:tab/>
      </w:r>
      <w:bookmarkStart w:id="3" w:name="MKs"/>
      <w:r w:rsidRPr="00E22229">
        <w:rPr>
          <w:b/>
          <w:bCs/>
          <w:rtl/>
        </w:rPr>
        <w:t xml:space="preserve">אורלי לוי </w:t>
      </w:r>
      <w:proofErr w:type="spellStart"/>
      <w:r w:rsidRPr="00E22229">
        <w:rPr>
          <w:b/>
          <w:bCs/>
          <w:rtl/>
        </w:rPr>
        <w:t>אבקסיס</w:t>
      </w:r>
      <w:bookmarkEnd w:id="3"/>
      <w:proofErr w:type="spellEnd"/>
    </w:p>
    <w:p w:rsidR="00E13C27" w:rsidRDefault="0014195F" w:rsidP="00B35784">
      <w:pPr>
        <w:ind w:firstLine="3543"/>
        <w:rPr>
          <w:rFonts w:cs="David"/>
          <w:sz w:val="26"/>
          <w:szCs w:val="26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74AB86" wp14:editId="67E4DC10">
                <wp:simplePos x="0" y="0"/>
                <wp:positionH relativeFrom="column">
                  <wp:posOffset>1270</wp:posOffset>
                </wp:positionH>
                <wp:positionV relativeFrom="paragraph">
                  <wp:posOffset>48895</wp:posOffset>
                </wp:positionV>
                <wp:extent cx="3869690" cy="15875"/>
                <wp:effectExtent l="0" t="38100" r="0" b="41275"/>
                <wp:wrapNone/>
                <wp:docPr id="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9690" cy="15875"/>
                        </a:xfrm>
                        <a:custGeom>
                          <a:avLst/>
                          <a:gdLst>
                            <a:gd name="T0" fmla="*/ 0 w 6094"/>
                            <a:gd name="T1" fmla="*/ 25 h 25"/>
                            <a:gd name="T2" fmla="*/ 6094 w 6094"/>
                            <a:gd name="T3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94" h="25">
                              <a:moveTo>
                                <a:pt x="0" y="25"/>
                              </a:moveTo>
                              <a:lnTo>
                                <a:pt x="6094" y="0"/>
                              </a:lnTo>
                            </a:path>
                          </a:pathLst>
                        </a:cu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5.1pt,304.8pt,3.85pt" coordsize="609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Q4NAMAAGMHAAAOAAAAZHJzL2Uyb0RvYy54bWysVW1vmzAQ/j5p/8Hyx0mUl0ASopKqDWGa&#10;1G2Vmv0AB0xAA5vZTkg37b/vbAghrapN2/iAztxx9zz32Ofrm2NdoQMVsuQswu6VgxFlKc9Ktovw&#10;l01izTGSirCMVJzRCD9RiW+Wb99ct82CerzgVUYFgiRMLtomwoVSzcK2ZVrQmsgr3lAGzpyLmihY&#10;ip2dCdJC9rqyPceZ2i0XWSN4SqWEr3HnxEuTP89pqj7nuaQKVREGbMq8hXlv9dteXpPFTpCmKNMe&#10;BvkLFDUpGRQdUsVEEbQX5YtUdZkKLnmurlJe2zzPy5QaDsDGdZ6xeSxIQw0XaI5shjbJ/5c2/XR4&#10;EKjMIuxhxEgNEiWCUt1wNNfdaRu5gKDH5kFofrK55+lXCQ77wqMXEmLQtv3IM8hC9oqbjhxzUes/&#10;gSs6msY/DY2nR4VS+DiZT8NpCPqk4HOD+SzQpW2yOP2c7qV6T7lJRA73UnW6ZWCZrmc99g3kyOsK&#10;JHxnIwe1aOqEfi/yEOOOYrwAFcgz5UC8IQSaMaTRKV7JNBmFOUMiwL07ISPFCWx6ZD1asBDR58Mx&#10;DWq41I3R0IH9xu2pQ5Sm9kowANTBk3Ew1D0XEbD1n296gRFs+m3Xj4YojU3X0CZqI2yahQrYC4FB&#10;VvMD3XAToc7add2CYmd3xcZhXZqTyhDYucHQhYyuQ3GNeaQt40lZVUbcimlIYdBjGXkE37PMxBSU&#10;ZOveVqSsOttU1Khhe/UM9UYzx/FH6ITr+XruW743XVu+E8fWbbLyrWnizoJ4Eq9WsftTs3f9RVFm&#10;GWUa0Wk0uP6fHb1+SHWHehgOkldlptNpcFLstqtKoAOB0ZSYpxdzFGZfwjC9Ay49uRMl1/OdOy+0&#10;kul8ZvmJH1jhzJlbjhvehVPHD/04uaR0XzL675Qu9BmBfsbNMc9LbmTxeyEHETTiM3tQ+KStGUN6&#10;8nSjasuzJ5hCgneTHm4mMAouvmPUwpSPsPy2J4JiVH1gMEZD1/f1tWAWfjDzYCHGnu3YQ1gKqSKs&#10;MJxfba5Ud5XsG1HuCqjkmnPD+C1Mv7zUU8rg61D1C5jkhkl/6+irYrw2Uee7cfkLAAD//wMAUEsD&#10;BBQABgAIAAAAIQDEaxlz3AAAAAUBAAAPAAAAZHJzL2Rvd25yZXYueG1sTI7BSsNAFEX3Qv9heAV3&#10;dsYIaY2ZFBEqiBttC8XdNPNMYjNv0sw0iX/vc6XLyz3ce/L15FoxYB8aTxpuFwoEUultQ5WG/W5z&#10;swIRoiFrWk+o4RsDrIvZVW4y60d6x2EbK8EjFDKjoY6xy6QMZY3OhIXvkLj79L0zkWNfSdubkcdd&#10;KxOlUulMQ/xQmw6faixP24vTkHZnNZzeqs3u9fk8Bvly+Np/3Gl9PZ8eH0BEnOIfDL/6rA4FOx39&#10;hWwQrYaEOQ3LJQguU3WfgjgypRKQRS7/2xc/AAAA//8DAFBLAQItABQABgAIAAAAIQC2gziS/gAA&#10;AOEBAAATAAAAAAAAAAAAAAAAAAAAAABbQ29udGVudF9UeXBlc10ueG1sUEsBAi0AFAAGAAgAAAAh&#10;ADj9If/WAAAAlAEAAAsAAAAAAAAAAAAAAAAALwEAAF9yZWxzLy5yZWxzUEsBAi0AFAAGAAgAAAAh&#10;AKw4dDg0AwAAYwcAAA4AAAAAAAAAAAAAAAAALgIAAGRycy9lMm9Eb2MueG1sUEsBAi0AFAAGAAgA&#10;AAAhAMRrGXPcAAAABQEAAA8AAAAAAAAAAAAAAAAAjgUAAGRycy9kb3ducmV2LnhtbFBLBQYAAAAA&#10;BAAEAPMAAACXBgAAAAA=&#10;" filled="f" stroked="f">
                <v:path arrowok="t" o:connecttype="custom" o:connectlocs="0,15875;3869690,0" o:connectangles="0,0"/>
              </v:polyline>
            </w:pict>
          </mc:Fallback>
        </mc:AlternateContent>
      </w:r>
      <w:bookmarkStart w:id="4" w:name="MKsSingleOrMulti1"/>
      <w:bookmarkEnd w:id="4"/>
      <w:r w:rsidR="002200A1">
        <w:rPr>
          <w:rFonts w:cs="David" w:hint="cs"/>
          <w:sz w:val="26"/>
          <w:szCs w:val="26"/>
          <w:rtl/>
        </w:rPr>
        <w:tab/>
      </w:r>
      <w:bookmarkStart w:id="5" w:name="MKs1"/>
      <w:bookmarkEnd w:id="5"/>
    </w:p>
    <w:p w:rsidR="00E13C27" w:rsidRDefault="0014195F" w:rsidP="00292712">
      <w:pPr>
        <w:ind w:left="2919" w:firstLine="720"/>
        <w:rPr>
          <w:rFonts w:cs="David"/>
          <w:sz w:val="26"/>
          <w:szCs w:val="26"/>
          <w:rtl/>
        </w:rPr>
      </w:pPr>
      <w:r>
        <w:rPr>
          <w:rFonts w:cs="David"/>
          <w:noProof/>
          <w:sz w:val="26"/>
          <w:szCs w:val="2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DB4E58" wp14:editId="65595B76">
                <wp:simplePos x="0" y="0"/>
                <wp:positionH relativeFrom="column">
                  <wp:posOffset>1270</wp:posOffset>
                </wp:positionH>
                <wp:positionV relativeFrom="paragraph">
                  <wp:posOffset>47625</wp:posOffset>
                </wp:positionV>
                <wp:extent cx="3879215" cy="17145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215" cy="17145"/>
                        </a:xfrm>
                        <a:custGeom>
                          <a:avLst/>
                          <a:gdLst>
                            <a:gd name="T0" fmla="*/ 0 w 6109"/>
                            <a:gd name="T1" fmla="*/ 27 h 27"/>
                            <a:gd name="T2" fmla="*/ 6109 w 6109"/>
                            <a:gd name="T3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09" h="27">
                              <a:moveTo>
                                <a:pt x="0" y="27"/>
                              </a:moveTo>
                              <a:lnTo>
                                <a:pt x="610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5.1pt,305.55pt,3.75pt" coordsize="6109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iG/AIAAI4GAAAOAAAAZHJzL2Uyb0RvYy54bWysVdtu2zAMfR+wfxD0OCD1Jc4VdYoil2FA&#10;txVo9gGKLMfGbMmTlDjdsH8fKTuO06LAMCwPDmUy5DmHInN7dyoLchTa5ErGNLjxKRGSqySX+5h+&#10;224GU0qMZTJhhZIips/C0LvF+3e3dTUXocpUkQhNIIk087qKaWZtNfc8wzNRMnOjKiHBmSpdMgtH&#10;vfcSzWrIXhZe6Ptjr1Y6qbTiwhh4u2qcdOHyp6ng9muaGmFJEVPAZt1Tu+cOn97ils33mlVZzlsY&#10;7B9QlCyXULRLtWKWkYPOX6Uqc66VUam94ar0VJrmXDgOwCbwX7B5ylglHBcQx1SdTOb/peVfjo+a&#10;5An0jhLJSmjRRguBgpMJqlNXZg5BT9WjRn6melD8uwGHd+XBg4EYsqs/qwSysINVTpFTqkv8JXAl&#10;Jyf8cye8OFnC4eVwOpmFwYgSDr5gEkQjLO2x+fnH/GDsR6FcInZ8MLbpWwKWUz1psW+hx2lZQAs/&#10;eMQnNRkH/qxtchcDTLuYcEIyEjqm0LwuJOyFYIo3Mg17YX6XCHDvz8hYdgbLT7JFCxZhOB++E6hS&#10;BoVB6MB+G7TUIQqpvREMADF42A+GupciGq7+y0uvKYFLv2v0qJhFbFgDTVLH1IlFspiCIPi+VEex&#10;VS7CXnrXqAXFLu5C9sOaNOcuQ2DjBgMLub52xRFzr7dSbfKicM0tJEKajcKRw2JUkSfoRDhG73fL&#10;QpMjw7F2n1aIqzCtDjJxyTLBknVrW5YXje2gYT64h60UeCPd3P6a+bP1dD2NBlE4Xg8if7Ua3G+W&#10;0WC8CSaj1XC1XK6C3wgtiOZZniRCIrrzDgmiv5vRdps1099tkSsWV2Q37vOarHcNw4kMXM7fjp2b&#10;WBzSZqp3KnmGgdWqWYqwxMHIlP5JSQ0LMabmx4FpQUnxScLGmQVRhBvUHaLRJISD7nt2fQ+THFLF&#10;1FK46mgubbN1D5XO9xlUClxbpbqHRZHmONAOX4OqPcDScwzaBY1btX92UZe/kcUfAAAA//8DAFBL&#10;AwQUAAYACAAAACEA05sujNgAAAAFAQAADwAAAGRycy9kb3ducmV2LnhtbEyOwW6DMBBE75XyD9ZW&#10;6q0xIJVUFBOhSDlHpD306OAt0OI1sp1A8vXZntrjaJ5mXrld7Cgu6MPgSEG6TkAgtc4M1Cn4eN8/&#10;v4IIUZPRoyNUcMUA22r1UOrCuJkavBxjJ3iEQqEV9DFOhZSh7dHqsHYTEndfzlsdOfpOGq9nHrej&#10;zJIkl1YPxA+9nnDXY/tzPFsFn7cm39fSY31oNleWkd+zOSj19LjUbyAiLvEPhl99VoeKnU7uTCaI&#10;UUHGnILNCwgu8zRNQZyYSjKQVSn/21d3AAAA//8DAFBLAQItABQABgAIAAAAIQC2gziS/gAAAOEB&#10;AAATAAAAAAAAAAAAAAAAAAAAAABbQ29udGVudF9UeXBlc10ueG1sUEsBAi0AFAAGAAgAAAAhADj9&#10;If/WAAAAlAEAAAsAAAAAAAAAAAAAAAAALwEAAF9yZWxzLy5yZWxzUEsBAi0AFAAGAAgAAAAhAK/d&#10;KIb8AgAAjgYAAA4AAAAAAAAAAAAAAAAALgIAAGRycy9lMm9Eb2MueG1sUEsBAi0AFAAGAAgAAAAh&#10;ANObLozYAAAABQEAAA8AAAAAAAAAAAAAAAAAVgUAAGRycy9kb3ducmV2LnhtbFBLBQYAAAAABAAE&#10;APMAAABbBgAAAAA=&#10;" filled="f">
                <v:path arrowok="t" o:connecttype="custom" o:connectlocs="0,17145;3879215,0" o:connectangles="0,0"/>
              </v:polyline>
            </w:pict>
          </mc:Fallback>
        </mc:AlternateContent>
      </w:r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  <w:bookmarkStart w:id="6" w:name="LawNum"/>
      <w:r w:rsidR="00A21770" w:rsidRPr="00A21770">
        <w:rPr>
          <w:rFonts w:cs="David"/>
          <w:sz w:val="26"/>
          <w:szCs w:val="26"/>
          <w:rtl/>
        </w:rPr>
        <w:t>פ/2117/19</w:t>
      </w:r>
      <w:bookmarkEnd w:id="6"/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  <w:r w:rsidR="00E13C27">
        <w:rPr>
          <w:rFonts w:cs="David" w:hint="cs"/>
          <w:sz w:val="26"/>
          <w:szCs w:val="26"/>
          <w:rtl/>
        </w:rPr>
        <w:tab/>
      </w:r>
    </w:p>
    <w:p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:rsidR="00E13C27" w:rsidRDefault="00A9735A" w:rsidP="00CD77D5">
      <w:pPr>
        <w:pStyle w:val="HeadHatzaotHok"/>
        <w:tabs>
          <w:tab w:val="left" w:pos="4071"/>
          <w:tab w:val="center" w:pos="4819"/>
        </w:tabs>
        <w:spacing w:before="0" w:line="240" w:lineRule="auto"/>
        <w:rPr>
          <w:rFonts w:hint="cs"/>
          <w:sz w:val="26"/>
          <w:rtl/>
        </w:rPr>
      </w:pPr>
      <w:bookmarkStart w:id="7" w:name="Title"/>
      <w:r w:rsidRPr="00A9735A">
        <w:rPr>
          <w:sz w:val="26"/>
          <w:rtl/>
        </w:rPr>
        <w:t xml:space="preserve">הצעת חוק זכויות הדייר בדיור </w:t>
      </w:r>
      <w:bookmarkStart w:id="8" w:name="_GoBack"/>
      <w:r w:rsidRPr="00A9735A">
        <w:rPr>
          <w:sz w:val="26"/>
          <w:rtl/>
        </w:rPr>
        <w:t xml:space="preserve">הציבורי (תיקון </w:t>
      </w:r>
      <w:r w:rsidR="00E22229">
        <w:rPr>
          <w:rFonts w:hint="cs"/>
          <w:sz w:val="26"/>
          <w:rtl/>
        </w:rPr>
        <w:t>–</w:t>
      </w:r>
      <w:r w:rsidRPr="00A9735A">
        <w:rPr>
          <w:sz w:val="26"/>
          <w:rtl/>
        </w:rPr>
        <w:t xml:space="preserve"> סיוע ריאלי בשכר דירה), </w:t>
      </w:r>
      <w:proofErr w:type="spellStart"/>
      <w:r w:rsidRPr="00A9735A">
        <w:rPr>
          <w:sz w:val="26"/>
          <w:rtl/>
        </w:rPr>
        <w:t>התשע"ד</w:t>
      </w:r>
      <w:proofErr w:type="spellEnd"/>
      <w:r w:rsidR="00E22229">
        <w:rPr>
          <w:rFonts w:hint="cs"/>
          <w:sz w:val="26"/>
          <w:rtl/>
        </w:rPr>
        <w:t>–</w:t>
      </w:r>
      <w:r w:rsidRPr="00A9735A">
        <w:rPr>
          <w:sz w:val="26"/>
          <w:rtl/>
        </w:rPr>
        <w:t>2014</w:t>
      </w:r>
      <w:bookmarkEnd w:id="7"/>
    </w:p>
    <w:p w:rsidR="00CD77D5" w:rsidRDefault="00CD77D5" w:rsidP="00CD77D5">
      <w:pPr>
        <w:pStyle w:val="HeadHatzaotHok"/>
        <w:tabs>
          <w:tab w:val="left" w:pos="4071"/>
          <w:tab w:val="center" w:pos="4819"/>
        </w:tabs>
        <w:spacing w:before="0" w:line="240" w:lineRule="auto"/>
        <w:rPr>
          <w:sz w:val="26"/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624"/>
        <w:gridCol w:w="624"/>
        <w:gridCol w:w="624"/>
        <w:gridCol w:w="624"/>
        <w:gridCol w:w="624"/>
        <w:gridCol w:w="4649"/>
      </w:tblGrid>
      <w:tr w:rsidR="00F445E6" w:rsidTr="00CD77D5">
        <w:trPr>
          <w:cantSplit/>
        </w:trPr>
        <w:tc>
          <w:tcPr>
            <w:tcW w:w="1869" w:type="dxa"/>
          </w:tcPr>
          <w:bookmarkEnd w:id="8"/>
          <w:p w:rsidR="00F445E6" w:rsidRDefault="00F445E6" w:rsidP="00B02958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1</w:t>
            </w:r>
          </w:p>
        </w:tc>
        <w:tc>
          <w:tcPr>
            <w:tcW w:w="624" w:type="dxa"/>
          </w:tcPr>
          <w:p w:rsidR="00F445E6" w:rsidRDefault="00F445E6" w:rsidP="00B02958">
            <w:pPr>
              <w:pStyle w:val="TableText"/>
              <w:keepLines w:val="0"/>
              <w:numPr>
                <w:ilvl w:val="0"/>
                <w:numId w:val="12"/>
              </w:numPr>
            </w:pPr>
          </w:p>
        </w:tc>
        <w:tc>
          <w:tcPr>
            <w:tcW w:w="7145" w:type="dxa"/>
            <w:gridSpan w:val="5"/>
          </w:tcPr>
          <w:p w:rsidR="00F445E6" w:rsidRPr="006F2F88" w:rsidRDefault="00F445E6" w:rsidP="00E22229">
            <w:pPr>
              <w:pStyle w:val="TableBlock"/>
              <w:rPr>
                <w:rtl/>
              </w:rPr>
            </w:pPr>
            <w:r w:rsidRPr="006F2F88">
              <w:rPr>
                <w:rtl/>
              </w:rPr>
              <w:t xml:space="preserve">בחוק זכויות הדייר בדיור הציבורי, </w:t>
            </w:r>
            <w:proofErr w:type="spellStart"/>
            <w:r>
              <w:rPr>
                <w:rFonts w:hint="cs"/>
                <w:rtl/>
              </w:rPr>
              <w:t>ה</w:t>
            </w:r>
            <w:r w:rsidRPr="006F2F88">
              <w:rPr>
                <w:rtl/>
              </w:rPr>
              <w:t>תשנ"ח</w:t>
            </w:r>
            <w:proofErr w:type="spellEnd"/>
            <w:r>
              <w:rPr>
                <w:rFonts w:hint="cs"/>
                <w:rtl/>
              </w:rPr>
              <w:t>–</w:t>
            </w:r>
            <w:r w:rsidRPr="006F2F88">
              <w:rPr>
                <w:rtl/>
              </w:rPr>
              <w:t>1998</w:t>
            </w:r>
            <w:r w:rsidRPr="003273BF">
              <w:rPr>
                <w:szCs w:val="20"/>
                <w:rtl/>
              </w:rPr>
              <w:footnoteReference w:id="2"/>
            </w:r>
            <w:r w:rsidRPr="003273BF">
              <w:rPr>
                <w:rtl/>
              </w:rPr>
              <w:t xml:space="preserve"> </w:t>
            </w:r>
            <w:r w:rsidRPr="006F2F88">
              <w:rPr>
                <w:rtl/>
              </w:rPr>
              <w:t xml:space="preserve">(להלן – </w:t>
            </w:r>
            <w:r>
              <w:rPr>
                <w:rFonts w:hint="cs"/>
                <w:rtl/>
              </w:rPr>
              <w:t>ה</w:t>
            </w:r>
            <w:r w:rsidRPr="006F2F88">
              <w:rPr>
                <w:rtl/>
              </w:rPr>
              <w:t xml:space="preserve">חוק </w:t>
            </w:r>
            <w:r>
              <w:rPr>
                <w:rFonts w:hint="cs"/>
                <w:rtl/>
              </w:rPr>
              <w:t>ה</w:t>
            </w:r>
            <w:r w:rsidRPr="006F2F88">
              <w:rPr>
                <w:rtl/>
              </w:rPr>
              <w:t>עיקרי)</w:t>
            </w:r>
            <w:r>
              <w:rPr>
                <w:rFonts w:hint="cs"/>
                <w:rtl/>
              </w:rPr>
              <w:t xml:space="preserve">, בסעיף 1 </w:t>
            </w:r>
            <w:r w:rsidRPr="006F2F88">
              <w:rPr>
                <w:rFonts w:hint="cs"/>
                <w:rtl/>
              </w:rPr>
              <w:t xml:space="preserve">– </w:t>
            </w:r>
            <w:r w:rsidRPr="006F2F88">
              <w:rPr>
                <w:rtl/>
              </w:rPr>
              <w:t xml:space="preserve"> </w:t>
            </w:r>
          </w:p>
        </w:tc>
      </w:tr>
      <w:tr w:rsidR="00F445E6" w:rsidTr="00CD77D5">
        <w:trPr>
          <w:cantSplit/>
        </w:trPr>
        <w:tc>
          <w:tcPr>
            <w:tcW w:w="1869" w:type="dxa"/>
          </w:tcPr>
          <w:p w:rsidR="00F445E6" w:rsidRDefault="00F445E6" w:rsidP="00B02958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:rsidR="00F445E6" w:rsidRDefault="00F445E6" w:rsidP="00B02958">
            <w:pPr>
              <w:pStyle w:val="TableText"/>
            </w:pPr>
          </w:p>
        </w:tc>
        <w:tc>
          <w:tcPr>
            <w:tcW w:w="7145" w:type="dxa"/>
            <w:gridSpan w:val="5"/>
          </w:tcPr>
          <w:p w:rsidR="00F445E6" w:rsidRPr="006F2F88" w:rsidRDefault="00F445E6" w:rsidP="00E22229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(1</w:t>
            </w:r>
            <w:r w:rsidRPr="006F2F88">
              <w:rPr>
                <w:rFonts w:hint="cs"/>
                <w:rtl/>
              </w:rPr>
              <w:t>)</w:t>
            </w:r>
            <w:r w:rsidRPr="006F2F88">
              <w:rPr>
                <w:rtl/>
              </w:rPr>
              <w:tab/>
              <w:t>במקום ההגדרה "זכאי" יבוא</w:t>
            </w:r>
            <w:r>
              <w:rPr>
                <w:rFonts w:hint="cs"/>
                <w:rtl/>
              </w:rPr>
              <w:t>:</w:t>
            </w:r>
            <w:r w:rsidRPr="006F2F88">
              <w:rPr>
                <w:rtl/>
              </w:rPr>
              <w:t xml:space="preserve"> </w:t>
            </w:r>
          </w:p>
        </w:tc>
      </w:tr>
      <w:tr w:rsidR="00CD77D5" w:rsidTr="00CD77D5">
        <w:trPr>
          <w:cantSplit/>
          <w:trHeight w:val="60"/>
        </w:trPr>
        <w:tc>
          <w:tcPr>
            <w:tcW w:w="1869" w:type="dxa"/>
          </w:tcPr>
          <w:p w:rsidR="00CD77D5" w:rsidRDefault="00CD77D5">
            <w:pPr>
              <w:pStyle w:val="TableSideHeading"/>
              <w:rPr>
                <w:rFonts w:hint="cs"/>
              </w:rPr>
            </w:pPr>
          </w:p>
        </w:tc>
        <w:tc>
          <w:tcPr>
            <w:tcW w:w="624" w:type="dxa"/>
          </w:tcPr>
          <w:p w:rsidR="00CD77D5" w:rsidRDefault="00CD77D5">
            <w:pPr>
              <w:pStyle w:val="TableText"/>
            </w:pPr>
          </w:p>
        </w:tc>
        <w:tc>
          <w:tcPr>
            <w:tcW w:w="624" w:type="dxa"/>
          </w:tcPr>
          <w:p w:rsidR="00CD77D5" w:rsidRDefault="00CD77D5">
            <w:pPr>
              <w:pStyle w:val="TableText"/>
              <w:rPr>
                <w:rFonts w:hint="cs"/>
              </w:rPr>
            </w:pPr>
          </w:p>
        </w:tc>
        <w:tc>
          <w:tcPr>
            <w:tcW w:w="6521" w:type="dxa"/>
            <w:gridSpan w:val="4"/>
          </w:tcPr>
          <w:p w:rsidR="00CD77D5" w:rsidRPr="00976D6D" w:rsidRDefault="00CD77D5" w:rsidP="007D3350">
            <w:pPr>
              <w:pStyle w:val="TableBlockOutdent"/>
              <w:rPr>
                <w:rtl/>
              </w:rPr>
            </w:pPr>
            <w:r w:rsidRPr="00976D6D">
              <w:rPr>
                <w:rFonts w:hint="cs"/>
                <w:rtl/>
              </w:rPr>
              <w:t>"</w:t>
            </w:r>
            <w:r w:rsidRPr="00976D6D">
              <w:rPr>
                <w:rtl/>
              </w:rPr>
              <w:t>"זכאי</w:t>
            </w:r>
            <w:r w:rsidRPr="00976D6D">
              <w:rPr>
                <w:rFonts w:hint="cs"/>
                <w:rtl/>
              </w:rPr>
              <w:t xml:space="preserve">" – </w:t>
            </w:r>
            <w:r w:rsidRPr="00976D6D">
              <w:rPr>
                <w:rtl/>
              </w:rPr>
              <w:t>מי שהוגדר כזכאי לדירה ציבורית על פי הכללים או על פי כל דין</w:t>
            </w:r>
            <w:r w:rsidRPr="00976D6D">
              <w:rPr>
                <w:rFonts w:hint="cs"/>
                <w:rtl/>
              </w:rPr>
              <w:t>;</w:t>
            </w:r>
            <w:r w:rsidRPr="00976D6D">
              <w:rPr>
                <w:rtl/>
              </w:rPr>
              <w:t>"</w:t>
            </w:r>
            <w:r w:rsidRPr="00976D6D">
              <w:rPr>
                <w:rFonts w:hint="cs"/>
                <w:rtl/>
              </w:rPr>
              <w:t>;</w:t>
            </w:r>
          </w:p>
        </w:tc>
      </w:tr>
      <w:tr w:rsidR="00CD77D5" w:rsidTr="00CD77D5">
        <w:trPr>
          <w:cantSplit/>
        </w:trPr>
        <w:tc>
          <w:tcPr>
            <w:tcW w:w="1869" w:type="dxa"/>
          </w:tcPr>
          <w:p w:rsidR="00CD77D5" w:rsidRDefault="00CD77D5" w:rsidP="00B02958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:rsidR="00CD77D5" w:rsidRDefault="00CD77D5" w:rsidP="00B02958">
            <w:pPr>
              <w:pStyle w:val="TableText"/>
            </w:pPr>
          </w:p>
        </w:tc>
        <w:tc>
          <w:tcPr>
            <w:tcW w:w="7145" w:type="dxa"/>
            <w:gridSpan w:val="5"/>
          </w:tcPr>
          <w:p w:rsidR="00CD77D5" w:rsidRPr="006F2F88" w:rsidRDefault="00CD77D5" w:rsidP="006112D2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(2</w:t>
            </w:r>
            <w:r w:rsidRPr="006F2F88">
              <w:rPr>
                <w:rFonts w:hint="cs"/>
                <w:rtl/>
              </w:rPr>
              <w:t>)</w:t>
            </w:r>
            <w:r w:rsidRPr="006F2F88">
              <w:rPr>
                <w:rtl/>
              </w:rPr>
              <w:tab/>
            </w:r>
            <w:r>
              <w:rPr>
                <w:rtl/>
              </w:rPr>
              <w:t>בהגדר</w:t>
            </w:r>
            <w:r>
              <w:rPr>
                <w:rFonts w:hint="cs"/>
                <w:rtl/>
              </w:rPr>
              <w:t>ה</w:t>
            </w:r>
            <w:r w:rsidRPr="006F2F88">
              <w:rPr>
                <w:rtl/>
              </w:rPr>
              <w:t xml:space="preserve"> "דייר ממשיך", בסו</w:t>
            </w:r>
            <w:r w:rsidRPr="006F2F88">
              <w:rPr>
                <w:rFonts w:hint="cs"/>
                <w:rtl/>
              </w:rPr>
              <w:t>פה</w:t>
            </w:r>
            <w:r w:rsidRPr="006F2F88">
              <w:rPr>
                <w:rtl/>
              </w:rPr>
              <w:t xml:space="preserve"> </w:t>
            </w:r>
            <w:r w:rsidRPr="006112D2">
              <w:rPr>
                <w:rtl/>
              </w:rPr>
              <w:t>יבוא</w:t>
            </w:r>
            <w:r w:rsidRPr="006112D2">
              <w:rPr>
                <w:rFonts w:hint="cs"/>
                <w:rtl/>
              </w:rPr>
              <w:t xml:space="preserve"> </w:t>
            </w:r>
            <w:r w:rsidRPr="006112D2">
              <w:rPr>
                <w:rtl/>
              </w:rPr>
              <w:t>"לעניין זה, "זכאי" – כ</w:t>
            </w:r>
            <w:r>
              <w:rPr>
                <w:rFonts w:hint="cs"/>
                <w:rtl/>
              </w:rPr>
              <w:t>הגדרתו</w:t>
            </w:r>
            <w:r w:rsidRPr="006112D2">
              <w:rPr>
                <w:rtl/>
              </w:rPr>
              <w:t xml:space="preserve"> בסעיף 3;".</w:t>
            </w:r>
            <w:r w:rsidRPr="00AB020F">
              <w:rPr>
                <w:rtl/>
              </w:rPr>
              <w:t xml:space="preserve"> </w:t>
            </w:r>
          </w:p>
        </w:tc>
      </w:tr>
      <w:tr w:rsidR="00CD77D5" w:rsidTr="00CD77D5">
        <w:trPr>
          <w:cantSplit/>
        </w:trPr>
        <w:tc>
          <w:tcPr>
            <w:tcW w:w="1869" w:type="dxa"/>
          </w:tcPr>
          <w:p w:rsidR="00CD77D5" w:rsidRDefault="00CD77D5" w:rsidP="00B02958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תיקון סעיף 3</w:t>
            </w:r>
          </w:p>
        </w:tc>
        <w:tc>
          <w:tcPr>
            <w:tcW w:w="624" w:type="dxa"/>
          </w:tcPr>
          <w:p w:rsidR="00CD77D5" w:rsidRDefault="00CD77D5" w:rsidP="00B02958">
            <w:pPr>
              <w:pStyle w:val="TableText"/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5" w:type="dxa"/>
            <w:gridSpan w:val="5"/>
          </w:tcPr>
          <w:p w:rsidR="00CD77D5" w:rsidRPr="006F2F88" w:rsidRDefault="00CD77D5" w:rsidP="00E22229">
            <w:pPr>
              <w:pStyle w:val="TableBlock"/>
            </w:pPr>
            <w:r w:rsidRPr="006F2F88">
              <w:rPr>
                <w:rtl/>
              </w:rPr>
              <w:t>בסעיף 3</w:t>
            </w:r>
            <w:r>
              <w:rPr>
                <w:rFonts w:hint="cs"/>
                <w:rtl/>
              </w:rPr>
              <w:t>(ב)</w:t>
            </w:r>
            <w:r>
              <w:rPr>
                <w:rtl/>
              </w:rPr>
              <w:t xml:space="preserve"> לחוק העיקרי</w:t>
            </w:r>
            <w:r>
              <w:rPr>
                <w:rFonts w:hint="cs"/>
                <w:rtl/>
              </w:rPr>
              <w:t>,</w:t>
            </w:r>
            <w:r w:rsidRPr="006F2F88">
              <w:rPr>
                <w:rFonts w:hint="cs"/>
                <w:rtl/>
              </w:rPr>
              <w:t xml:space="preserve"> בסופ</w:t>
            </w:r>
            <w:r>
              <w:rPr>
                <w:rFonts w:hint="cs"/>
                <w:rtl/>
              </w:rPr>
              <w:t>ו</w:t>
            </w:r>
            <w:r>
              <w:rPr>
                <w:rtl/>
              </w:rPr>
              <w:t xml:space="preserve"> יבוא</w:t>
            </w:r>
            <w:r>
              <w:rPr>
                <w:rFonts w:hint="cs"/>
                <w:rtl/>
              </w:rPr>
              <w:t xml:space="preserve"> </w:t>
            </w:r>
            <w:r w:rsidRPr="006F2F88">
              <w:rPr>
                <w:rtl/>
              </w:rPr>
              <w:t>"לעניין סעיף זה, "זכאי" – מי שמתגורר בדירה ציבורית תקופה של חמש שנים לפחות, ואין בבעלותו, או בבעלות קרובו, דירה או מקרקעין אחרים."</w:t>
            </w:r>
          </w:p>
        </w:tc>
      </w:tr>
      <w:tr w:rsidR="00CD77D5" w:rsidTr="00CD77D5">
        <w:trPr>
          <w:cantSplit/>
        </w:trPr>
        <w:tc>
          <w:tcPr>
            <w:tcW w:w="1869" w:type="dxa"/>
          </w:tcPr>
          <w:p w:rsidR="00CD77D5" w:rsidRDefault="00CD77D5" w:rsidP="00B02958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הוספת סעיף 4א</w:t>
            </w:r>
          </w:p>
        </w:tc>
        <w:tc>
          <w:tcPr>
            <w:tcW w:w="624" w:type="dxa"/>
          </w:tcPr>
          <w:p w:rsidR="00CD77D5" w:rsidRDefault="00CD77D5" w:rsidP="00B02958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145" w:type="dxa"/>
            <w:gridSpan w:val="5"/>
          </w:tcPr>
          <w:p w:rsidR="00CD77D5" w:rsidRPr="006F2F88" w:rsidRDefault="00CD77D5" w:rsidP="00E22229">
            <w:pPr>
              <w:pStyle w:val="TableBlock"/>
            </w:pPr>
            <w:r w:rsidRPr="006F2F88">
              <w:rPr>
                <w:rtl/>
              </w:rPr>
              <w:t>אחר</w:t>
            </w:r>
            <w:r>
              <w:rPr>
                <w:rFonts w:hint="cs"/>
                <w:rtl/>
              </w:rPr>
              <w:t>י</w:t>
            </w:r>
            <w:r w:rsidRPr="006F2F88">
              <w:rPr>
                <w:rtl/>
              </w:rPr>
              <w:t xml:space="preserve"> סעיף 4 לחוק העיקרי יבוא:</w:t>
            </w:r>
          </w:p>
        </w:tc>
      </w:tr>
      <w:tr w:rsidR="00CD77D5" w:rsidTr="00CD77D5">
        <w:trPr>
          <w:cantSplit/>
        </w:trPr>
        <w:tc>
          <w:tcPr>
            <w:tcW w:w="1869" w:type="dxa"/>
          </w:tcPr>
          <w:p w:rsidR="00CD77D5" w:rsidRDefault="00CD77D5" w:rsidP="00B02958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:rsidR="00CD77D5" w:rsidRDefault="00CD77D5" w:rsidP="00B02958">
            <w:pPr>
              <w:pStyle w:val="TableText"/>
              <w:keepLines w:val="0"/>
            </w:pPr>
          </w:p>
        </w:tc>
        <w:tc>
          <w:tcPr>
            <w:tcW w:w="1872" w:type="dxa"/>
            <w:gridSpan w:val="3"/>
          </w:tcPr>
          <w:p w:rsidR="00CD77D5" w:rsidRDefault="00CD77D5" w:rsidP="00B02958">
            <w:pPr>
              <w:pStyle w:val="TableInnerSideHeading"/>
            </w:pPr>
            <w:r w:rsidRPr="006D5FE7">
              <w:rPr>
                <w:rtl/>
              </w:rPr>
              <w:t>"זכאות לסיוע בשכר דירה</w:t>
            </w:r>
          </w:p>
        </w:tc>
        <w:tc>
          <w:tcPr>
            <w:tcW w:w="624" w:type="dxa"/>
          </w:tcPr>
          <w:p w:rsidR="00CD77D5" w:rsidRDefault="00CD77D5" w:rsidP="00B02958">
            <w:pPr>
              <w:pStyle w:val="TableText"/>
            </w:pPr>
            <w:r w:rsidRPr="006D5FE7">
              <w:rPr>
                <w:rtl/>
              </w:rPr>
              <w:t>4א.</w:t>
            </w:r>
          </w:p>
        </w:tc>
        <w:tc>
          <w:tcPr>
            <w:tcW w:w="4649" w:type="dxa"/>
          </w:tcPr>
          <w:p w:rsidR="00CD77D5" w:rsidRPr="006F2F88" w:rsidRDefault="00CD77D5" w:rsidP="00E22229">
            <w:pPr>
              <w:pStyle w:val="TableBlock"/>
            </w:pPr>
            <w:r w:rsidRPr="006F2F88">
              <w:rPr>
                <w:rtl/>
              </w:rPr>
              <w:t>(א)</w:t>
            </w:r>
            <w:r>
              <w:rPr>
                <w:rFonts w:hint="cs"/>
                <w:rtl/>
              </w:rPr>
              <w:tab/>
            </w:r>
            <w:r w:rsidRPr="006F2F88">
              <w:rPr>
                <w:rtl/>
              </w:rPr>
              <w:t>זכאי</w:t>
            </w:r>
            <w:r w:rsidRPr="006F2F8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י</w:t>
            </w:r>
            <w:r w:rsidRPr="006F2F88">
              <w:rPr>
                <w:rtl/>
              </w:rPr>
              <w:t>קבל סיוע בתשלום שכר דירה</w:t>
            </w:r>
            <w:r>
              <w:rPr>
                <w:rFonts w:hint="cs"/>
                <w:rtl/>
              </w:rPr>
              <w:t>;</w:t>
            </w:r>
            <w:r w:rsidRPr="006F2F8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הסיוע בשכר הדירה יינתן </w:t>
            </w:r>
            <w:r w:rsidRPr="006F2F88">
              <w:rPr>
                <w:rFonts w:hint="cs"/>
                <w:rtl/>
              </w:rPr>
              <w:t>עד ליום כניסתו לדירה הציבורית</w:t>
            </w:r>
            <w:r w:rsidRPr="006F2F88">
              <w:rPr>
                <w:rtl/>
              </w:rPr>
              <w:t>.</w:t>
            </w:r>
          </w:p>
        </w:tc>
      </w:tr>
      <w:tr w:rsidR="00CD77D5" w:rsidTr="00CD77D5">
        <w:trPr>
          <w:cantSplit/>
        </w:trPr>
        <w:tc>
          <w:tcPr>
            <w:tcW w:w="1869" w:type="dxa"/>
          </w:tcPr>
          <w:p w:rsidR="00CD77D5" w:rsidRDefault="00CD77D5" w:rsidP="00B02958">
            <w:pPr>
              <w:pStyle w:val="TableSideHeading"/>
            </w:pPr>
          </w:p>
        </w:tc>
        <w:tc>
          <w:tcPr>
            <w:tcW w:w="624" w:type="dxa"/>
          </w:tcPr>
          <w:p w:rsidR="00CD77D5" w:rsidRDefault="00CD77D5" w:rsidP="00B02958">
            <w:pPr>
              <w:pStyle w:val="TableText"/>
            </w:pPr>
          </w:p>
        </w:tc>
        <w:tc>
          <w:tcPr>
            <w:tcW w:w="624" w:type="dxa"/>
          </w:tcPr>
          <w:p w:rsidR="00CD77D5" w:rsidRDefault="00CD77D5" w:rsidP="00B02958">
            <w:pPr>
              <w:pStyle w:val="TableText"/>
            </w:pPr>
          </w:p>
        </w:tc>
        <w:tc>
          <w:tcPr>
            <w:tcW w:w="624" w:type="dxa"/>
          </w:tcPr>
          <w:p w:rsidR="00CD77D5" w:rsidRDefault="00CD77D5" w:rsidP="00B02958">
            <w:pPr>
              <w:pStyle w:val="TableText"/>
            </w:pPr>
          </w:p>
        </w:tc>
        <w:tc>
          <w:tcPr>
            <w:tcW w:w="624" w:type="dxa"/>
          </w:tcPr>
          <w:p w:rsidR="00CD77D5" w:rsidRDefault="00CD77D5" w:rsidP="00B02958">
            <w:pPr>
              <w:pStyle w:val="TableText"/>
            </w:pPr>
          </w:p>
        </w:tc>
        <w:tc>
          <w:tcPr>
            <w:tcW w:w="624" w:type="dxa"/>
          </w:tcPr>
          <w:p w:rsidR="00CD77D5" w:rsidRDefault="00CD77D5" w:rsidP="00B02958">
            <w:pPr>
              <w:pStyle w:val="TableText"/>
            </w:pPr>
          </w:p>
        </w:tc>
        <w:tc>
          <w:tcPr>
            <w:tcW w:w="4649" w:type="dxa"/>
          </w:tcPr>
          <w:p w:rsidR="00CD77D5" w:rsidRPr="006F2F88" w:rsidRDefault="00CD77D5" w:rsidP="00E22229">
            <w:pPr>
              <w:pStyle w:val="TableBlock"/>
            </w:pPr>
            <w:r>
              <w:rPr>
                <w:rtl/>
              </w:rPr>
              <w:t>(ב)</w:t>
            </w:r>
            <w:r>
              <w:rPr>
                <w:rFonts w:hint="cs"/>
                <w:rtl/>
              </w:rPr>
              <w:tab/>
            </w:r>
            <w:r w:rsidRPr="006F2F88">
              <w:rPr>
                <w:rtl/>
              </w:rPr>
              <w:t xml:space="preserve">סיוע לפי סעיף קטן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א</w:t>
            </w:r>
            <w:r>
              <w:rPr>
                <w:rFonts w:hint="cs"/>
                <w:rtl/>
              </w:rPr>
              <w:t>)</w:t>
            </w:r>
            <w:r w:rsidRPr="006F2F88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יהיה בסכום</w:t>
            </w:r>
            <w:r w:rsidRPr="006F2F88">
              <w:rPr>
                <w:rFonts w:hint="cs"/>
                <w:rtl/>
              </w:rPr>
              <w:t xml:space="preserve"> הזהה לסכום</w:t>
            </w:r>
            <w:r>
              <w:rPr>
                <w:rtl/>
              </w:rPr>
              <w:t xml:space="preserve"> ש</w:t>
            </w:r>
            <w:r>
              <w:rPr>
                <w:rFonts w:hint="cs"/>
                <w:rtl/>
              </w:rPr>
              <w:t>ה</w:t>
            </w:r>
            <w:r w:rsidRPr="006F2F88">
              <w:rPr>
                <w:rtl/>
              </w:rPr>
              <w:t xml:space="preserve">יה </w:t>
            </w:r>
            <w:r>
              <w:rPr>
                <w:rFonts w:hint="cs"/>
                <w:rtl/>
              </w:rPr>
              <w:t>משולם עבור</w:t>
            </w:r>
            <w:r>
              <w:rPr>
                <w:rtl/>
              </w:rPr>
              <w:t xml:space="preserve"> השכירות </w:t>
            </w:r>
            <w:r>
              <w:rPr>
                <w:rFonts w:hint="cs"/>
                <w:rtl/>
              </w:rPr>
              <w:t>של ה</w:t>
            </w:r>
            <w:r>
              <w:rPr>
                <w:rtl/>
              </w:rPr>
              <w:t xml:space="preserve">דירה הציבורית, אילו </w:t>
            </w:r>
            <w:proofErr w:type="spellStart"/>
            <w:r>
              <w:rPr>
                <w:rtl/>
              </w:rPr>
              <w:t>היתה</w:t>
            </w:r>
            <w:proofErr w:type="spellEnd"/>
            <w:r w:rsidRPr="006F2F88">
              <w:rPr>
                <w:rtl/>
              </w:rPr>
              <w:t xml:space="preserve"> מוצעת בשוק</w:t>
            </w:r>
            <w:r>
              <w:rPr>
                <w:rFonts w:hint="cs"/>
                <w:rtl/>
              </w:rPr>
              <w:t xml:space="preserve"> החופשי</w:t>
            </w:r>
            <w:r w:rsidRPr="006F2F88">
              <w:rPr>
                <w:rtl/>
              </w:rPr>
              <w:t>; ואולם, מסכום זה יקוזזו דמי השכירות אותם היה משלם הזכאי בפועל עבור הדירה הציבורית."</w:t>
            </w:r>
          </w:p>
        </w:tc>
      </w:tr>
      <w:tr w:rsidR="00CD77D5" w:rsidTr="00CD77D5">
        <w:trPr>
          <w:cantSplit/>
        </w:trPr>
        <w:tc>
          <w:tcPr>
            <w:tcW w:w="1869" w:type="dxa"/>
          </w:tcPr>
          <w:p w:rsidR="00CD77D5" w:rsidRDefault="00CD77D5" w:rsidP="00B02958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תיקון סעיף 8</w:t>
            </w:r>
          </w:p>
        </w:tc>
        <w:tc>
          <w:tcPr>
            <w:tcW w:w="624" w:type="dxa"/>
          </w:tcPr>
          <w:p w:rsidR="00CD77D5" w:rsidRDefault="00CD77D5" w:rsidP="00B02958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</w:tc>
        <w:tc>
          <w:tcPr>
            <w:tcW w:w="7145" w:type="dxa"/>
            <w:gridSpan w:val="5"/>
          </w:tcPr>
          <w:p w:rsidR="00CD77D5" w:rsidRPr="006F2F88" w:rsidRDefault="00CD77D5" w:rsidP="00E22229">
            <w:pPr>
              <w:pStyle w:val="TableBlock"/>
            </w:pPr>
            <w:r w:rsidRPr="006F2F88">
              <w:rPr>
                <w:rFonts w:hint="cs"/>
                <w:rtl/>
              </w:rPr>
              <w:t xml:space="preserve">בסעיף 8 לחוק העיקרי, </w:t>
            </w:r>
            <w:r w:rsidRPr="006F2F88">
              <w:rPr>
                <w:rtl/>
              </w:rPr>
              <w:t>אחר</w:t>
            </w:r>
            <w:r>
              <w:rPr>
                <w:rFonts w:hint="cs"/>
                <w:rtl/>
              </w:rPr>
              <w:t xml:space="preserve">י סעיף קטן </w:t>
            </w:r>
            <w:r>
              <w:rPr>
                <w:rtl/>
              </w:rPr>
              <w:t>(ב3)</w:t>
            </w:r>
            <w:r>
              <w:rPr>
                <w:rFonts w:hint="cs"/>
                <w:rtl/>
              </w:rPr>
              <w:t xml:space="preserve"> </w:t>
            </w:r>
            <w:r w:rsidRPr="006F2F88">
              <w:rPr>
                <w:rtl/>
              </w:rPr>
              <w:t>יבוא:</w:t>
            </w:r>
          </w:p>
        </w:tc>
      </w:tr>
      <w:tr w:rsidR="00CD77D5" w:rsidTr="00CD77D5">
        <w:trPr>
          <w:cantSplit/>
        </w:trPr>
        <w:tc>
          <w:tcPr>
            <w:tcW w:w="1869" w:type="dxa"/>
          </w:tcPr>
          <w:p w:rsidR="00CD77D5" w:rsidRDefault="00CD77D5" w:rsidP="00B02958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:rsidR="00CD77D5" w:rsidRDefault="00CD77D5" w:rsidP="00B02958">
            <w:pPr>
              <w:pStyle w:val="TableText"/>
              <w:rPr>
                <w:rtl/>
              </w:rPr>
            </w:pPr>
          </w:p>
        </w:tc>
        <w:tc>
          <w:tcPr>
            <w:tcW w:w="7145" w:type="dxa"/>
            <w:gridSpan w:val="5"/>
          </w:tcPr>
          <w:p w:rsidR="00CD77D5" w:rsidRPr="006F2F88" w:rsidRDefault="00CD77D5" w:rsidP="00E22229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"(ב4)</w:t>
            </w:r>
            <w:r>
              <w:rPr>
                <w:rtl/>
              </w:rPr>
              <w:tab/>
            </w:r>
            <w:r w:rsidRPr="006D5FE7">
              <w:rPr>
                <w:rtl/>
              </w:rPr>
              <w:t xml:space="preserve">השר, באישור ועדת הכלכלה של הכנסת, יקבע מעת לעת את שיעורי הסיוע </w:t>
            </w:r>
            <w:r>
              <w:rPr>
                <w:rtl/>
              </w:rPr>
              <w:t>בשכר דירה כאמור בסעיף 4א</w:t>
            </w:r>
            <w:r w:rsidRPr="006D5FE7">
              <w:rPr>
                <w:rtl/>
              </w:rPr>
              <w:t>."</w:t>
            </w:r>
          </w:p>
        </w:tc>
      </w:tr>
    </w:tbl>
    <w:p w:rsidR="00491741" w:rsidRDefault="00491741" w:rsidP="00E13C27">
      <w:pPr>
        <w:pStyle w:val="HeadDivreiHesber"/>
        <w:spacing w:before="0" w:after="0"/>
        <w:rPr>
          <w:rtl/>
        </w:rPr>
      </w:pPr>
    </w:p>
    <w:p w:rsidR="00E13C27" w:rsidRDefault="00E13C27" w:rsidP="00E13C27">
      <w:pPr>
        <w:pStyle w:val="HeadDivreiHesber"/>
        <w:spacing w:before="0" w:after="0"/>
        <w:rPr>
          <w:rtl/>
        </w:rPr>
      </w:pPr>
      <w:r>
        <w:rPr>
          <w:rFonts w:hint="cs"/>
          <w:rtl/>
        </w:rPr>
        <w:lastRenderedPageBreak/>
        <w:t>דברי הסבר</w:t>
      </w:r>
    </w:p>
    <w:p w:rsidR="00F445E6" w:rsidRPr="00E22229" w:rsidRDefault="00F445E6" w:rsidP="003273BF">
      <w:pPr>
        <w:pStyle w:val="Hesber"/>
        <w:rPr>
          <w:rtl/>
        </w:rPr>
      </w:pPr>
      <w:r w:rsidRPr="00E22229">
        <w:rPr>
          <w:rFonts w:hint="cs"/>
          <w:rtl/>
        </w:rPr>
        <w:t xml:space="preserve">מטרת </w:t>
      </w:r>
      <w:r w:rsidR="00491741" w:rsidRPr="00E22229">
        <w:rPr>
          <w:rFonts w:hint="cs"/>
          <w:rtl/>
        </w:rPr>
        <w:t>הצעת החוק</w:t>
      </w:r>
      <w:r w:rsidRPr="00E22229">
        <w:rPr>
          <w:rFonts w:hint="cs"/>
          <w:rtl/>
        </w:rPr>
        <w:t xml:space="preserve"> היא כפולה</w:t>
      </w:r>
      <w:r w:rsidR="00E22229">
        <w:rPr>
          <w:rFonts w:hint="cs"/>
          <w:rtl/>
        </w:rPr>
        <w:t>:</w:t>
      </w:r>
      <w:r w:rsidRPr="00E22229">
        <w:rPr>
          <w:rFonts w:hint="cs"/>
          <w:rtl/>
        </w:rPr>
        <w:t xml:space="preserve"> ראשית, </w:t>
      </w:r>
      <w:r w:rsidR="00E22229">
        <w:rPr>
          <w:rFonts w:hint="cs"/>
          <w:rtl/>
        </w:rPr>
        <w:t>לעגן בחקיקה</w:t>
      </w:r>
      <w:r w:rsidRPr="00E22229">
        <w:rPr>
          <w:rFonts w:hint="cs"/>
          <w:rtl/>
        </w:rPr>
        <w:t xml:space="preserve"> </w:t>
      </w:r>
      <w:r w:rsidR="00E22229">
        <w:rPr>
          <w:rFonts w:hint="cs"/>
          <w:rtl/>
        </w:rPr>
        <w:t>את ה</w:t>
      </w:r>
      <w:r w:rsidRPr="00E22229">
        <w:rPr>
          <w:rFonts w:hint="cs"/>
          <w:rtl/>
        </w:rPr>
        <w:t>מצב הקיים עתה, ולפיו אדם אשר נמצא זכאי לדיור ציבורי על פי נהלי משרד השיכון זכאי</w:t>
      </w:r>
      <w:r w:rsidR="00E22229">
        <w:rPr>
          <w:rFonts w:hint="cs"/>
          <w:rtl/>
        </w:rPr>
        <w:t xml:space="preserve"> גם</w:t>
      </w:r>
      <w:r w:rsidRPr="00E22229">
        <w:rPr>
          <w:rFonts w:hint="cs"/>
          <w:rtl/>
        </w:rPr>
        <w:t xml:space="preserve"> לסיוע בתשלום שכר הדירה בתקופת ההמתנה עד לקבלת הדירה הציבורית. שנית, לתקן עיוות הקיים כיום, המתבטא בכך שזכאי לדיור ציבורי, אף שהוכר כי על המדינה לספק לו דירה ציבורית באופן </w:t>
      </w:r>
      <w:proofErr w:type="spellStart"/>
      <w:r w:rsidRPr="00E22229">
        <w:rPr>
          <w:rFonts w:hint="cs"/>
          <w:rtl/>
        </w:rPr>
        <w:t>מיידי</w:t>
      </w:r>
      <w:proofErr w:type="spellEnd"/>
      <w:r w:rsidRPr="00E22229">
        <w:rPr>
          <w:rFonts w:hint="cs"/>
          <w:rtl/>
        </w:rPr>
        <w:t>, מקבל עד לקבלת הדירה</w:t>
      </w:r>
      <w:r w:rsidR="00E22229">
        <w:rPr>
          <w:rFonts w:hint="cs"/>
          <w:rtl/>
        </w:rPr>
        <w:t xml:space="preserve"> הציבורית</w:t>
      </w:r>
      <w:r w:rsidRPr="00E22229">
        <w:rPr>
          <w:rFonts w:hint="cs"/>
          <w:rtl/>
        </w:rPr>
        <w:t xml:space="preserve"> סיוע בשכר דירה בסכומים שאינם ריאליים </w:t>
      </w:r>
      <w:r w:rsidR="00E22229">
        <w:rPr>
          <w:rFonts w:hint="cs"/>
          <w:rtl/>
        </w:rPr>
        <w:t xml:space="preserve">בהשוואה לשכר הדירה המשולם על ידי הזכאי בפועל, </w:t>
      </w:r>
      <w:r w:rsidRPr="00E22229">
        <w:rPr>
          <w:rFonts w:hint="cs"/>
          <w:rtl/>
        </w:rPr>
        <w:t>ושאינם מהווים תחליף ראוי להטבה הגלומה בדיור הציבורי. ההכרה כי אדם זכאי לדיור ציבורי פירושה הכרה בכך שאותו אדם זכאי לפתרון דיור ריאלי מידי המדינה. ההמתנה ארוכת השנים לדיור הציבורי</w:t>
      </w:r>
      <w:r w:rsidR="00976D6D">
        <w:rPr>
          <w:rFonts w:hint="cs"/>
          <w:rtl/>
        </w:rPr>
        <w:t>,</w:t>
      </w:r>
      <w:r w:rsidRPr="00E22229">
        <w:rPr>
          <w:rFonts w:hint="cs"/>
          <w:rtl/>
        </w:rPr>
        <w:t xml:space="preserve"> מחד</w:t>
      </w:r>
      <w:r w:rsidR="00CD77D5">
        <w:rPr>
          <w:rFonts w:hint="cs"/>
          <w:rtl/>
        </w:rPr>
        <w:t xml:space="preserve"> גיסא</w:t>
      </w:r>
      <w:r w:rsidRPr="00E22229">
        <w:rPr>
          <w:rFonts w:hint="cs"/>
          <w:rtl/>
        </w:rPr>
        <w:t xml:space="preserve">, והסיוע הלא ריאלי שניתן </w:t>
      </w:r>
      <w:r w:rsidR="00E22229">
        <w:rPr>
          <w:rFonts w:hint="cs"/>
          <w:rtl/>
        </w:rPr>
        <w:t xml:space="preserve">למימון שכר הדירה </w:t>
      </w:r>
      <w:r w:rsidRPr="00E22229">
        <w:rPr>
          <w:rFonts w:hint="cs"/>
          <w:rtl/>
        </w:rPr>
        <w:t>בתקופ</w:t>
      </w:r>
      <w:r w:rsidR="00E22229">
        <w:rPr>
          <w:rFonts w:hint="cs"/>
          <w:rtl/>
        </w:rPr>
        <w:t>ת</w:t>
      </w:r>
      <w:r w:rsidRPr="00E22229">
        <w:rPr>
          <w:rFonts w:hint="cs"/>
          <w:rtl/>
        </w:rPr>
        <w:t xml:space="preserve"> </w:t>
      </w:r>
      <w:r w:rsidR="00E22229">
        <w:rPr>
          <w:rFonts w:hint="cs"/>
          <w:rtl/>
        </w:rPr>
        <w:t>ההמתנה</w:t>
      </w:r>
      <w:r w:rsidR="00976D6D">
        <w:rPr>
          <w:rFonts w:hint="cs"/>
          <w:rtl/>
        </w:rPr>
        <w:t>,</w:t>
      </w:r>
      <w:r w:rsidRPr="00E22229">
        <w:rPr>
          <w:rFonts w:hint="cs"/>
          <w:rtl/>
        </w:rPr>
        <w:t xml:space="preserve"> מאידך</w:t>
      </w:r>
      <w:r w:rsidR="00CD77D5">
        <w:rPr>
          <w:rFonts w:hint="cs"/>
          <w:rtl/>
        </w:rPr>
        <w:t xml:space="preserve"> גיסא</w:t>
      </w:r>
      <w:r w:rsidRPr="00E22229">
        <w:rPr>
          <w:rFonts w:hint="cs"/>
          <w:rtl/>
        </w:rPr>
        <w:t>, מביאים לריקון מתוכן של ההכרה באדם כזכאי לדיור ציבורי.</w:t>
      </w:r>
      <w:r w:rsidR="003273BF">
        <w:rPr>
          <w:rFonts w:hint="cs"/>
          <w:rtl/>
        </w:rPr>
        <w:t xml:space="preserve"> לכן </w:t>
      </w:r>
      <w:r w:rsidRPr="00E22229">
        <w:rPr>
          <w:rFonts w:hint="cs"/>
          <w:rtl/>
        </w:rPr>
        <w:t xml:space="preserve">מוצע </w:t>
      </w:r>
      <w:r w:rsidR="00AB020F">
        <w:rPr>
          <w:rFonts w:hint="cs"/>
          <w:rtl/>
        </w:rPr>
        <w:t xml:space="preserve">כי </w:t>
      </w:r>
      <w:r w:rsidRPr="00E22229">
        <w:rPr>
          <w:rFonts w:hint="cs"/>
          <w:rtl/>
        </w:rPr>
        <w:t xml:space="preserve">המונח "זכאי", </w:t>
      </w:r>
      <w:r w:rsidR="00AB020F">
        <w:rPr>
          <w:rFonts w:hint="cs"/>
          <w:rtl/>
        </w:rPr>
        <w:t>בסעיף 1 לחוק, יכלול כל אדם</w:t>
      </w:r>
      <w:r w:rsidR="00AB020F" w:rsidRPr="00AB020F">
        <w:rPr>
          <w:rtl/>
        </w:rPr>
        <w:t xml:space="preserve"> </w:t>
      </w:r>
      <w:r w:rsidR="00AB020F">
        <w:rPr>
          <w:rFonts w:hint="cs"/>
          <w:rtl/>
        </w:rPr>
        <w:t>אשר נמצא</w:t>
      </w:r>
      <w:r w:rsidR="00AB020F">
        <w:rPr>
          <w:rtl/>
        </w:rPr>
        <w:t xml:space="preserve"> </w:t>
      </w:r>
      <w:r w:rsidR="00AB020F" w:rsidRPr="00976D6D">
        <w:rPr>
          <w:rtl/>
        </w:rPr>
        <w:t>זכאי לדירה ציבורית על פי הכללים או על פי כל דין</w:t>
      </w:r>
      <w:r w:rsidR="00AB020F">
        <w:rPr>
          <w:rFonts w:hint="cs"/>
          <w:rtl/>
        </w:rPr>
        <w:t>, ו</w:t>
      </w:r>
      <w:r w:rsidR="003273BF">
        <w:rPr>
          <w:rFonts w:hint="cs"/>
          <w:rtl/>
        </w:rPr>
        <w:t>עד שתימצא עבורו דירה</w:t>
      </w:r>
      <w:r w:rsidR="00AB020F">
        <w:rPr>
          <w:rFonts w:hint="cs"/>
          <w:rtl/>
        </w:rPr>
        <w:t xml:space="preserve"> </w:t>
      </w:r>
      <w:r w:rsidR="003273BF">
        <w:rPr>
          <w:rFonts w:hint="cs"/>
          <w:rtl/>
        </w:rPr>
        <w:t xml:space="preserve">הוא </w:t>
      </w:r>
      <w:r w:rsidR="00AB020F">
        <w:rPr>
          <w:rFonts w:hint="cs"/>
          <w:rtl/>
        </w:rPr>
        <w:t>יהיה זכאי לסיוע ריאלי בשכר הדירה</w:t>
      </w:r>
      <w:r w:rsidRPr="00E22229">
        <w:rPr>
          <w:rFonts w:hint="cs"/>
          <w:rtl/>
        </w:rPr>
        <w:t>.</w:t>
      </w:r>
    </w:p>
    <w:p w:rsidR="00F445E6" w:rsidRDefault="00F445E6" w:rsidP="00AB020F">
      <w:pPr>
        <w:pStyle w:val="Hesber"/>
        <w:rPr>
          <w:rtl/>
        </w:rPr>
      </w:pPr>
      <w:r w:rsidRPr="00E22229">
        <w:rPr>
          <w:rFonts w:hint="cs"/>
          <w:rtl/>
        </w:rPr>
        <w:t xml:space="preserve">מוצע כי מרגע שאדם </w:t>
      </w:r>
      <w:r w:rsidR="006112D2">
        <w:rPr>
          <w:rFonts w:hint="cs"/>
          <w:rtl/>
        </w:rPr>
        <w:t xml:space="preserve">הוכר </w:t>
      </w:r>
      <w:r w:rsidRPr="00E22229">
        <w:rPr>
          <w:rFonts w:hint="cs"/>
          <w:rtl/>
        </w:rPr>
        <w:t>כ"זכאי" לדיור ציבורי הוא ייהנה בתקופת ההמתנה מסיוע בשכר דירה בסכום השווה לעלות שכירת דירה דומה לזו המוצעת במסגרת הדיור הציבורי, בשוק החופשי. זאת עד לקבלת הדירה הציבורית</w:t>
      </w:r>
      <w:r w:rsidR="00E22229">
        <w:rPr>
          <w:rFonts w:hint="cs"/>
          <w:rtl/>
        </w:rPr>
        <w:t xml:space="preserve"> בפועל</w:t>
      </w:r>
      <w:r w:rsidRPr="00E22229">
        <w:rPr>
          <w:rFonts w:hint="cs"/>
          <w:rtl/>
        </w:rPr>
        <w:t xml:space="preserve">. מסכום זה יקוזז התשלום אותו </w:t>
      </w:r>
      <w:r w:rsidR="00E22229">
        <w:rPr>
          <w:rFonts w:hint="cs"/>
          <w:rtl/>
        </w:rPr>
        <w:t>היה מ</w:t>
      </w:r>
      <w:r w:rsidRPr="00E22229">
        <w:rPr>
          <w:rFonts w:hint="cs"/>
          <w:rtl/>
        </w:rPr>
        <w:t>שלם הזכאי עבור הדירה הציבורית</w:t>
      </w:r>
      <w:r w:rsidR="00E22229">
        <w:rPr>
          <w:rFonts w:hint="cs"/>
          <w:rtl/>
        </w:rPr>
        <w:t>,</w:t>
      </w:r>
      <w:r w:rsidRPr="00E22229">
        <w:rPr>
          <w:rFonts w:hint="cs"/>
          <w:rtl/>
        </w:rPr>
        <w:t xml:space="preserve"> וכך יועמד הזכאי במקום בו היה אילו היה מקבל את הדירה הציבורית </w:t>
      </w:r>
      <w:r w:rsidR="00E22229">
        <w:rPr>
          <w:rFonts w:hint="cs"/>
          <w:rtl/>
        </w:rPr>
        <w:t>מיד</w:t>
      </w:r>
      <w:r w:rsidRPr="00E22229">
        <w:rPr>
          <w:rFonts w:hint="cs"/>
          <w:rtl/>
        </w:rPr>
        <w:t xml:space="preserve"> עם הגדרתו כזכאי.</w:t>
      </w:r>
    </w:p>
    <w:p w:rsidR="00E22229" w:rsidRPr="00E22229" w:rsidRDefault="00E22229" w:rsidP="00CD77D5">
      <w:pPr>
        <w:pStyle w:val="Hesber"/>
        <w:rPr>
          <w:rtl/>
        </w:rPr>
      </w:pPr>
      <w:r w:rsidRPr="00E22229">
        <w:rPr>
          <w:rFonts w:hint="cs"/>
          <w:rtl/>
        </w:rPr>
        <w:t>הצעות חוק דומות בעיקרן הונחו על שולחן הכנסת השמונה-עשרה על ידי חבר הכנסת אילן גילאון וקבוצת חברי הכנסת (פ/</w:t>
      </w:r>
      <w:r w:rsidR="00CD77D5">
        <w:rPr>
          <w:rFonts w:hint="cs"/>
          <w:rtl/>
        </w:rPr>
        <w:t xml:space="preserve">1785/18; </w:t>
      </w:r>
      <w:r>
        <w:rPr>
          <w:rFonts w:hint="cs"/>
          <w:rtl/>
        </w:rPr>
        <w:t xml:space="preserve">פ/3628/18) </w:t>
      </w:r>
      <w:r w:rsidRPr="00E22229">
        <w:rPr>
          <w:rFonts w:hint="cs"/>
          <w:rtl/>
        </w:rPr>
        <w:t xml:space="preserve">ועל ידי חבר הכנסת דב </w:t>
      </w:r>
      <w:proofErr w:type="spellStart"/>
      <w:r w:rsidRPr="00E22229">
        <w:rPr>
          <w:rFonts w:hint="cs"/>
          <w:rtl/>
        </w:rPr>
        <w:t>חנין</w:t>
      </w:r>
      <w:proofErr w:type="spellEnd"/>
      <w:r w:rsidRPr="00E22229">
        <w:rPr>
          <w:rFonts w:hint="cs"/>
          <w:rtl/>
        </w:rPr>
        <w:t xml:space="preserve"> וקבוצת חברי הכנסת (פ/4062/18) ועל שולחן הכנסת התשע-עשרה על ידי חבר הכנסת דב </w:t>
      </w:r>
      <w:proofErr w:type="spellStart"/>
      <w:r w:rsidRPr="00E22229">
        <w:rPr>
          <w:rFonts w:hint="cs"/>
          <w:rtl/>
        </w:rPr>
        <w:t>חנין</w:t>
      </w:r>
      <w:proofErr w:type="spellEnd"/>
      <w:r w:rsidRPr="00E22229">
        <w:rPr>
          <w:rFonts w:hint="cs"/>
          <w:rtl/>
        </w:rPr>
        <w:t xml:space="preserve"> וקבוצת חברי הכנסת (פ/620/19) ועל ידי חבר הכנסת אילן גילאון וקבוצת חברי הכנסת (פ/624/19).</w:t>
      </w:r>
    </w:p>
    <w:p w:rsidR="00F445E6" w:rsidRPr="00E22229" w:rsidRDefault="00F445E6" w:rsidP="00AB020F">
      <w:pPr>
        <w:pStyle w:val="Hesber"/>
        <w:rPr>
          <w:rtl/>
        </w:rPr>
      </w:pPr>
      <w:r w:rsidRPr="00E22229">
        <w:rPr>
          <w:rFonts w:hint="cs"/>
          <w:rtl/>
        </w:rPr>
        <w:t>הצע</w:t>
      </w:r>
      <w:r w:rsidR="00E22229">
        <w:rPr>
          <w:rFonts w:hint="cs"/>
          <w:rtl/>
        </w:rPr>
        <w:t>ו</w:t>
      </w:r>
      <w:r w:rsidRPr="00E22229">
        <w:rPr>
          <w:rFonts w:hint="cs"/>
          <w:rtl/>
        </w:rPr>
        <w:t xml:space="preserve">ת חוק </w:t>
      </w:r>
      <w:r w:rsidR="00E22229">
        <w:rPr>
          <w:rFonts w:hint="cs"/>
          <w:rtl/>
        </w:rPr>
        <w:t>זהות</w:t>
      </w:r>
      <w:r w:rsidRPr="00E22229">
        <w:rPr>
          <w:rFonts w:hint="cs"/>
          <w:rtl/>
        </w:rPr>
        <w:t xml:space="preserve"> הונח</w:t>
      </w:r>
      <w:r w:rsidR="00E22229">
        <w:rPr>
          <w:rFonts w:hint="cs"/>
          <w:rtl/>
        </w:rPr>
        <w:t>ו</w:t>
      </w:r>
      <w:r w:rsidRPr="00E22229">
        <w:rPr>
          <w:rFonts w:hint="cs"/>
          <w:rtl/>
        </w:rPr>
        <w:t xml:space="preserve"> על שולחן הכנסת השמונה-עשרה </w:t>
      </w:r>
      <w:r w:rsidR="00DB1CC4">
        <w:rPr>
          <w:rFonts w:hint="cs"/>
          <w:rtl/>
        </w:rPr>
        <w:t xml:space="preserve">על ידי חברת הכנסת מירי רגב (פ/3940/18), </w:t>
      </w:r>
      <w:r w:rsidRPr="00E22229">
        <w:rPr>
          <w:rFonts w:hint="cs"/>
          <w:rtl/>
        </w:rPr>
        <w:t xml:space="preserve">על ידי חברת הכנסת מירי רגב וקבוצת חברי הכנסת (פ/2191/18; הוסרה מסדר היום ביום </w:t>
      </w:r>
      <w:r w:rsidRPr="00E22229">
        <w:rPr>
          <w:rtl/>
        </w:rPr>
        <w:t>ה</w:t>
      </w:r>
      <w:r w:rsidRPr="00E22229">
        <w:rPr>
          <w:rFonts w:hint="cs"/>
          <w:rtl/>
        </w:rPr>
        <w:t>'</w:t>
      </w:r>
      <w:r w:rsidRPr="00E22229">
        <w:rPr>
          <w:rtl/>
        </w:rPr>
        <w:t xml:space="preserve"> </w:t>
      </w:r>
      <w:r w:rsidRPr="00E22229">
        <w:rPr>
          <w:rFonts w:hint="cs"/>
          <w:rtl/>
        </w:rPr>
        <w:t>ב</w:t>
      </w:r>
      <w:r w:rsidRPr="00E22229">
        <w:rPr>
          <w:rtl/>
        </w:rPr>
        <w:t>אדר א</w:t>
      </w:r>
      <w:r w:rsidRPr="00E22229">
        <w:rPr>
          <w:rFonts w:hint="cs"/>
          <w:rtl/>
        </w:rPr>
        <w:t>'</w:t>
      </w:r>
      <w:r w:rsidRPr="00E22229">
        <w:rPr>
          <w:rtl/>
        </w:rPr>
        <w:t xml:space="preserve"> </w:t>
      </w:r>
      <w:proofErr w:type="spellStart"/>
      <w:r w:rsidRPr="00E22229">
        <w:rPr>
          <w:rtl/>
        </w:rPr>
        <w:t>התשע</w:t>
      </w:r>
      <w:r w:rsidRPr="00E22229">
        <w:rPr>
          <w:rFonts w:hint="cs"/>
          <w:rtl/>
        </w:rPr>
        <w:t>"</w:t>
      </w:r>
      <w:r w:rsidRPr="00E22229">
        <w:rPr>
          <w:rtl/>
        </w:rPr>
        <w:t>א</w:t>
      </w:r>
      <w:proofErr w:type="spellEnd"/>
      <w:r w:rsidRPr="00E22229">
        <w:rPr>
          <w:rFonts w:hint="cs"/>
          <w:rtl/>
        </w:rPr>
        <w:t xml:space="preserve"> (9 בפברואר 2011))</w:t>
      </w:r>
      <w:r w:rsidR="00E22229">
        <w:rPr>
          <w:rFonts w:hint="cs"/>
          <w:rtl/>
        </w:rPr>
        <w:t xml:space="preserve"> </w:t>
      </w:r>
      <w:r w:rsidR="00E22229" w:rsidRPr="00E22229">
        <w:rPr>
          <w:rFonts w:hint="cs"/>
          <w:rtl/>
        </w:rPr>
        <w:t>ועל ידי חבר הכנסת איתן כבל וקבוצת חברי הכנסת (פ/3804/18)</w:t>
      </w:r>
      <w:r w:rsidR="00CD77D5">
        <w:rPr>
          <w:rFonts w:hint="cs"/>
          <w:rtl/>
        </w:rPr>
        <w:t>,</w:t>
      </w:r>
      <w:r w:rsidR="00E22229" w:rsidRPr="00E22229">
        <w:rPr>
          <w:rFonts w:hint="cs"/>
          <w:rtl/>
        </w:rPr>
        <w:t xml:space="preserve"> ועל שולחן הכנסת התשע-עשרה על ידי חברת הכנסת מירי רגב (פ/621/19)</w:t>
      </w:r>
      <w:r w:rsidR="00E22229">
        <w:rPr>
          <w:rFonts w:hint="cs"/>
          <w:rtl/>
        </w:rPr>
        <w:t xml:space="preserve"> ועל ידי חבר הכנסת איתן כבל וקבוצת חברי הכנסת (פ/1118/19)</w:t>
      </w:r>
      <w:r w:rsidRPr="00E22229">
        <w:rPr>
          <w:rFonts w:hint="cs"/>
          <w:rtl/>
        </w:rPr>
        <w:t>.</w:t>
      </w:r>
    </w:p>
    <w:p w:rsidR="00491741" w:rsidRDefault="00491741" w:rsidP="00F445E6">
      <w:pPr>
        <w:pStyle w:val="Hesber"/>
        <w:rPr>
          <w:rtl/>
        </w:rPr>
      </w:pPr>
    </w:p>
    <w:p w:rsidR="00E13C27" w:rsidRDefault="00E13C27" w:rsidP="00E13C27">
      <w:pPr>
        <w:pStyle w:val="Hesber"/>
        <w:rPr>
          <w:rFonts w:hint="cs"/>
          <w:rtl/>
        </w:rPr>
      </w:pPr>
    </w:p>
    <w:p w:rsidR="00CD77D5" w:rsidRDefault="00CD77D5" w:rsidP="00E13C27">
      <w:pPr>
        <w:pStyle w:val="Hesber"/>
        <w:rPr>
          <w:rFonts w:hint="cs"/>
          <w:rtl/>
        </w:rPr>
      </w:pPr>
    </w:p>
    <w:p w:rsidR="00CD77D5" w:rsidRPr="0022704F" w:rsidRDefault="00CD77D5" w:rsidP="00CD77D5">
      <w:pPr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---------------------------------</w:t>
      </w:r>
    </w:p>
    <w:p w:rsidR="00CD77D5" w:rsidRPr="0022704F" w:rsidRDefault="00CD77D5" w:rsidP="00CD77D5">
      <w:pPr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הוגשה ליו"ר הכנסת והסגנים</w:t>
      </w:r>
    </w:p>
    <w:p w:rsidR="00CD77D5" w:rsidRPr="0022704F" w:rsidRDefault="00CD77D5" w:rsidP="00CD77D5">
      <w:pPr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והונחה על שולחן הכנסת ביום</w:t>
      </w:r>
    </w:p>
    <w:p w:rsidR="00CD77D5" w:rsidRPr="00935520" w:rsidRDefault="00CD77D5" w:rsidP="00CD77D5">
      <w:pPr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כ"ז בשבט </w:t>
      </w:r>
      <w:proofErr w:type="spellStart"/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התשע"ד</w:t>
      </w:r>
      <w:proofErr w:type="spellEnd"/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– 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28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1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14</w:t>
      </w:r>
    </w:p>
    <w:p w:rsidR="00CD77D5" w:rsidRPr="00935520" w:rsidRDefault="00CD77D5" w:rsidP="00CD77D5">
      <w:pPr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</w:p>
    <w:p w:rsidR="00CD77D5" w:rsidRDefault="00CD77D5" w:rsidP="00E13C27">
      <w:pPr>
        <w:pStyle w:val="Hesber"/>
        <w:rPr>
          <w:rtl/>
        </w:rPr>
      </w:pPr>
    </w:p>
    <w:sectPr w:rsidR="00CD77D5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BE3" w:rsidRDefault="00CD4BE3">
      <w:r>
        <w:separator/>
      </w:r>
    </w:p>
  </w:endnote>
  <w:endnote w:type="continuationSeparator" w:id="0">
    <w:p w:rsidR="00CD4BE3" w:rsidRDefault="00CD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23" w:rsidRDefault="001A0623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1A0623" w:rsidRDefault="001A062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23" w:rsidRDefault="001A0623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CD77D5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:rsidR="001A0623" w:rsidRDefault="001A06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BE3" w:rsidRDefault="00CD4BE3">
      <w:r>
        <w:separator/>
      </w:r>
    </w:p>
  </w:footnote>
  <w:footnote w:type="continuationSeparator" w:id="0">
    <w:p w:rsidR="00CD4BE3" w:rsidRDefault="00CD4BE3">
      <w:r>
        <w:continuationSeparator/>
      </w:r>
    </w:p>
  </w:footnote>
  <w:footnote w:type="continuationNotice" w:id="1">
    <w:p w:rsidR="00CD4BE3" w:rsidRDefault="00CD4BE3"/>
  </w:footnote>
  <w:footnote w:id="2">
    <w:p w:rsidR="00F445E6" w:rsidRDefault="00F445E6" w:rsidP="00F445E6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ab/>
        <w:t xml:space="preserve">ס"ח </w:t>
      </w:r>
      <w:proofErr w:type="spellStart"/>
      <w:r>
        <w:rPr>
          <w:rFonts w:hint="cs"/>
          <w:rtl/>
        </w:rPr>
        <w:t>התשנ"ח</w:t>
      </w:r>
      <w:proofErr w:type="spellEnd"/>
      <w:r>
        <w:rPr>
          <w:rFonts w:hint="cs"/>
          <w:rtl/>
        </w:rPr>
        <w:t>, עמ' 278.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545814lsCopyOriginal.docx"/>
    <w:docVar w:name="StartMode" w:val="3"/>
  </w:docVars>
  <w:rsids>
    <w:rsidRoot w:val="00DB7060"/>
    <w:rsid w:val="00015B27"/>
    <w:rsid w:val="000A542E"/>
    <w:rsid w:val="001207F8"/>
    <w:rsid w:val="00121924"/>
    <w:rsid w:val="001279A8"/>
    <w:rsid w:val="0014195F"/>
    <w:rsid w:val="00152609"/>
    <w:rsid w:val="00153E1B"/>
    <w:rsid w:val="00181FD1"/>
    <w:rsid w:val="001A0623"/>
    <w:rsid w:val="001C23B0"/>
    <w:rsid w:val="00203A7F"/>
    <w:rsid w:val="002200A1"/>
    <w:rsid w:val="002362BF"/>
    <w:rsid w:val="00241B97"/>
    <w:rsid w:val="00254605"/>
    <w:rsid w:val="002728B4"/>
    <w:rsid w:val="00292712"/>
    <w:rsid w:val="002C2E29"/>
    <w:rsid w:val="003232A2"/>
    <w:rsid w:val="003273BF"/>
    <w:rsid w:val="003710F6"/>
    <w:rsid w:val="00386E88"/>
    <w:rsid w:val="003D74A0"/>
    <w:rsid w:val="004033D8"/>
    <w:rsid w:val="00491741"/>
    <w:rsid w:val="004D3876"/>
    <w:rsid w:val="004E4552"/>
    <w:rsid w:val="00553C9D"/>
    <w:rsid w:val="005B064E"/>
    <w:rsid w:val="005D51AE"/>
    <w:rsid w:val="006112D2"/>
    <w:rsid w:val="00644940"/>
    <w:rsid w:val="00647CA5"/>
    <w:rsid w:val="0067607A"/>
    <w:rsid w:val="006818A9"/>
    <w:rsid w:val="006C1D0D"/>
    <w:rsid w:val="0070601E"/>
    <w:rsid w:val="00765F66"/>
    <w:rsid w:val="007D5A12"/>
    <w:rsid w:val="007E59F9"/>
    <w:rsid w:val="00810BCD"/>
    <w:rsid w:val="00812C98"/>
    <w:rsid w:val="00814D92"/>
    <w:rsid w:val="00892135"/>
    <w:rsid w:val="00895449"/>
    <w:rsid w:val="00897879"/>
    <w:rsid w:val="008C2DDC"/>
    <w:rsid w:val="008F0D63"/>
    <w:rsid w:val="008F2C35"/>
    <w:rsid w:val="0091204F"/>
    <w:rsid w:val="009203DB"/>
    <w:rsid w:val="00943386"/>
    <w:rsid w:val="00957589"/>
    <w:rsid w:val="00976D6D"/>
    <w:rsid w:val="00982412"/>
    <w:rsid w:val="00A21770"/>
    <w:rsid w:val="00A26BD6"/>
    <w:rsid w:val="00A82CB7"/>
    <w:rsid w:val="00A9735A"/>
    <w:rsid w:val="00AB020F"/>
    <w:rsid w:val="00AC36F7"/>
    <w:rsid w:val="00B35784"/>
    <w:rsid w:val="00BC45FB"/>
    <w:rsid w:val="00C425EC"/>
    <w:rsid w:val="00C9176A"/>
    <w:rsid w:val="00CD4BE3"/>
    <w:rsid w:val="00CD77D5"/>
    <w:rsid w:val="00D867D7"/>
    <w:rsid w:val="00DB1CC4"/>
    <w:rsid w:val="00DB7060"/>
    <w:rsid w:val="00DE3153"/>
    <w:rsid w:val="00E13C27"/>
    <w:rsid w:val="00E22229"/>
    <w:rsid w:val="00E33BBD"/>
    <w:rsid w:val="00E45103"/>
    <w:rsid w:val="00E665B9"/>
    <w:rsid w:val="00EA01E6"/>
    <w:rsid w:val="00EA758F"/>
    <w:rsid w:val="00ED4A6F"/>
    <w:rsid w:val="00EF3A3A"/>
    <w:rsid w:val="00F445E6"/>
    <w:rsid w:val="00FD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29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E22229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E22229"/>
    <w:rPr>
      <w:sz w:val="36"/>
      <w:szCs w:val="52"/>
    </w:rPr>
  </w:style>
  <w:style w:type="paragraph" w:customStyle="1" w:styleId="Cover3-Haknesset">
    <w:name w:val="Cover 3-Haknesset"/>
    <w:basedOn w:val="Cover1-Reshumot"/>
    <w:rsid w:val="00E22229"/>
    <w:rPr>
      <w:b/>
      <w:bCs/>
      <w:spacing w:val="60"/>
    </w:rPr>
  </w:style>
  <w:style w:type="paragraph" w:customStyle="1" w:styleId="Cover4-Date">
    <w:name w:val="Cover 4-Date"/>
    <w:basedOn w:val="a"/>
    <w:rsid w:val="00E22229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E22229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E22229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E22229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E22229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E22229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E22229"/>
  </w:style>
  <w:style w:type="paragraph" w:customStyle="1" w:styleId="TableBlock">
    <w:name w:val="Table Block"/>
    <w:basedOn w:val="TableText"/>
    <w:rsid w:val="00E22229"/>
    <w:pPr>
      <w:ind w:right="0"/>
      <w:jc w:val="both"/>
    </w:pPr>
  </w:style>
  <w:style w:type="paragraph" w:customStyle="1" w:styleId="TableHead">
    <w:name w:val="Table Head"/>
    <w:basedOn w:val="TableText"/>
    <w:rsid w:val="00E22229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E22229"/>
  </w:style>
  <w:style w:type="paragraph" w:customStyle="1" w:styleId="Hesber">
    <w:name w:val="Hesber"/>
    <w:basedOn w:val="a"/>
    <w:rsid w:val="00E22229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E22229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E22229"/>
    <w:rPr>
      <w:vertAlign w:val="superscript"/>
    </w:rPr>
  </w:style>
  <w:style w:type="paragraph" w:customStyle="1" w:styleId="HesberHeading">
    <w:name w:val="Hesber Heading"/>
    <w:basedOn w:val="Hesber"/>
    <w:rsid w:val="00E22229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E22229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E22229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E22229"/>
    <w:rPr>
      <w:vertAlign w:val="superscript"/>
    </w:rPr>
  </w:style>
  <w:style w:type="paragraph" w:customStyle="1" w:styleId="TableBlockOutdent">
    <w:name w:val="Table BlockOutdent"/>
    <w:basedOn w:val="TableBlock"/>
    <w:rsid w:val="00E22229"/>
    <w:pPr>
      <w:ind w:left="624" w:hanging="624"/>
    </w:pPr>
  </w:style>
  <w:style w:type="paragraph" w:styleId="a7">
    <w:name w:val="header"/>
    <w:basedOn w:val="a"/>
    <w:rsid w:val="00E22229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E22229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E22229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E22229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E22229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CD77D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CD77D5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29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E22229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E22229"/>
    <w:rPr>
      <w:sz w:val="36"/>
      <w:szCs w:val="52"/>
    </w:rPr>
  </w:style>
  <w:style w:type="paragraph" w:customStyle="1" w:styleId="Cover3-Haknesset">
    <w:name w:val="Cover 3-Haknesset"/>
    <w:basedOn w:val="Cover1-Reshumot"/>
    <w:rsid w:val="00E22229"/>
    <w:rPr>
      <w:b/>
      <w:bCs/>
      <w:spacing w:val="60"/>
    </w:rPr>
  </w:style>
  <w:style w:type="paragraph" w:customStyle="1" w:styleId="Cover4-Date">
    <w:name w:val="Cover 4-Date"/>
    <w:basedOn w:val="a"/>
    <w:rsid w:val="00E22229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E22229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E22229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E22229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E22229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E22229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E22229"/>
  </w:style>
  <w:style w:type="paragraph" w:customStyle="1" w:styleId="TableBlock">
    <w:name w:val="Table Block"/>
    <w:basedOn w:val="TableText"/>
    <w:rsid w:val="00E22229"/>
    <w:pPr>
      <w:ind w:right="0"/>
      <w:jc w:val="both"/>
    </w:pPr>
  </w:style>
  <w:style w:type="paragraph" w:customStyle="1" w:styleId="TableHead">
    <w:name w:val="Table Head"/>
    <w:basedOn w:val="TableText"/>
    <w:rsid w:val="00E22229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E22229"/>
  </w:style>
  <w:style w:type="paragraph" w:customStyle="1" w:styleId="Hesber">
    <w:name w:val="Hesber"/>
    <w:basedOn w:val="a"/>
    <w:rsid w:val="00E22229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E22229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E22229"/>
    <w:rPr>
      <w:vertAlign w:val="superscript"/>
    </w:rPr>
  </w:style>
  <w:style w:type="paragraph" w:customStyle="1" w:styleId="HesberHeading">
    <w:name w:val="Hesber Heading"/>
    <w:basedOn w:val="Hesber"/>
    <w:rsid w:val="00E22229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E22229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E22229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E22229"/>
    <w:rPr>
      <w:vertAlign w:val="superscript"/>
    </w:rPr>
  </w:style>
  <w:style w:type="paragraph" w:customStyle="1" w:styleId="TableBlockOutdent">
    <w:name w:val="Table BlockOutdent"/>
    <w:basedOn w:val="TableBlock"/>
    <w:rsid w:val="00E22229"/>
    <w:pPr>
      <w:ind w:left="624" w:hanging="624"/>
    </w:pPr>
  </w:style>
  <w:style w:type="paragraph" w:styleId="a7">
    <w:name w:val="header"/>
    <w:basedOn w:val="a"/>
    <w:rsid w:val="00E22229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E22229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E22229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E22229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E22229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CD77D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CD77D5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553A4A-921F-4F01-B463-75338029F45F}"/>
</file>

<file path=customXml/itemProps2.xml><?xml version="1.0" encoding="utf-8"?>
<ds:datastoreItem xmlns:ds="http://schemas.openxmlformats.org/officeDocument/2006/customXml" ds:itemID="{53CDC32B-DD97-493E-9196-3EF77D6F9C7D}"/>
</file>

<file path=customXml/itemProps3.xml><?xml version="1.0" encoding="utf-8"?>
<ds:datastoreItem xmlns:ds="http://schemas.openxmlformats.org/officeDocument/2006/customXml" ds:itemID="{88F4AFE3-9455-419C-8851-785A55F445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2710</Characters>
  <Application>Microsoft Office Word</Application>
  <DocSecurity>0</DocSecurity>
  <Lines>22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 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subject/>
  <dc:creator>בן צדוק</dc:creator>
  <cp:keywords/>
  <dc:description/>
  <cp:lastModifiedBy>לילך יעיש</cp:lastModifiedBy>
  <cp:revision>2</cp:revision>
  <cp:lastPrinted>2014-01-23T09:56:00Z</cp:lastPrinted>
  <dcterms:created xsi:type="dcterms:W3CDTF">2014-01-23T09:56:00Z</dcterms:created>
  <dcterms:modified xsi:type="dcterms:W3CDTF">2014-01-23T09:56:00Z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