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E29" w:rsidRPr="000A444A" w:rsidRDefault="004033D8" w:rsidP="002C2E29">
      <w:pPr>
        <w:pStyle w:val="HeadHatzaotHok"/>
        <w:jc w:val="right"/>
        <w:rPr>
          <w:b w:val="0"/>
          <w:bCs w:val="0"/>
          <w:szCs w:val="20"/>
        </w:rPr>
      </w:pPr>
      <w:r w:rsidRPr="000A444A">
        <w:rPr>
          <w:rFonts w:hint="cs"/>
          <w:b w:val="0"/>
          <w:bCs w:val="0"/>
          <w:szCs w:val="20"/>
          <w:rtl/>
        </w:rPr>
        <w:t xml:space="preserve">מספר פנימי: </w:t>
      </w:r>
      <w:bookmarkStart w:id="0" w:name="ItemID"/>
      <w:r w:rsidR="00E755E7" w:rsidRPr="000A444A">
        <w:rPr>
          <w:b w:val="0"/>
          <w:bCs w:val="0"/>
          <w:szCs w:val="20"/>
          <w:rtl/>
        </w:rPr>
        <w:t>487708</w:t>
      </w:r>
      <w:bookmarkEnd w:id="0"/>
    </w:p>
    <w:p w:rsidR="00E13C27" w:rsidRPr="00DB7060" w:rsidRDefault="00E13C27" w:rsidP="00E13C27">
      <w:pPr>
        <w:pStyle w:val="HeadHatzaotHok"/>
        <w:rPr>
          <w:sz w:val="28"/>
          <w:szCs w:val="28"/>
          <w:rtl/>
        </w:rPr>
      </w:pPr>
      <w:r w:rsidRPr="00DB7060">
        <w:rPr>
          <w:rFonts w:hint="cs"/>
          <w:sz w:val="28"/>
          <w:szCs w:val="28"/>
          <w:rtl/>
        </w:rPr>
        <w:t xml:space="preserve">הכנסת </w:t>
      </w:r>
      <w:bookmarkStart w:id="1" w:name="KnessetNum"/>
      <w:r w:rsidR="00E755E7" w:rsidRPr="00E755E7">
        <w:rPr>
          <w:sz w:val="28"/>
          <w:szCs w:val="28"/>
          <w:rtl/>
        </w:rPr>
        <w:t>התשע-עשרה</w:t>
      </w:r>
      <w:bookmarkEnd w:id="1"/>
    </w:p>
    <w:p w:rsidR="00E13C27" w:rsidRDefault="00E13C27" w:rsidP="00E13C27">
      <w:pPr>
        <w:rPr>
          <w:rFonts w:cs="David"/>
          <w:sz w:val="26"/>
          <w:szCs w:val="26"/>
          <w:rtl/>
        </w:rPr>
      </w:pPr>
    </w:p>
    <w:p w:rsidR="00E13C27" w:rsidRPr="00DB7765" w:rsidRDefault="00E755E7" w:rsidP="0091204F">
      <w:pPr>
        <w:pStyle w:val="David"/>
        <w:ind w:left="2880" w:firstLine="663"/>
        <w:rPr>
          <w:b/>
          <w:bCs/>
          <w:rtl/>
        </w:rPr>
      </w:pPr>
      <w:bookmarkStart w:id="2" w:name="MKsSingleOrMulti"/>
      <w:r w:rsidRPr="00DB7765">
        <w:rPr>
          <w:b/>
          <w:bCs/>
          <w:rtl/>
        </w:rPr>
        <w:t>יוזם:           חבר הכנסת</w:t>
      </w:r>
      <w:bookmarkEnd w:id="2"/>
      <w:r w:rsidR="00B35784" w:rsidRPr="00DB7765">
        <w:rPr>
          <w:b/>
          <w:bCs/>
        </w:rPr>
        <w:tab/>
      </w:r>
      <w:bookmarkStart w:id="3" w:name="MKs"/>
      <w:r w:rsidRPr="00DB7765">
        <w:rPr>
          <w:b/>
          <w:bCs/>
          <w:rtl/>
        </w:rPr>
        <w:t>מיקי רוזנטל</w:t>
      </w:r>
      <w:bookmarkEnd w:id="3"/>
    </w:p>
    <w:p w:rsidR="00A93A12" w:rsidRDefault="00A93A12" w:rsidP="0091204F">
      <w:pPr>
        <w:pStyle w:val="David"/>
        <w:ind w:left="2880" w:firstLine="663"/>
        <w:rPr>
          <w:b/>
          <w:bCs/>
          <w:rtl/>
        </w:rPr>
      </w:pPr>
      <w:r>
        <w:rPr>
          <w:rFonts w:hint="cs"/>
          <w:b/>
          <w:bCs/>
          <w:rtl/>
        </w:rPr>
        <w:tab/>
      </w:r>
      <w:r>
        <w:rPr>
          <w:rFonts w:hint="cs"/>
          <w:b/>
          <w:bCs/>
          <w:rtl/>
        </w:rPr>
        <w:tab/>
      </w:r>
      <w:r>
        <w:rPr>
          <w:rFonts w:hint="cs"/>
          <w:b/>
          <w:bCs/>
          <w:rtl/>
        </w:rPr>
        <w:tab/>
      </w:r>
      <w:r>
        <w:rPr>
          <w:rFonts w:hint="cs"/>
          <w:b/>
          <w:bCs/>
          <w:rtl/>
        </w:rPr>
        <w:tab/>
      </w:r>
      <w:r>
        <w:rPr>
          <w:rFonts w:hint="cs"/>
          <w:b/>
          <w:bCs/>
          <w:rtl/>
        </w:rPr>
        <w:tab/>
        <w:t>אילן גילאון</w:t>
      </w:r>
    </w:p>
    <w:p w:rsidR="000A444A" w:rsidRDefault="00A93A12" w:rsidP="00A93A12">
      <w:pPr>
        <w:pStyle w:val="David"/>
        <w:ind w:left="2880" w:firstLine="663"/>
        <w:rPr>
          <w:rFonts w:hint="cs"/>
          <w:b/>
          <w:bCs/>
          <w:rtl/>
        </w:rPr>
      </w:pPr>
      <w:r>
        <w:rPr>
          <w:rFonts w:hint="cs"/>
          <w:b/>
          <w:bCs/>
          <w:rtl/>
        </w:rPr>
        <w:tab/>
      </w:r>
      <w:r>
        <w:rPr>
          <w:rFonts w:hint="cs"/>
          <w:b/>
          <w:bCs/>
          <w:rtl/>
        </w:rPr>
        <w:tab/>
      </w:r>
      <w:r>
        <w:rPr>
          <w:rFonts w:hint="cs"/>
          <w:b/>
          <w:bCs/>
          <w:rtl/>
        </w:rPr>
        <w:tab/>
      </w:r>
      <w:r>
        <w:rPr>
          <w:rFonts w:hint="cs"/>
          <w:b/>
          <w:bCs/>
          <w:rtl/>
        </w:rPr>
        <w:tab/>
      </w:r>
      <w:r>
        <w:rPr>
          <w:rFonts w:hint="cs"/>
          <w:b/>
          <w:bCs/>
          <w:rtl/>
        </w:rPr>
        <w:tab/>
        <w:t>קארין אלהרר</w:t>
      </w:r>
    </w:p>
    <w:p w:rsidR="00E13C27" w:rsidRPr="00A93A12" w:rsidRDefault="0014195F" w:rsidP="00A93A12">
      <w:pPr>
        <w:pStyle w:val="David"/>
        <w:ind w:left="2880" w:firstLine="663"/>
        <w:rPr>
          <w:b/>
          <w:bCs/>
          <w:rtl/>
        </w:rPr>
      </w:pPr>
      <w:r>
        <w:rPr>
          <w:noProof/>
          <w:rtl/>
          <w:lang w:eastAsia="en-US"/>
        </w:rPr>
        <mc:AlternateContent>
          <mc:Choice Requires="wps">
            <w:drawing>
              <wp:anchor distT="0" distB="0" distL="114300" distR="114300" simplePos="0" relativeHeight="251658240" behindDoc="0" locked="0" layoutInCell="1" allowOverlap="1" wp14:anchorId="46DCBB24" wp14:editId="1D043C28">
                <wp:simplePos x="0" y="0"/>
                <wp:positionH relativeFrom="column">
                  <wp:posOffset>1270</wp:posOffset>
                </wp:positionH>
                <wp:positionV relativeFrom="paragraph">
                  <wp:posOffset>48895</wp:posOffset>
                </wp:positionV>
                <wp:extent cx="3869690" cy="15875"/>
                <wp:effectExtent l="0" t="38100" r="0" b="41275"/>
                <wp:wrapNone/>
                <wp:docPr id="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9690" cy="15875"/>
                        </a:xfrm>
                        <a:custGeom>
                          <a:avLst/>
                          <a:gdLst>
                            <a:gd name="T0" fmla="*/ 0 w 6094"/>
                            <a:gd name="T1" fmla="*/ 25 h 25"/>
                            <a:gd name="T2" fmla="*/ 6094 w 6094"/>
                            <a:gd name="T3" fmla="*/ 0 h 25"/>
                          </a:gdLst>
                          <a:ahLst/>
                          <a:cxnLst>
                            <a:cxn ang="0">
                              <a:pos x="T0" y="T1"/>
                            </a:cxn>
                            <a:cxn ang="0">
                              <a:pos x="T2" y="T3"/>
                            </a:cxn>
                          </a:cxnLst>
                          <a:rect l="0" t="0" r="r" b="b"/>
                          <a:pathLst>
                            <a:path w="6094" h="25">
                              <a:moveTo>
                                <a:pt x="0" y="25"/>
                              </a:moveTo>
                              <a:lnTo>
                                <a:pt x="6094" y="0"/>
                              </a:lnTo>
                            </a:path>
                          </a:pathLst>
                        </a:custGeom>
                        <a:noFill/>
                        <a:ln w="9525">
                          <a:noFill/>
                          <a:round/>
                          <a:headEnd/>
                          <a:tailEn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4.8pt,3.85pt" coordsize="609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" filled="f" stroked="f">
                <v:path arrowok="t" o:connecttype="custom" o:connectlocs="0,15875;3869690,0" o:connectangles="0,0"/>
              </v:polyline>
            </w:pict>
          </mc:Fallback>
        </mc:AlternateContent>
      </w:r>
      <w:bookmarkStart w:id="4" w:name="MKsSingleOrMulti1"/>
      <w:bookmarkStart w:id="5" w:name="MKs1"/>
      <w:bookmarkEnd w:id="4"/>
      <w:bookmarkEnd w:id="5"/>
    </w:p>
    <w:p w:rsidR="00E13C27" w:rsidRDefault="0014195F" w:rsidP="00292712">
      <w:pPr>
        <w:ind w:left="2919" w:firstLine="720"/>
        <w:rPr>
          <w:rFonts w:cs="David"/>
          <w:sz w:val="26"/>
          <w:szCs w:val="26"/>
          <w:rtl/>
        </w:rPr>
      </w:pPr>
      <w:r>
        <w:rPr>
          <w:rFonts w:cs="David"/>
          <w:noProof/>
          <w:sz w:val="26"/>
          <w:szCs w:val="26"/>
          <w:rtl/>
          <w:lang w:eastAsia="en-US"/>
        </w:rPr>
        <mc:AlternateContent>
          <mc:Choice Requires="wps">
            <w:drawing>
              <wp:anchor distT="0" distB="0" distL="114300" distR="114300" simplePos="0" relativeHeight="251657216" behindDoc="0" locked="0" layoutInCell="1" allowOverlap="1" wp14:anchorId="58098B07" wp14:editId="1B0811B0">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pt,5.1pt,305.55pt,3.75pt" coordsize="610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filled="f">
                <v:path arrowok="t" o:connecttype="custom" o:connectlocs="0,17145;3879215,0" o:connectangles="0,0"/>
              </v:polyline>
            </w:pict>
          </mc:Fallback>
        </mc:AlternateContent>
      </w:r>
      <w:r w:rsidR="00E13C27">
        <w:rPr>
          <w:rFonts w:cs="David" w:hint="cs"/>
          <w:sz w:val="26"/>
          <w:szCs w:val="26"/>
          <w:rtl/>
        </w:rPr>
        <w:tab/>
      </w:r>
      <w:r w:rsidR="00E13C27">
        <w:rPr>
          <w:rFonts w:cs="David" w:hint="cs"/>
          <w:sz w:val="26"/>
          <w:szCs w:val="26"/>
          <w:rtl/>
        </w:rPr>
        <w:tab/>
      </w:r>
      <w:r w:rsidR="00E13C27">
        <w:rPr>
          <w:rFonts w:cs="David" w:hint="cs"/>
          <w:sz w:val="26"/>
          <w:szCs w:val="26"/>
          <w:rtl/>
        </w:rPr>
        <w:tab/>
      </w:r>
      <w:r w:rsidR="00E13C27">
        <w:rPr>
          <w:rFonts w:cs="David" w:hint="cs"/>
          <w:sz w:val="26"/>
          <w:szCs w:val="26"/>
          <w:rtl/>
        </w:rPr>
        <w:tab/>
      </w:r>
      <w:bookmarkStart w:id="6" w:name="LawNum"/>
      <w:r w:rsidR="0053431B" w:rsidRPr="0053431B">
        <w:rPr>
          <w:rFonts w:cs="David"/>
          <w:sz w:val="26"/>
          <w:szCs w:val="26"/>
          <w:rtl/>
        </w:rPr>
        <w:t>פ/1771/19</w:t>
      </w:r>
      <w:bookmarkEnd w:id="6"/>
      <w:r w:rsidR="00E13C27">
        <w:rPr>
          <w:rFonts w:cs="David" w:hint="cs"/>
          <w:sz w:val="26"/>
          <w:szCs w:val="26"/>
          <w:rtl/>
        </w:rPr>
        <w:tab/>
      </w:r>
      <w:r w:rsidR="00E13C27">
        <w:rPr>
          <w:rFonts w:cs="David" w:hint="cs"/>
          <w:sz w:val="26"/>
          <w:szCs w:val="26"/>
          <w:rtl/>
        </w:rPr>
        <w:tab/>
      </w:r>
      <w:r w:rsidR="00E13C27">
        <w:rPr>
          <w:rFonts w:cs="David" w:hint="cs"/>
          <w:sz w:val="26"/>
          <w:szCs w:val="26"/>
          <w:rtl/>
        </w:rPr>
        <w:tab/>
      </w:r>
    </w:p>
    <w:p w:rsidR="00E13C27" w:rsidRDefault="00E13C27" w:rsidP="00E13C27">
      <w:pPr>
        <w:spacing w:before="0" w:line="360" w:lineRule="auto"/>
        <w:ind w:left="2880" w:firstLine="720"/>
        <w:rPr>
          <w:rFonts w:cs="David"/>
          <w:sz w:val="26"/>
          <w:szCs w:val="26"/>
          <w:rtl/>
        </w:rPr>
      </w:pPr>
    </w:p>
    <w:p w:rsidR="00E13C27" w:rsidRDefault="00295B49" w:rsidP="000A444A">
      <w:pPr>
        <w:pStyle w:val="HeadHatzaotHok"/>
        <w:tabs>
          <w:tab w:val="left" w:pos="4071"/>
          <w:tab w:val="center" w:pos="4819"/>
        </w:tabs>
        <w:spacing w:before="0"/>
        <w:rPr>
          <w:rFonts w:hint="cs"/>
          <w:sz w:val="26"/>
          <w:rtl/>
        </w:rPr>
      </w:pPr>
      <w:bookmarkStart w:id="7" w:name="Title"/>
      <w:r w:rsidRPr="00295B49">
        <w:rPr>
          <w:sz w:val="26"/>
          <w:rtl/>
        </w:rPr>
        <w:t xml:space="preserve">הצעת חוק חניה לנכים (תיקון </w:t>
      </w:r>
      <w:r w:rsidR="000A444A">
        <w:rPr>
          <w:rFonts w:hint="cs"/>
          <w:sz w:val="26"/>
          <w:rtl/>
        </w:rPr>
        <w:t>–</w:t>
      </w:r>
      <w:r w:rsidRPr="00295B49">
        <w:rPr>
          <w:sz w:val="26"/>
          <w:rtl/>
        </w:rPr>
        <w:t xml:space="preserve"> דמי חניה לנכה בחניון), </w:t>
      </w:r>
      <w:proofErr w:type="spellStart"/>
      <w:r w:rsidRPr="00295B49">
        <w:rPr>
          <w:sz w:val="26"/>
          <w:rtl/>
        </w:rPr>
        <w:t>התשע"ד</w:t>
      </w:r>
      <w:proofErr w:type="spellEnd"/>
      <w:r w:rsidR="000A444A">
        <w:rPr>
          <w:rFonts w:hint="cs"/>
          <w:sz w:val="26"/>
          <w:rtl/>
        </w:rPr>
        <w:t>–</w:t>
      </w:r>
      <w:r w:rsidRPr="00295B49">
        <w:rPr>
          <w:sz w:val="26"/>
          <w:rtl/>
        </w:rPr>
        <w:t>2013</w:t>
      </w:r>
      <w:bookmarkEnd w:id="7"/>
    </w:p>
    <w:p w:rsidR="000A444A" w:rsidRDefault="000A444A" w:rsidP="000A444A">
      <w:pPr>
        <w:pStyle w:val="HeadHatzaotHok"/>
        <w:tabs>
          <w:tab w:val="left" w:pos="4071"/>
          <w:tab w:val="center" w:pos="4819"/>
        </w:tabs>
        <w:spacing w:before="0"/>
        <w:rPr>
          <w:sz w:val="26"/>
          <w:rtl/>
        </w:rPr>
      </w:pPr>
    </w:p>
    <w:tbl>
      <w:tblPr>
        <w:bidiVisual/>
        <w:tblW w:w="9637" w:type="dxa"/>
        <w:tblLayout w:type="fixed"/>
        <w:tblCellMar>
          <w:top w:w="57" w:type="dxa"/>
          <w:left w:w="0" w:type="dxa"/>
          <w:bottom w:w="57" w:type="dxa"/>
          <w:right w:w="0" w:type="dxa"/>
        </w:tblCellMar>
        <w:tblLook w:val="01E0" w:firstRow="1" w:lastRow="1" w:firstColumn="1" w:lastColumn="1" w:noHBand="0" w:noVBand="0"/>
      </w:tblPr>
      <w:tblGrid>
        <w:gridCol w:w="1869"/>
        <w:gridCol w:w="624"/>
        <w:gridCol w:w="1872"/>
        <w:gridCol w:w="624"/>
        <w:gridCol w:w="4648"/>
      </w:tblGrid>
      <w:tr w:rsidR="00E13C27" w:rsidTr="000A444A">
        <w:trPr>
          <w:cantSplit/>
        </w:trPr>
        <w:tc>
          <w:tcPr>
            <w:tcW w:w="1869" w:type="dxa"/>
          </w:tcPr>
          <w:p w:rsidR="00E13C27" w:rsidRDefault="00DB7765" w:rsidP="00E13C27">
            <w:pPr>
              <w:pStyle w:val="TableSideHeading"/>
              <w:keepLines w:val="0"/>
            </w:pPr>
            <w:r>
              <w:rPr>
                <w:rFonts w:hint="cs"/>
                <w:rtl/>
              </w:rPr>
              <w:t>הוספת סעיף 4ג</w:t>
            </w:r>
          </w:p>
        </w:tc>
        <w:tc>
          <w:tcPr>
            <w:tcW w:w="624" w:type="dxa"/>
          </w:tcPr>
          <w:p w:rsidR="00E13C27" w:rsidRDefault="00E67F62" w:rsidP="00E13C27">
            <w:pPr>
              <w:pStyle w:val="TableText"/>
              <w:keepLines w:val="0"/>
            </w:pPr>
            <w:r>
              <w:rPr>
                <w:rFonts w:hint="cs"/>
                <w:rtl/>
              </w:rPr>
              <w:t>1.</w:t>
            </w:r>
          </w:p>
        </w:tc>
        <w:tc>
          <w:tcPr>
            <w:tcW w:w="7144" w:type="dxa"/>
            <w:gridSpan w:val="3"/>
          </w:tcPr>
          <w:p w:rsidR="00E13C27" w:rsidRPr="00F74DFB" w:rsidRDefault="00D950AD" w:rsidP="000A444A">
            <w:pPr>
              <w:pStyle w:val="TableBlock"/>
            </w:pPr>
            <w:r w:rsidRPr="00F74DFB">
              <w:rPr>
                <w:rtl/>
              </w:rPr>
              <w:t>ב</w:t>
            </w:r>
            <w:r w:rsidR="00DB7765">
              <w:rPr>
                <w:rFonts w:hint="cs"/>
                <w:rtl/>
              </w:rPr>
              <w:t xml:space="preserve">חוק חניה לנכים, </w:t>
            </w:r>
            <w:proofErr w:type="spellStart"/>
            <w:r w:rsidR="00DB7765">
              <w:rPr>
                <w:rFonts w:hint="cs"/>
                <w:rtl/>
              </w:rPr>
              <w:t>התשנ"ד</w:t>
            </w:r>
            <w:proofErr w:type="spellEnd"/>
            <w:r w:rsidR="00DB7765">
              <w:rPr>
                <w:rFonts w:hint="cs"/>
                <w:rtl/>
              </w:rPr>
              <w:t>–1993</w:t>
            </w:r>
            <w:r w:rsidR="00DB7765">
              <w:rPr>
                <w:rStyle w:val="a6"/>
                <w:rtl/>
              </w:rPr>
              <w:footnoteReference w:id="2"/>
            </w:r>
            <w:r w:rsidRPr="00F74DFB">
              <w:rPr>
                <w:rtl/>
              </w:rPr>
              <w:t xml:space="preserve">, אחרי סעיף </w:t>
            </w:r>
            <w:r w:rsidR="00DB7765">
              <w:rPr>
                <w:rFonts w:hint="cs"/>
                <w:rtl/>
              </w:rPr>
              <w:t>4ב</w:t>
            </w:r>
            <w:r w:rsidRPr="00F74DFB">
              <w:rPr>
                <w:rtl/>
              </w:rPr>
              <w:t xml:space="preserve"> יבוא</w:t>
            </w:r>
            <w:r w:rsidR="000A444A">
              <w:rPr>
                <w:rFonts w:hint="cs"/>
                <w:rtl/>
              </w:rPr>
              <w:t>:</w:t>
            </w:r>
          </w:p>
        </w:tc>
      </w:tr>
      <w:tr w:rsidR="000A444A" w:rsidTr="000A444A">
        <w:trPr>
          <w:cantSplit/>
          <w:trHeight w:val="60"/>
        </w:trPr>
        <w:tc>
          <w:tcPr>
            <w:tcW w:w="1869" w:type="dxa"/>
          </w:tcPr>
          <w:p w:rsidR="000A444A" w:rsidRDefault="000A444A">
            <w:pPr>
              <w:pStyle w:val="TableSideHeading"/>
              <w:keepLines w:val="0"/>
            </w:pPr>
          </w:p>
        </w:tc>
        <w:tc>
          <w:tcPr>
            <w:tcW w:w="624" w:type="dxa"/>
          </w:tcPr>
          <w:p w:rsidR="000A444A" w:rsidRDefault="000A444A">
            <w:pPr>
              <w:pStyle w:val="TableText"/>
              <w:keepLines w:val="0"/>
            </w:pPr>
          </w:p>
        </w:tc>
        <w:tc>
          <w:tcPr>
            <w:tcW w:w="1872" w:type="dxa"/>
          </w:tcPr>
          <w:p w:rsidR="000A444A" w:rsidRDefault="000A444A" w:rsidP="00E36A7C">
            <w:pPr>
              <w:pStyle w:val="TableText"/>
            </w:pPr>
            <w:r>
              <w:rPr>
                <w:rFonts w:hint="cs"/>
                <w:rtl/>
              </w:rPr>
              <w:t>"פטור מתשלום בעד חניה בחניון</w:t>
            </w:r>
          </w:p>
        </w:tc>
        <w:tc>
          <w:tcPr>
            <w:tcW w:w="624" w:type="dxa"/>
          </w:tcPr>
          <w:p w:rsidR="000A444A" w:rsidRPr="00DB7765" w:rsidRDefault="000A444A" w:rsidP="006A0446">
            <w:pPr>
              <w:pStyle w:val="TableText"/>
            </w:pPr>
            <w:r>
              <w:rPr>
                <w:rFonts w:hint="cs"/>
                <w:rtl/>
              </w:rPr>
              <w:t>4ג.</w:t>
            </w:r>
          </w:p>
        </w:tc>
        <w:tc>
          <w:tcPr>
            <w:tcW w:w="4648" w:type="dxa"/>
          </w:tcPr>
          <w:p w:rsidR="000A444A" w:rsidRDefault="000A444A" w:rsidP="0016089A">
            <w:pPr>
              <w:pStyle w:val="TableBlock"/>
            </w:pPr>
            <w:r w:rsidRPr="009639D4">
              <w:rPr>
                <w:rFonts w:hint="eastAsia"/>
                <w:rtl/>
              </w:rPr>
              <w:t>המפעיל</w:t>
            </w:r>
            <w:r w:rsidRPr="009639D4">
              <w:rPr>
                <w:rtl/>
              </w:rPr>
              <w:t xml:space="preserve"> </w:t>
            </w:r>
            <w:r w:rsidRPr="009639D4">
              <w:rPr>
                <w:rFonts w:hint="eastAsia"/>
                <w:rtl/>
              </w:rPr>
              <w:t>חניון</w:t>
            </w:r>
            <w:r w:rsidRPr="009639D4">
              <w:rPr>
                <w:rtl/>
              </w:rPr>
              <w:t xml:space="preserve">, </w:t>
            </w:r>
            <w:r w:rsidRPr="009639D4">
              <w:rPr>
                <w:rFonts w:hint="eastAsia"/>
                <w:rtl/>
              </w:rPr>
              <w:t>בין</w:t>
            </w:r>
            <w:r w:rsidRPr="009639D4">
              <w:rPr>
                <w:rtl/>
              </w:rPr>
              <w:t xml:space="preserve"> </w:t>
            </w:r>
            <w:r w:rsidRPr="009639D4">
              <w:rPr>
                <w:rFonts w:hint="eastAsia"/>
                <w:rtl/>
              </w:rPr>
              <w:t>שהחניון</w:t>
            </w:r>
            <w:r w:rsidRPr="009639D4">
              <w:rPr>
                <w:rtl/>
              </w:rPr>
              <w:t xml:space="preserve"> </w:t>
            </w:r>
            <w:r w:rsidRPr="009639D4">
              <w:rPr>
                <w:rFonts w:hint="eastAsia"/>
                <w:rtl/>
              </w:rPr>
              <w:t>בבעלותו</w:t>
            </w:r>
            <w:r w:rsidRPr="009639D4">
              <w:rPr>
                <w:rtl/>
              </w:rPr>
              <w:t xml:space="preserve"> </w:t>
            </w:r>
            <w:r w:rsidRPr="009639D4">
              <w:rPr>
                <w:rFonts w:hint="eastAsia"/>
                <w:rtl/>
              </w:rPr>
              <w:t>ובין</w:t>
            </w:r>
            <w:r w:rsidRPr="009639D4">
              <w:rPr>
                <w:rtl/>
              </w:rPr>
              <w:t xml:space="preserve"> </w:t>
            </w:r>
            <w:r w:rsidRPr="009639D4">
              <w:rPr>
                <w:rFonts w:hint="eastAsia"/>
                <w:rtl/>
              </w:rPr>
              <w:t>שבבעלות</w:t>
            </w:r>
            <w:r w:rsidRPr="009639D4">
              <w:rPr>
                <w:rtl/>
              </w:rPr>
              <w:t xml:space="preserve"> </w:t>
            </w:r>
            <w:r w:rsidRPr="009639D4">
              <w:rPr>
                <w:rFonts w:hint="eastAsia"/>
                <w:rtl/>
              </w:rPr>
              <w:t>אחר</w:t>
            </w:r>
            <w:r w:rsidRPr="009639D4">
              <w:rPr>
                <w:rtl/>
              </w:rPr>
              <w:t xml:space="preserve">, </w:t>
            </w:r>
            <w:r w:rsidRPr="009639D4">
              <w:rPr>
                <w:rFonts w:hint="eastAsia"/>
                <w:rtl/>
              </w:rPr>
              <w:t>לא</w:t>
            </w:r>
            <w:r w:rsidRPr="009639D4">
              <w:rPr>
                <w:rtl/>
              </w:rPr>
              <w:t xml:space="preserve"> </w:t>
            </w:r>
            <w:r w:rsidRPr="009639D4">
              <w:rPr>
                <w:rFonts w:hint="eastAsia"/>
                <w:rtl/>
              </w:rPr>
              <w:t>יגבה</w:t>
            </w:r>
            <w:r w:rsidRPr="009639D4">
              <w:rPr>
                <w:rtl/>
              </w:rPr>
              <w:t xml:space="preserve"> </w:t>
            </w:r>
            <w:r>
              <w:rPr>
                <w:rFonts w:hint="cs"/>
                <w:rtl/>
              </w:rPr>
              <w:t xml:space="preserve">מנכה </w:t>
            </w:r>
            <w:r w:rsidRPr="009639D4">
              <w:rPr>
                <w:rFonts w:hint="eastAsia"/>
                <w:rtl/>
              </w:rPr>
              <w:t>דמי</w:t>
            </w:r>
            <w:r w:rsidRPr="009639D4">
              <w:rPr>
                <w:rtl/>
              </w:rPr>
              <w:t xml:space="preserve"> </w:t>
            </w:r>
            <w:r w:rsidRPr="009639D4">
              <w:rPr>
                <w:rFonts w:hint="eastAsia"/>
                <w:rtl/>
              </w:rPr>
              <w:t>חניה</w:t>
            </w:r>
            <w:r w:rsidRPr="009639D4">
              <w:rPr>
                <w:rtl/>
              </w:rPr>
              <w:t xml:space="preserve"> </w:t>
            </w:r>
            <w:r w:rsidRPr="009639D4">
              <w:rPr>
                <w:rFonts w:hint="eastAsia"/>
                <w:rtl/>
              </w:rPr>
              <w:t>בחניון</w:t>
            </w:r>
            <w:r>
              <w:rPr>
                <w:rFonts w:hint="cs"/>
                <w:rtl/>
              </w:rPr>
              <w:t xml:space="preserve"> שהוא מפעיל, ובלבד שהנכה הציג בכניסה לחניון תעודה מזהה ותג נכה."</w:t>
            </w:r>
          </w:p>
        </w:tc>
      </w:tr>
    </w:tbl>
    <w:p w:rsidR="008C3E5F" w:rsidRDefault="008C3E5F" w:rsidP="00E13C27">
      <w:pPr>
        <w:pStyle w:val="HeadDivreiHesber"/>
        <w:spacing w:before="0" w:after="0"/>
        <w:rPr>
          <w:rtl/>
        </w:rPr>
      </w:pPr>
    </w:p>
    <w:p w:rsidR="00E13C27" w:rsidRDefault="00E13C27" w:rsidP="000A444A">
      <w:pPr>
        <w:pStyle w:val="HeadDivreiHesber"/>
        <w:spacing w:before="0" w:after="0" w:line="240" w:lineRule="auto"/>
        <w:rPr>
          <w:rtl/>
        </w:rPr>
      </w:pPr>
      <w:r>
        <w:rPr>
          <w:rFonts w:hint="cs"/>
          <w:rtl/>
        </w:rPr>
        <w:t>דברי הסבר</w:t>
      </w:r>
    </w:p>
    <w:p w:rsidR="00B422AA" w:rsidRDefault="00B422AA" w:rsidP="000A444A">
      <w:pPr>
        <w:pStyle w:val="Hesber1st"/>
        <w:tabs>
          <w:tab w:val="clear" w:pos="680"/>
        </w:tabs>
        <w:spacing w:line="240" w:lineRule="auto"/>
        <w:rPr>
          <w:rtl/>
        </w:rPr>
      </w:pPr>
    </w:p>
    <w:p w:rsidR="00E7657F" w:rsidRPr="000A444A" w:rsidRDefault="009413C4" w:rsidP="000A444A">
      <w:pPr>
        <w:pStyle w:val="Hesber"/>
        <w:rPr>
          <w:rtl/>
        </w:rPr>
      </w:pPr>
      <w:r w:rsidRPr="000A444A">
        <w:rPr>
          <w:rFonts w:hint="cs"/>
          <w:rtl/>
        </w:rPr>
        <w:t>ל</w:t>
      </w:r>
      <w:r w:rsidR="00B422AA" w:rsidRPr="000A444A">
        <w:rPr>
          <w:rFonts w:hint="cs"/>
          <w:rtl/>
        </w:rPr>
        <w:t xml:space="preserve">אנשים המוגבלים בניידותם </w:t>
      </w:r>
      <w:r w:rsidRPr="000A444A">
        <w:rPr>
          <w:rFonts w:hint="cs"/>
          <w:rtl/>
        </w:rPr>
        <w:t>הרכב משמש כידיים ורגליים ו</w:t>
      </w:r>
      <w:r w:rsidR="00B422AA" w:rsidRPr="000A444A">
        <w:rPr>
          <w:rFonts w:hint="cs"/>
          <w:rtl/>
        </w:rPr>
        <w:t xml:space="preserve">מאפשר להם </w:t>
      </w:r>
      <w:r w:rsidR="00D950AD" w:rsidRPr="000A444A">
        <w:rPr>
          <w:rtl/>
        </w:rPr>
        <w:t>חופש תנועה</w:t>
      </w:r>
      <w:r w:rsidRPr="000A444A">
        <w:rPr>
          <w:rFonts w:hint="cs"/>
          <w:rtl/>
        </w:rPr>
        <w:t>, שהיא זכות בסיסית,</w:t>
      </w:r>
      <w:r w:rsidR="00D950AD" w:rsidRPr="000A444A">
        <w:rPr>
          <w:rtl/>
        </w:rPr>
        <w:t xml:space="preserve"> ויכולת לתפקד באופן נורמלי ולקיים חיים סדירים באופן מיטיבי</w:t>
      </w:r>
      <w:r w:rsidR="00F97760" w:rsidRPr="000A444A">
        <w:rPr>
          <w:rFonts w:hint="cs"/>
          <w:rtl/>
        </w:rPr>
        <w:t>.</w:t>
      </w:r>
      <w:r w:rsidR="008C3E5F" w:rsidRPr="000A444A">
        <w:rPr>
          <w:rFonts w:hint="cs"/>
          <w:rtl/>
        </w:rPr>
        <w:t xml:space="preserve"> מסיבות אל</w:t>
      </w:r>
      <w:r w:rsidRPr="000A444A">
        <w:rPr>
          <w:rFonts w:hint="cs"/>
          <w:rtl/>
        </w:rPr>
        <w:t>ה</w:t>
      </w:r>
      <w:r w:rsidR="00F97760" w:rsidRPr="000A444A">
        <w:rPr>
          <w:rFonts w:hint="cs"/>
          <w:rtl/>
        </w:rPr>
        <w:t>,</w:t>
      </w:r>
      <w:r w:rsidR="00D950AD" w:rsidRPr="000A444A">
        <w:rPr>
          <w:rtl/>
        </w:rPr>
        <w:t xml:space="preserve"> האפשרות לחנות קרוב למקום יעדם</w:t>
      </w:r>
      <w:r w:rsidR="00E7657F" w:rsidRPr="000A444A">
        <w:rPr>
          <w:rtl/>
        </w:rPr>
        <w:t xml:space="preserve"> </w:t>
      </w:r>
      <w:r w:rsidRPr="000A444A">
        <w:rPr>
          <w:rFonts w:hint="cs"/>
          <w:rtl/>
        </w:rPr>
        <w:t>חיונית</w:t>
      </w:r>
      <w:r w:rsidR="00B422AA" w:rsidRPr="000A444A">
        <w:rPr>
          <w:rFonts w:hint="cs"/>
          <w:rtl/>
        </w:rPr>
        <w:t xml:space="preserve"> </w:t>
      </w:r>
      <w:r w:rsidR="00E7657F" w:rsidRPr="000A444A">
        <w:rPr>
          <w:rFonts w:hint="cs"/>
          <w:rtl/>
        </w:rPr>
        <w:t xml:space="preserve">עבורם. </w:t>
      </w:r>
      <w:r w:rsidRPr="000A444A">
        <w:rPr>
          <w:rFonts w:hint="cs"/>
          <w:rtl/>
        </w:rPr>
        <w:t xml:space="preserve">סעיף 4ב </w:t>
      </w:r>
      <w:r w:rsidR="00E7657F" w:rsidRPr="000A444A">
        <w:rPr>
          <w:rFonts w:hint="cs"/>
          <w:rtl/>
        </w:rPr>
        <w:t xml:space="preserve">חוק חניה לנכים, </w:t>
      </w:r>
      <w:proofErr w:type="spellStart"/>
      <w:r w:rsidR="00E7657F" w:rsidRPr="000A444A">
        <w:rPr>
          <w:rFonts w:hint="cs"/>
          <w:rtl/>
        </w:rPr>
        <w:t>התשנ"ד</w:t>
      </w:r>
      <w:proofErr w:type="spellEnd"/>
      <w:r w:rsidR="000A444A">
        <w:rPr>
          <w:rFonts w:hint="eastAsia"/>
          <w:rtl/>
        </w:rPr>
        <w:t>–</w:t>
      </w:r>
      <w:r w:rsidR="00E7657F" w:rsidRPr="000A444A">
        <w:rPr>
          <w:rFonts w:hint="cs"/>
          <w:rtl/>
        </w:rPr>
        <w:t>1993</w:t>
      </w:r>
      <w:r w:rsidRPr="000A444A">
        <w:rPr>
          <w:rFonts w:hint="cs"/>
          <w:rtl/>
        </w:rPr>
        <w:t>,</w:t>
      </w:r>
      <w:r w:rsidR="00E7657F" w:rsidRPr="000A444A">
        <w:rPr>
          <w:rFonts w:hint="cs"/>
          <w:rtl/>
        </w:rPr>
        <w:t xml:space="preserve"> קובע כי "</w:t>
      </w:r>
      <w:r w:rsidR="00E7657F" w:rsidRPr="000A444A">
        <w:rPr>
          <w:rtl/>
        </w:rPr>
        <w:t>מקום ציבורי שהגישה הנגישה היחידה אליו לאדם עם מוגבלות היא דרך חניה במקום הציבורי הכרוכה בתשלום, תחול על המפעיל או המחזיק של המקום הציבורי חובה לשלם בעד חניה במקום האמור, בשל האדם עם המוגבלות, ככל שנדרש לאדם כאמור מקום חניה"</w:t>
      </w:r>
      <w:r w:rsidR="00E7657F" w:rsidRPr="000A444A">
        <w:rPr>
          <w:rFonts w:hint="cs"/>
          <w:rtl/>
        </w:rPr>
        <w:t xml:space="preserve">. מקום ציבורי בהקשר זה כולל  מקומות בהם ניתנים שירותים לציבור או מקומות העומדים לשימוש הציבור או חלק בלתי מסוים ממנו כדוגמת בתי חולים, קניונים, מקומות לפעילות ספורט ופנאי, בתי כנסת, מסעדות ובתי קפה. </w:t>
      </w:r>
      <w:r w:rsidRPr="000A444A">
        <w:rPr>
          <w:rFonts w:hint="cs"/>
          <w:rtl/>
        </w:rPr>
        <w:t>עם זאת</w:t>
      </w:r>
      <w:r w:rsidR="00E7657F" w:rsidRPr="000A444A">
        <w:rPr>
          <w:rFonts w:hint="cs"/>
          <w:rtl/>
        </w:rPr>
        <w:t xml:space="preserve">, </w:t>
      </w:r>
      <w:r w:rsidRPr="000A444A">
        <w:rPr>
          <w:rFonts w:hint="cs"/>
          <w:rtl/>
        </w:rPr>
        <w:t>מנוסח הסעיף עולה שאם יש גישה למ</w:t>
      </w:r>
      <w:r w:rsidR="00E7657F" w:rsidRPr="000A444A">
        <w:rPr>
          <w:rFonts w:hint="cs"/>
          <w:rtl/>
        </w:rPr>
        <w:t xml:space="preserve">קום הציבורי </w:t>
      </w:r>
      <w:r w:rsidRPr="000A444A">
        <w:rPr>
          <w:rFonts w:hint="cs"/>
          <w:rtl/>
        </w:rPr>
        <w:t xml:space="preserve">גם שלא </w:t>
      </w:r>
      <w:r w:rsidR="00E7657F" w:rsidRPr="000A444A">
        <w:rPr>
          <w:rFonts w:hint="cs"/>
          <w:rtl/>
        </w:rPr>
        <w:t xml:space="preserve">דרך חניה במקום הציבורי הכרוכה בתשלום, לדוגמא חניה ברחובות הסמוכים למקום הציבורי, </w:t>
      </w:r>
      <w:r w:rsidRPr="000A444A">
        <w:rPr>
          <w:rFonts w:hint="cs"/>
          <w:rtl/>
        </w:rPr>
        <w:t xml:space="preserve">הוא אינו זכאי לפטור מתשלום אלא </w:t>
      </w:r>
      <w:r w:rsidR="00E7657F" w:rsidRPr="000A444A">
        <w:rPr>
          <w:rFonts w:hint="cs"/>
          <w:rtl/>
        </w:rPr>
        <w:t>עליו לשלם בעבור החניה מחיר מלא</w:t>
      </w:r>
      <w:r w:rsidRPr="000A444A">
        <w:rPr>
          <w:rFonts w:hint="cs"/>
          <w:rtl/>
        </w:rPr>
        <w:t xml:space="preserve">, </w:t>
      </w:r>
      <w:r w:rsidR="00E7657F" w:rsidRPr="000A444A">
        <w:rPr>
          <w:rFonts w:hint="cs"/>
          <w:rtl/>
        </w:rPr>
        <w:t xml:space="preserve">וזאת למרות שהחניה החלופית לחניה במקום הציבורי עשויה להיות מרוחקת או שבפועל אין בה מקום חניה </w:t>
      </w:r>
      <w:r w:rsidRPr="000A444A">
        <w:rPr>
          <w:rFonts w:hint="cs"/>
          <w:rtl/>
        </w:rPr>
        <w:t>פנוי.</w:t>
      </w:r>
      <w:r w:rsidR="00E7657F" w:rsidRPr="000A444A">
        <w:rPr>
          <w:rFonts w:hint="cs"/>
          <w:rtl/>
        </w:rPr>
        <w:t xml:space="preserve"> </w:t>
      </w:r>
    </w:p>
    <w:p w:rsidR="00D950AD" w:rsidRPr="009639D4" w:rsidRDefault="009413C4" w:rsidP="009639D4">
      <w:pPr>
        <w:pStyle w:val="Hesber"/>
        <w:rPr>
          <w:rtl/>
        </w:rPr>
      </w:pPr>
      <w:r>
        <w:rPr>
          <w:rFonts w:hint="cs"/>
          <w:rtl/>
        </w:rPr>
        <w:t xml:space="preserve">יצוין, כי תוצאה זו </w:t>
      </w:r>
      <w:r w:rsidR="00D950AD" w:rsidRPr="009413C4">
        <w:rPr>
          <w:rtl/>
        </w:rPr>
        <w:t>חל</w:t>
      </w:r>
      <w:r>
        <w:rPr>
          <w:rFonts w:hint="cs"/>
          <w:rtl/>
        </w:rPr>
        <w:t>ה</w:t>
      </w:r>
      <w:r w:rsidR="00D950AD" w:rsidRPr="009413C4">
        <w:rPr>
          <w:rtl/>
        </w:rPr>
        <w:t xml:space="preserve"> אפילו בחניוני בתי ה</w:t>
      </w:r>
      <w:r w:rsidR="00D950AD" w:rsidRPr="009639D4">
        <w:rPr>
          <w:rtl/>
        </w:rPr>
        <w:t>חולים שם נאלצים המבקרים לשלם סכומים גבוהים, לעתים מאות שקלים מדי יום, עבור החניה במתחם בית החולים. למותר לציין כי אותם בעלי מוגבלות הניידות, נאלצים בעל כורחם לבקר בבתי חולים באופן תכוף יחסית.</w:t>
      </w:r>
    </w:p>
    <w:p w:rsidR="00E7657F" w:rsidRDefault="00E7657F" w:rsidP="009639D4">
      <w:pPr>
        <w:pStyle w:val="Hesber"/>
        <w:rPr>
          <w:rtl/>
        </w:rPr>
      </w:pPr>
      <w:r w:rsidRPr="009639D4" w:rsidDel="00E7657F">
        <w:lastRenderedPageBreak/>
        <w:t xml:space="preserve"> </w:t>
      </w:r>
      <w:r w:rsidR="00D950AD" w:rsidRPr="009639D4">
        <w:rPr>
          <w:rtl/>
        </w:rPr>
        <w:t>הצעת חוק זו באה לתקן את העיוות החברתי והמוסרי שנוצר</w:t>
      </w:r>
      <w:r w:rsidR="00F97760">
        <w:rPr>
          <w:rFonts w:hint="cs"/>
          <w:rtl/>
        </w:rPr>
        <w:t>,</w:t>
      </w:r>
      <w:r w:rsidR="00D950AD" w:rsidRPr="009639D4">
        <w:rPr>
          <w:rtl/>
        </w:rPr>
        <w:t xml:space="preserve"> בו נכים רבים נאלצים לשלם מאות שקלים </w:t>
      </w:r>
      <w:r>
        <w:rPr>
          <w:rFonts w:hint="cs"/>
          <w:rtl/>
        </w:rPr>
        <w:t>על מנת</w:t>
      </w:r>
      <w:r w:rsidR="00D950AD" w:rsidRPr="009639D4">
        <w:rPr>
          <w:rtl/>
        </w:rPr>
        <w:t xml:space="preserve"> לחנות בתוך מתחמי חניונים מסודרים שקרובים למקום אליו הם מיועדים להגיע, או לחלופין, מי שאין ידו משגת לשלם, נאלץ ללכת מרחק</w:t>
      </w:r>
      <w:r w:rsidR="008C3E5F">
        <w:rPr>
          <w:rFonts w:hint="cs"/>
          <w:rtl/>
        </w:rPr>
        <w:t xml:space="preserve"> </w:t>
      </w:r>
      <w:r w:rsidR="00D950AD" w:rsidRPr="009639D4">
        <w:rPr>
          <w:rtl/>
        </w:rPr>
        <w:t>רב</w:t>
      </w:r>
      <w:r w:rsidR="00F97760">
        <w:rPr>
          <w:rFonts w:hint="cs"/>
          <w:rtl/>
        </w:rPr>
        <w:t>,</w:t>
      </w:r>
      <w:r w:rsidR="00D950AD" w:rsidRPr="009639D4">
        <w:rPr>
          <w:rtl/>
        </w:rPr>
        <w:t xml:space="preserve"> </w:t>
      </w:r>
      <w:r>
        <w:rPr>
          <w:rFonts w:hint="cs"/>
          <w:rtl/>
        </w:rPr>
        <w:t>דבר ה</w:t>
      </w:r>
      <w:r w:rsidR="00D950AD" w:rsidRPr="009639D4">
        <w:rPr>
          <w:rtl/>
        </w:rPr>
        <w:t>מקש</w:t>
      </w:r>
      <w:r>
        <w:rPr>
          <w:rFonts w:hint="cs"/>
          <w:rtl/>
        </w:rPr>
        <w:t>ה</w:t>
      </w:r>
      <w:r w:rsidR="00D950AD" w:rsidRPr="009639D4">
        <w:rPr>
          <w:rtl/>
        </w:rPr>
        <w:t xml:space="preserve"> ומכביד עליו את פעילות היומיום, </w:t>
      </w:r>
      <w:r w:rsidR="009413C4">
        <w:rPr>
          <w:rFonts w:hint="cs"/>
          <w:rtl/>
        </w:rPr>
        <w:t>ה</w:t>
      </w:r>
      <w:r w:rsidR="00D950AD" w:rsidRPr="009639D4">
        <w:rPr>
          <w:rtl/>
        </w:rPr>
        <w:t xml:space="preserve">קשה לו ממילא. </w:t>
      </w:r>
      <w:r w:rsidR="008C3E5F">
        <w:rPr>
          <w:rFonts w:hint="cs"/>
          <w:rtl/>
        </w:rPr>
        <w:t xml:space="preserve">מוצע כי </w:t>
      </w:r>
      <w:r w:rsidR="008C3E5F" w:rsidRPr="00E937FD">
        <w:rPr>
          <w:rFonts w:hint="cs"/>
          <w:rtl/>
        </w:rPr>
        <w:t>המפעיל חניון, בין שהחניון בבעלותו ובין שבבעלות אחר, לא יגבה דמי חניה בחניון</w:t>
      </w:r>
      <w:r w:rsidR="008C3E5F">
        <w:rPr>
          <w:rFonts w:hint="cs"/>
          <w:rtl/>
        </w:rPr>
        <w:t xml:space="preserve"> מנכה</w:t>
      </w:r>
      <w:r w:rsidR="009413C4">
        <w:rPr>
          <w:rFonts w:hint="cs"/>
          <w:rtl/>
        </w:rPr>
        <w:t>,</w:t>
      </w:r>
      <w:r w:rsidR="008C3E5F">
        <w:rPr>
          <w:rFonts w:hint="cs"/>
          <w:rtl/>
        </w:rPr>
        <w:t xml:space="preserve"> ללא תלות בחלופות החנייה סביב המקום הציבורי אליו הוא מבקש להגיע.</w:t>
      </w:r>
    </w:p>
    <w:p w:rsidR="00D950AD" w:rsidRPr="009639D4" w:rsidRDefault="00D950AD" w:rsidP="009639D4">
      <w:pPr>
        <w:pStyle w:val="Hesber"/>
        <w:rPr>
          <w:rtl/>
        </w:rPr>
      </w:pPr>
      <w:r w:rsidRPr="009639D4">
        <w:rPr>
          <w:rtl/>
        </w:rPr>
        <w:t xml:space="preserve">בנוסף, </w:t>
      </w:r>
      <w:r w:rsidR="00E7657F">
        <w:rPr>
          <w:rFonts w:hint="cs"/>
          <w:rtl/>
        </w:rPr>
        <w:t xml:space="preserve">מוצע כי זכות זו תהיה מותנית בכך שהנכה הציג </w:t>
      </w:r>
      <w:r w:rsidR="00F97760">
        <w:rPr>
          <w:rFonts w:hint="cs"/>
          <w:rtl/>
        </w:rPr>
        <w:t>תעודה מזהה ותו נכה.</w:t>
      </w:r>
      <w:r w:rsidR="00E7657F">
        <w:rPr>
          <w:rFonts w:hint="cs"/>
          <w:rtl/>
        </w:rPr>
        <w:t xml:space="preserve"> באופן זה </w:t>
      </w:r>
      <w:r w:rsidRPr="009639D4">
        <w:rPr>
          <w:rtl/>
        </w:rPr>
        <w:t xml:space="preserve">התיקון בא לשמור על הצדק עם אוכלוסיית הנכים </w:t>
      </w:r>
      <w:r w:rsidR="008C3E5F">
        <w:rPr>
          <w:rFonts w:hint="cs"/>
          <w:rtl/>
        </w:rPr>
        <w:t>על ידי</w:t>
      </w:r>
      <w:r w:rsidRPr="009639D4">
        <w:rPr>
          <w:rtl/>
        </w:rPr>
        <w:t xml:space="preserve"> ייחוד הזכויות השמורות לה ולה בלבד. </w:t>
      </w:r>
      <w:r w:rsidR="008C3E5F">
        <w:rPr>
          <w:rFonts w:hint="cs"/>
          <w:rtl/>
        </w:rPr>
        <w:t xml:space="preserve">הדבר נדרש שכן לעיתים </w:t>
      </w:r>
      <w:r w:rsidRPr="009639D4">
        <w:rPr>
          <w:rtl/>
        </w:rPr>
        <w:t xml:space="preserve">אנשים משתמשים בזכויות הנכה </w:t>
      </w:r>
      <w:r w:rsidR="00E7657F">
        <w:rPr>
          <w:rFonts w:hint="cs"/>
          <w:rtl/>
        </w:rPr>
        <w:t>על ידי</w:t>
      </w:r>
      <w:r w:rsidRPr="009639D4">
        <w:rPr>
          <w:rtl/>
        </w:rPr>
        <w:t xml:space="preserve"> הצגת התג שלו, גם ללא נוכחותו ברכב.   </w:t>
      </w:r>
    </w:p>
    <w:p w:rsidR="00E13C27" w:rsidRDefault="00E13C27" w:rsidP="009639D4">
      <w:pPr>
        <w:pStyle w:val="Hesber"/>
        <w:rPr>
          <w:rFonts w:hint="cs"/>
          <w:sz w:val="28"/>
          <w:szCs w:val="28"/>
          <w:rtl/>
        </w:rPr>
      </w:pPr>
      <w:bookmarkStart w:id="8" w:name="_GoBack"/>
    </w:p>
    <w:p w:rsidR="000A444A" w:rsidRDefault="000A444A" w:rsidP="009639D4">
      <w:pPr>
        <w:pStyle w:val="Hesber"/>
        <w:rPr>
          <w:rFonts w:hint="cs"/>
          <w:sz w:val="28"/>
          <w:szCs w:val="28"/>
          <w:rtl/>
        </w:rPr>
      </w:pPr>
    </w:p>
    <w:bookmarkEnd w:id="8"/>
    <w:p w:rsidR="000A444A" w:rsidRPr="000A444A" w:rsidRDefault="000A444A" w:rsidP="009639D4">
      <w:pPr>
        <w:pStyle w:val="Hesber"/>
        <w:rPr>
          <w:rFonts w:hint="cs"/>
          <w:rtl/>
        </w:rPr>
      </w:pPr>
    </w:p>
    <w:p w:rsidR="000A444A" w:rsidRPr="000A444A" w:rsidRDefault="000A444A" w:rsidP="000A444A">
      <w:pPr>
        <w:pStyle w:val="Hesber"/>
        <w:rPr>
          <w:rtl/>
        </w:rPr>
      </w:pPr>
      <w:r w:rsidRPr="000A444A">
        <w:rPr>
          <w:rtl/>
        </w:rPr>
        <w:t>---------------------------------</w:t>
      </w:r>
    </w:p>
    <w:p w:rsidR="000A444A" w:rsidRPr="000A444A" w:rsidRDefault="000A444A" w:rsidP="000A444A">
      <w:pPr>
        <w:pStyle w:val="Hesber"/>
        <w:rPr>
          <w:rtl/>
        </w:rPr>
      </w:pPr>
      <w:r w:rsidRPr="000A444A">
        <w:rPr>
          <w:rtl/>
        </w:rPr>
        <w:t>הוגשה ליו"ר הכנסת והסגנים</w:t>
      </w:r>
    </w:p>
    <w:p w:rsidR="000A444A" w:rsidRPr="000A444A" w:rsidRDefault="000A444A" w:rsidP="000A444A">
      <w:pPr>
        <w:pStyle w:val="Hesber"/>
        <w:rPr>
          <w:rtl/>
        </w:rPr>
      </w:pPr>
      <w:r w:rsidRPr="000A444A">
        <w:rPr>
          <w:rtl/>
        </w:rPr>
        <w:t>והונחה על שולחן הכנסת ביום</w:t>
      </w:r>
    </w:p>
    <w:p w:rsidR="000A444A" w:rsidRPr="000A444A" w:rsidRDefault="000A444A" w:rsidP="000A444A">
      <w:pPr>
        <w:pStyle w:val="Hesber"/>
        <w:rPr>
          <w:rtl/>
        </w:rPr>
      </w:pPr>
      <w:r w:rsidRPr="000A444A">
        <w:rPr>
          <w:rFonts w:hint="cs"/>
          <w:rtl/>
        </w:rPr>
        <w:t xml:space="preserve">א' בכסלו </w:t>
      </w:r>
      <w:proofErr w:type="spellStart"/>
      <w:r w:rsidRPr="000A444A">
        <w:rPr>
          <w:rFonts w:hint="cs"/>
          <w:rtl/>
        </w:rPr>
        <w:t>התשע"ד</w:t>
      </w:r>
      <w:proofErr w:type="spellEnd"/>
      <w:r w:rsidRPr="000A444A">
        <w:rPr>
          <w:rFonts w:hint="cs"/>
          <w:rtl/>
        </w:rPr>
        <w:t xml:space="preserve"> – 4.11.13</w:t>
      </w:r>
    </w:p>
    <w:sectPr w:rsidR="000A444A" w:rsidRPr="000A444A"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FF6" w:rsidRDefault="00FD1FF6">
      <w:r>
        <w:separator/>
      </w:r>
    </w:p>
  </w:endnote>
  <w:endnote w:type="continuationSeparator" w:id="0">
    <w:p w:rsidR="00FD1FF6" w:rsidRDefault="00FD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0000000000000000000"/>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0A444A">
      <w:rPr>
        <w:rStyle w:val="ab"/>
        <w:noProof/>
        <w:rtl/>
      </w:rPr>
      <w:t>2</w:t>
    </w:r>
    <w:r>
      <w:rPr>
        <w:rStyle w:val="ab"/>
        <w:rtl/>
      </w:rPr>
      <w:fldChar w:fldCharType="end"/>
    </w:r>
  </w:p>
  <w:p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FF6" w:rsidRDefault="00FD1FF6">
      <w:r>
        <w:separator/>
      </w:r>
    </w:p>
  </w:footnote>
  <w:footnote w:type="continuationSeparator" w:id="0">
    <w:p w:rsidR="00FD1FF6" w:rsidRDefault="00FD1FF6">
      <w:r>
        <w:continuationSeparator/>
      </w:r>
    </w:p>
  </w:footnote>
  <w:footnote w:type="continuationNotice" w:id="1">
    <w:p w:rsidR="00FD1FF6" w:rsidRDefault="00FD1FF6"/>
  </w:footnote>
  <w:footnote w:id="2">
    <w:p w:rsidR="00DB7765" w:rsidRDefault="00DB7765">
      <w:pPr>
        <w:pStyle w:val="a4"/>
      </w:pPr>
      <w:r>
        <w:rPr>
          <w:rStyle w:val="a6"/>
        </w:rPr>
        <w:footnoteRef/>
      </w:r>
      <w:r>
        <w:rPr>
          <w:rtl/>
        </w:rPr>
        <w:t xml:space="preserve"> </w:t>
      </w:r>
      <w:r w:rsidRPr="00E937FD">
        <w:rPr>
          <w:rFonts w:hint="cs"/>
          <w:sz w:val="20"/>
          <w:rtl/>
        </w:rPr>
        <w:t>ס"ח תשנ"ד</w:t>
      </w:r>
      <w:r>
        <w:rPr>
          <w:rFonts w:hint="cs"/>
          <w:sz w:val="20"/>
          <w:rtl/>
        </w:rPr>
        <w:t>, עמ' 28</w:t>
      </w:r>
      <w:r>
        <w:rPr>
          <w:rFonts w:hint="cs"/>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7708lsCopyOriginal.docx"/>
    <w:docVar w:name="StartMode" w:val="3"/>
  </w:docVars>
  <w:rsids>
    <w:rsidRoot w:val="00DB7060"/>
    <w:rsid w:val="00015B27"/>
    <w:rsid w:val="000A444A"/>
    <w:rsid w:val="000A542E"/>
    <w:rsid w:val="001207F8"/>
    <w:rsid w:val="00121924"/>
    <w:rsid w:val="001279A8"/>
    <w:rsid w:val="0014195F"/>
    <w:rsid w:val="00152609"/>
    <w:rsid w:val="00153E1B"/>
    <w:rsid w:val="001A0623"/>
    <w:rsid w:val="001C23B0"/>
    <w:rsid w:val="00203A7F"/>
    <w:rsid w:val="002200A1"/>
    <w:rsid w:val="002362BF"/>
    <w:rsid w:val="00241B97"/>
    <w:rsid w:val="00254605"/>
    <w:rsid w:val="002728B4"/>
    <w:rsid w:val="00292712"/>
    <w:rsid w:val="00295B49"/>
    <w:rsid w:val="002C2E29"/>
    <w:rsid w:val="003232A2"/>
    <w:rsid w:val="00340594"/>
    <w:rsid w:val="003710F6"/>
    <w:rsid w:val="00386E88"/>
    <w:rsid w:val="003D74A0"/>
    <w:rsid w:val="004033D8"/>
    <w:rsid w:val="004D3876"/>
    <w:rsid w:val="004E4552"/>
    <w:rsid w:val="0053431B"/>
    <w:rsid w:val="00553C9D"/>
    <w:rsid w:val="005B064E"/>
    <w:rsid w:val="005D51AE"/>
    <w:rsid w:val="00644940"/>
    <w:rsid w:val="006818A9"/>
    <w:rsid w:val="006C1D0D"/>
    <w:rsid w:val="0070601E"/>
    <w:rsid w:val="00765F66"/>
    <w:rsid w:val="007D5A12"/>
    <w:rsid w:val="007E59F9"/>
    <w:rsid w:val="00810BCD"/>
    <w:rsid w:val="00812C98"/>
    <w:rsid w:val="00814D92"/>
    <w:rsid w:val="00892135"/>
    <w:rsid w:val="00895449"/>
    <w:rsid w:val="00897879"/>
    <w:rsid w:val="008C2322"/>
    <w:rsid w:val="008C2DDC"/>
    <w:rsid w:val="008C3E5F"/>
    <w:rsid w:val="008F0D63"/>
    <w:rsid w:val="008F2C35"/>
    <w:rsid w:val="0091204F"/>
    <w:rsid w:val="009203DB"/>
    <w:rsid w:val="00923C87"/>
    <w:rsid w:val="009413C4"/>
    <w:rsid w:val="00943386"/>
    <w:rsid w:val="00957589"/>
    <w:rsid w:val="009639D4"/>
    <w:rsid w:val="00982412"/>
    <w:rsid w:val="00A26BD6"/>
    <w:rsid w:val="00A82CB7"/>
    <w:rsid w:val="00A93A12"/>
    <w:rsid w:val="00AC36F7"/>
    <w:rsid w:val="00B35784"/>
    <w:rsid w:val="00B422AA"/>
    <w:rsid w:val="00BC45FB"/>
    <w:rsid w:val="00C9176A"/>
    <w:rsid w:val="00D867D7"/>
    <w:rsid w:val="00D950AD"/>
    <w:rsid w:val="00DB7060"/>
    <w:rsid w:val="00DB7765"/>
    <w:rsid w:val="00DE3153"/>
    <w:rsid w:val="00E13C27"/>
    <w:rsid w:val="00E33BBD"/>
    <w:rsid w:val="00E45103"/>
    <w:rsid w:val="00E665B9"/>
    <w:rsid w:val="00E67F62"/>
    <w:rsid w:val="00E755E7"/>
    <w:rsid w:val="00E7657F"/>
    <w:rsid w:val="00EA01E6"/>
    <w:rsid w:val="00EA758F"/>
    <w:rsid w:val="00ED4A6F"/>
    <w:rsid w:val="00EF3A3A"/>
    <w:rsid w:val="00F024BD"/>
    <w:rsid w:val="00F74DFB"/>
    <w:rsid w:val="00F97760"/>
    <w:rsid w:val="00FA6F66"/>
    <w:rsid w:val="00FD1F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44A"/>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0A444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0A444A"/>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0A444A"/>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0A444A"/>
    <w:rPr>
      <w:sz w:val="36"/>
      <w:szCs w:val="52"/>
    </w:rPr>
  </w:style>
  <w:style w:type="paragraph" w:customStyle="1" w:styleId="Cover3-Haknesset">
    <w:name w:val="Cover 3-Haknesset"/>
    <w:basedOn w:val="Cover1-Reshumot"/>
    <w:rsid w:val="000A444A"/>
    <w:rPr>
      <w:b/>
      <w:bCs/>
      <w:spacing w:val="60"/>
    </w:rPr>
  </w:style>
  <w:style w:type="paragraph" w:customStyle="1" w:styleId="Cover4-Date">
    <w:name w:val="Cover 4-Date"/>
    <w:basedOn w:val="a"/>
    <w:rsid w:val="000A444A"/>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0A444A"/>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0A444A"/>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0A444A"/>
    <w:pPr>
      <w:spacing w:before="120" w:after="120"/>
    </w:pPr>
    <w:rPr>
      <w:color w:val="FF0000"/>
      <w:w w:val="80"/>
    </w:rPr>
  </w:style>
  <w:style w:type="paragraph" w:styleId="a3">
    <w:name w:val="endnote text"/>
    <w:basedOn w:val="a"/>
    <w:semiHidden/>
    <w:rsid w:val="000A444A"/>
    <w:pPr>
      <w:ind w:left="227" w:hanging="227"/>
    </w:pPr>
    <w:rPr>
      <w:sz w:val="14"/>
      <w:szCs w:val="22"/>
    </w:rPr>
  </w:style>
  <w:style w:type="paragraph" w:customStyle="1" w:styleId="TableText">
    <w:name w:val="Table Text"/>
    <w:basedOn w:val="a"/>
    <w:rsid w:val="000A444A"/>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0A444A"/>
  </w:style>
  <w:style w:type="paragraph" w:customStyle="1" w:styleId="TableBlock">
    <w:name w:val="Table Block"/>
    <w:basedOn w:val="TableText"/>
    <w:rsid w:val="000A444A"/>
    <w:pPr>
      <w:ind w:right="0"/>
      <w:jc w:val="both"/>
    </w:pPr>
  </w:style>
  <w:style w:type="paragraph" w:customStyle="1" w:styleId="TableHead">
    <w:name w:val="Table Head"/>
    <w:basedOn w:val="TableText"/>
    <w:rsid w:val="000A444A"/>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0A444A"/>
  </w:style>
  <w:style w:type="paragraph" w:customStyle="1" w:styleId="Hesber">
    <w:name w:val="Hesber"/>
    <w:basedOn w:val="a"/>
    <w:rsid w:val="000A444A"/>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0A444A"/>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0A444A"/>
    <w:rPr>
      <w:vertAlign w:val="superscript"/>
    </w:rPr>
  </w:style>
  <w:style w:type="paragraph" w:customStyle="1" w:styleId="HesberHeading">
    <w:name w:val="Hesber Heading"/>
    <w:basedOn w:val="Hesber"/>
    <w:rsid w:val="000A444A"/>
    <w:pPr>
      <w:tabs>
        <w:tab w:val="left" w:pos="624"/>
        <w:tab w:val="left" w:pos="1247"/>
      </w:tabs>
      <w:ind w:firstLine="0"/>
    </w:pPr>
    <w:rPr>
      <w:b/>
      <w:bCs/>
    </w:rPr>
  </w:style>
  <w:style w:type="paragraph" w:customStyle="1" w:styleId="HesberWriters">
    <w:name w:val="Hesber Writers"/>
    <w:basedOn w:val="Hesber"/>
    <w:rsid w:val="000A444A"/>
    <w:pPr>
      <w:spacing w:before="120" w:after="6000"/>
      <w:ind w:left="1418" w:firstLine="0"/>
      <w:jc w:val="right"/>
    </w:pPr>
    <w:rPr>
      <w:b/>
      <w:bCs/>
    </w:rPr>
  </w:style>
  <w:style w:type="paragraph" w:customStyle="1" w:styleId="Hesber1st">
    <w:name w:val="Hesber 1st"/>
    <w:basedOn w:val="Hesber"/>
    <w:rsid w:val="000A444A"/>
    <w:pPr>
      <w:tabs>
        <w:tab w:val="left" w:pos="680"/>
        <w:tab w:val="left" w:pos="1020"/>
      </w:tabs>
      <w:ind w:firstLine="0"/>
    </w:pPr>
  </w:style>
  <w:style w:type="character" w:styleId="a7">
    <w:name w:val="endnote reference"/>
    <w:basedOn w:val="a0"/>
    <w:semiHidden/>
    <w:rsid w:val="000A444A"/>
    <w:rPr>
      <w:vertAlign w:val="superscript"/>
    </w:rPr>
  </w:style>
  <w:style w:type="paragraph" w:customStyle="1" w:styleId="TableBlockOutdent">
    <w:name w:val="Table BlockOutdent"/>
    <w:basedOn w:val="TableBlock"/>
    <w:rsid w:val="000A444A"/>
    <w:pPr>
      <w:ind w:left="624" w:hanging="624"/>
    </w:pPr>
  </w:style>
  <w:style w:type="paragraph" w:styleId="a8">
    <w:name w:val="header"/>
    <w:basedOn w:val="a"/>
    <w:rsid w:val="000A444A"/>
    <w:pPr>
      <w:tabs>
        <w:tab w:val="center" w:pos="4153"/>
        <w:tab w:val="right" w:pos="8306"/>
      </w:tabs>
    </w:pPr>
  </w:style>
  <w:style w:type="paragraph" w:styleId="a9">
    <w:name w:val="footer"/>
    <w:basedOn w:val="a"/>
    <w:rsid w:val="000A444A"/>
    <w:pPr>
      <w:tabs>
        <w:tab w:val="center" w:pos="4153"/>
        <w:tab w:val="right" w:pos="8306"/>
      </w:tabs>
    </w:pPr>
  </w:style>
  <w:style w:type="paragraph" w:customStyle="1" w:styleId="HeadDivreiHesber">
    <w:name w:val="Head DivreiHesber"/>
    <w:basedOn w:val="a"/>
    <w:rsid w:val="000A444A"/>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0A444A"/>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0A444A"/>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F024BD"/>
    <w:rPr>
      <w:rFonts w:ascii="Arial" w:eastAsia="Arial Unicode MS" w:hAnsi="Arial" w:cs="David"/>
      <w:snapToGrid w:val="0"/>
      <w:color w:val="000000"/>
      <w:sz w:val="14"/>
      <w:lang w:eastAsia="ja-JP"/>
    </w:rPr>
  </w:style>
  <w:style w:type="character" w:styleId="Hyperlink">
    <w:name w:val="Hyperlink"/>
    <w:basedOn w:val="a0"/>
    <w:rsid w:val="00DB7765"/>
    <w:rPr>
      <w:color w:val="0000FF"/>
      <w:u w:val="single"/>
    </w:rPr>
  </w:style>
  <w:style w:type="character" w:customStyle="1" w:styleId="default">
    <w:name w:val="default"/>
    <w:basedOn w:val="a0"/>
    <w:rsid w:val="00DB7765"/>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44A"/>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semiHidden/>
    <w:rsid w:val="000A444A"/>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0A444A"/>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0A444A"/>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0A444A"/>
    <w:rPr>
      <w:sz w:val="36"/>
      <w:szCs w:val="52"/>
    </w:rPr>
  </w:style>
  <w:style w:type="paragraph" w:customStyle="1" w:styleId="Cover3-Haknesset">
    <w:name w:val="Cover 3-Haknesset"/>
    <w:basedOn w:val="Cover1-Reshumot"/>
    <w:rsid w:val="000A444A"/>
    <w:rPr>
      <w:b/>
      <w:bCs/>
      <w:spacing w:val="60"/>
    </w:rPr>
  </w:style>
  <w:style w:type="paragraph" w:customStyle="1" w:styleId="Cover4-Date">
    <w:name w:val="Cover 4-Date"/>
    <w:basedOn w:val="a"/>
    <w:rsid w:val="000A444A"/>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0A444A"/>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0A444A"/>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0A444A"/>
    <w:pPr>
      <w:spacing w:before="120" w:after="120"/>
    </w:pPr>
    <w:rPr>
      <w:color w:val="FF0000"/>
      <w:w w:val="80"/>
    </w:rPr>
  </w:style>
  <w:style w:type="paragraph" w:styleId="a3">
    <w:name w:val="endnote text"/>
    <w:basedOn w:val="a"/>
    <w:semiHidden/>
    <w:rsid w:val="000A444A"/>
    <w:pPr>
      <w:ind w:left="227" w:hanging="227"/>
    </w:pPr>
    <w:rPr>
      <w:sz w:val="14"/>
      <w:szCs w:val="22"/>
    </w:rPr>
  </w:style>
  <w:style w:type="paragraph" w:customStyle="1" w:styleId="TableText">
    <w:name w:val="Table Text"/>
    <w:basedOn w:val="a"/>
    <w:rsid w:val="000A444A"/>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0A444A"/>
  </w:style>
  <w:style w:type="paragraph" w:customStyle="1" w:styleId="TableBlock">
    <w:name w:val="Table Block"/>
    <w:basedOn w:val="TableText"/>
    <w:rsid w:val="000A444A"/>
    <w:pPr>
      <w:ind w:right="0"/>
      <w:jc w:val="both"/>
    </w:pPr>
  </w:style>
  <w:style w:type="paragraph" w:customStyle="1" w:styleId="TableHead">
    <w:name w:val="Table Head"/>
    <w:basedOn w:val="TableText"/>
    <w:rsid w:val="000A444A"/>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0A444A"/>
  </w:style>
  <w:style w:type="paragraph" w:customStyle="1" w:styleId="Hesber">
    <w:name w:val="Hesber"/>
    <w:basedOn w:val="a"/>
    <w:rsid w:val="000A444A"/>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0A444A"/>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0A444A"/>
    <w:rPr>
      <w:vertAlign w:val="superscript"/>
    </w:rPr>
  </w:style>
  <w:style w:type="paragraph" w:customStyle="1" w:styleId="HesberHeading">
    <w:name w:val="Hesber Heading"/>
    <w:basedOn w:val="Hesber"/>
    <w:rsid w:val="000A444A"/>
    <w:pPr>
      <w:tabs>
        <w:tab w:val="left" w:pos="624"/>
        <w:tab w:val="left" w:pos="1247"/>
      </w:tabs>
      <w:ind w:firstLine="0"/>
    </w:pPr>
    <w:rPr>
      <w:b/>
      <w:bCs/>
    </w:rPr>
  </w:style>
  <w:style w:type="paragraph" w:customStyle="1" w:styleId="HesberWriters">
    <w:name w:val="Hesber Writers"/>
    <w:basedOn w:val="Hesber"/>
    <w:rsid w:val="000A444A"/>
    <w:pPr>
      <w:spacing w:before="120" w:after="6000"/>
      <w:ind w:left="1418" w:firstLine="0"/>
      <w:jc w:val="right"/>
    </w:pPr>
    <w:rPr>
      <w:b/>
      <w:bCs/>
    </w:rPr>
  </w:style>
  <w:style w:type="paragraph" w:customStyle="1" w:styleId="Hesber1st">
    <w:name w:val="Hesber 1st"/>
    <w:basedOn w:val="Hesber"/>
    <w:rsid w:val="000A444A"/>
    <w:pPr>
      <w:tabs>
        <w:tab w:val="left" w:pos="680"/>
        <w:tab w:val="left" w:pos="1020"/>
      </w:tabs>
      <w:ind w:firstLine="0"/>
    </w:pPr>
  </w:style>
  <w:style w:type="character" w:styleId="a7">
    <w:name w:val="endnote reference"/>
    <w:basedOn w:val="a0"/>
    <w:semiHidden/>
    <w:rsid w:val="000A444A"/>
    <w:rPr>
      <w:vertAlign w:val="superscript"/>
    </w:rPr>
  </w:style>
  <w:style w:type="paragraph" w:customStyle="1" w:styleId="TableBlockOutdent">
    <w:name w:val="Table BlockOutdent"/>
    <w:basedOn w:val="TableBlock"/>
    <w:rsid w:val="000A444A"/>
    <w:pPr>
      <w:ind w:left="624" w:hanging="624"/>
    </w:pPr>
  </w:style>
  <w:style w:type="paragraph" w:styleId="a8">
    <w:name w:val="header"/>
    <w:basedOn w:val="a"/>
    <w:rsid w:val="000A444A"/>
    <w:pPr>
      <w:tabs>
        <w:tab w:val="center" w:pos="4153"/>
        <w:tab w:val="right" w:pos="8306"/>
      </w:tabs>
    </w:pPr>
  </w:style>
  <w:style w:type="paragraph" w:styleId="a9">
    <w:name w:val="footer"/>
    <w:basedOn w:val="a"/>
    <w:rsid w:val="000A444A"/>
    <w:pPr>
      <w:tabs>
        <w:tab w:val="center" w:pos="4153"/>
        <w:tab w:val="right" w:pos="8306"/>
      </w:tabs>
    </w:pPr>
  </w:style>
  <w:style w:type="paragraph" w:customStyle="1" w:styleId="HeadDivreiHesber">
    <w:name w:val="Head DivreiHesber"/>
    <w:basedOn w:val="a"/>
    <w:rsid w:val="000A444A"/>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0A444A"/>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0A444A"/>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character" w:customStyle="1" w:styleId="a5">
    <w:name w:val="טקסט הערת שוליים תו"/>
    <w:basedOn w:val="a0"/>
    <w:link w:val="a4"/>
    <w:semiHidden/>
    <w:rsid w:val="00F024BD"/>
    <w:rPr>
      <w:rFonts w:ascii="Arial" w:eastAsia="Arial Unicode MS" w:hAnsi="Arial" w:cs="David"/>
      <w:snapToGrid w:val="0"/>
      <w:color w:val="000000"/>
      <w:sz w:val="14"/>
      <w:lang w:eastAsia="ja-JP"/>
    </w:rPr>
  </w:style>
  <w:style w:type="character" w:styleId="Hyperlink">
    <w:name w:val="Hyperlink"/>
    <w:basedOn w:val="a0"/>
    <w:rsid w:val="00DB7765"/>
    <w:rPr>
      <w:color w:val="0000FF"/>
      <w:u w:val="single"/>
    </w:rPr>
  </w:style>
  <w:style w:type="character" w:customStyle="1" w:styleId="default">
    <w:name w:val="default"/>
    <w:basedOn w:val="a0"/>
    <w:rsid w:val="00DB776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B3A7F-6538-4890-8436-4107196353F1}"/>
</file>

<file path=customXml/itemProps2.xml><?xml version="1.0" encoding="utf-8"?>
<ds:datastoreItem xmlns:ds="http://schemas.openxmlformats.org/officeDocument/2006/customXml" ds:itemID="{88F4AFE3-9455-419C-8851-785A55F44517}"/>
</file>

<file path=customXml/itemProps3.xml><?xml version="1.0" encoding="utf-8"?>
<ds:datastoreItem xmlns:ds="http://schemas.openxmlformats.org/officeDocument/2006/customXml" ds:itemID="{53CDC32B-DD97-493E-9196-3EF77D6F9C7D}"/>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2046</Characters>
  <Application>Microsoft Office Word</Application>
  <DocSecurity>0</DocSecurity>
  <Lines>17</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subject/>
  <dc:creator>אסף גולדפרב</dc:creator>
  <cp:keywords/>
  <dc:description/>
  <cp:lastModifiedBy>לילך יעיש</cp:lastModifiedBy>
  <cp:revision>2</cp:revision>
  <cp:lastPrinted>2013-10-31T08:02:00Z</cp:lastPrinted>
  <dcterms:created xsi:type="dcterms:W3CDTF">2013-10-31T10:36:00Z</dcterms:created>
  <dcterms:modified xsi:type="dcterms:W3CDTF">2013-10-31T10:36:00Z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