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241B97" w:rsidRDefault="004033D8" w:rsidP="006C4D5A">
      <w:pPr>
        <w:pStyle w:val="HeadHatzaotHok"/>
        <w:jc w:val="right"/>
        <w:rPr>
          <w:b w:val="0"/>
          <w:bCs w:val="0"/>
          <w:sz w:val="17"/>
          <w:szCs w:val="17"/>
        </w:rPr>
      </w:pPr>
      <w:r w:rsidRPr="00241B97">
        <w:rPr>
          <w:rFonts w:hint="cs"/>
          <w:b w:val="0"/>
          <w:bCs w:val="0"/>
          <w:sz w:val="17"/>
          <w:szCs w:val="17"/>
          <w:rtl/>
        </w:rPr>
        <w:t xml:space="preserve">מספר פנימי: </w:t>
      </w:r>
      <w:bookmarkStart w:id="0" w:name="ItemID"/>
      <w:r w:rsidR="0000521C" w:rsidRPr="0000521C">
        <w:rPr>
          <w:b w:val="0"/>
          <w:bCs w:val="0"/>
          <w:sz w:val="17"/>
          <w:szCs w:val="17"/>
          <w:rtl/>
        </w:rPr>
        <w:t>487033</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00521C" w:rsidRPr="0000521C">
        <w:rPr>
          <w:sz w:val="28"/>
          <w:szCs w:val="28"/>
          <w:rtl/>
        </w:rPr>
        <w:t>התשע-עשרה</w:t>
      </w:r>
      <w:bookmarkEnd w:id="1"/>
    </w:p>
    <w:p w:rsidR="00E13C27" w:rsidRDefault="00E13C27" w:rsidP="00E13C27">
      <w:pPr>
        <w:rPr>
          <w:rFonts w:cs="David"/>
          <w:sz w:val="26"/>
          <w:szCs w:val="26"/>
          <w:rtl/>
        </w:rPr>
      </w:pPr>
    </w:p>
    <w:p w:rsidR="00E13C27" w:rsidRPr="0017165B" w:rsidRDefault="0000521C" w:rsidP="0091204F">
      <w:pPr>
        <w:pStyle w:val="David"/>
        <w:ind w:left="2880" w:firstLine="663"/>
        <w:rPr>
          <w:b/>
          <w:bCs/>
          <w:rtl/>
        </w:rPr>
      </w:pPr>
      <w:bookmarkStart w:id="2" w:name="MKsSingleOrMulti"/>
      <w:r w:rsidRPr="0017165B">
        <w:rPr>
          <w:b/>
          <w:bCs/>
          <w:rtl/>
        </w:rPr>
        <w:t>יוזם:           חבר הכנסת</w:t>
      </w:r>
      <w:bookmarkEnd w:id="2"/>
      <w:r w:rsidR="00B35784" w:rsidRPr="0017165B">
        <w:rPr>
          <w:b/>
          <w:bCs/>
        </w:rPr>
        <w:tab/>
      </w:r>
      <w:bookmarkStart w:id="3" w:name="MKs"/>
      <w:r w:rsidRPr="0017165B">
        <w:rPr>
          <w:b/>
          <w:bCs/>
          <w:rtl/>
        </w:rPr>
        <w:t>מיקי רוזנטל</w:t>
      </w:r>
      <w:bookmarkEnd w:id="3"/>
    </w:p>
    <w:p w:rsidR="00E13C27" w:rsidRDefault="0014195F" w:rsidP="00B35784">
      <w:pPr>
        <w:ind w:firstLine="3543"/>
        <w:rPr>
          <w:rFonts w:cs="David"/>
          <w:sz w:val="26"/>
          <w:szCs w:val="26"/>
          <w:rtl/>
        </w:rPr>
      </w:pPr>
      <w:r>
        <w:rPr>
          <w:noProof/>
          <w:rtl/>
          <w:lang w:eastAsia="en-US"/>
        </w:rPr>
        <mc:AlternateContent>
          <mc:Choice Requires="wps">
            <w:drawing>
              <wp:anchor distT="0" distB="0" distL="114300" distR="114300" simplePos="0" relativeHeight="251658240" behindDoc="0" locked="0" layoutInCell="1" allowOverlap="1" wp14:anchorId="25EA197B" wp14:editId="5CE95B32">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Pr>
          <w:rFonts w:cs="David" w:hint="cs"/>
          <w:sz w:val="26"/>
          <w:szCs w:val="26"/>
          <w:rtl/>
        </w:rPr>
        <w:tab/>
      </w:r>
      <w:bookmarkStart w:id="5" w:name="MKs1"/>
      <w:bookmarkEnd w:id="5"/>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8098B07" wp14:editId="1B0811B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8E7411" w:rsidRPr="008E7411">
        <w:rPr>
          <w:rFonts w:cs="David"/>
          <w:sz w:val="26"/>
          <w:szCs w:val="26"/>
          <w:rtl/>
        </w:rPr>
        <w:t>פ/1635/19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AE2B91" w:rsidP="0017165B">
      <w:pPr>
        <w:pStyle w:val="HeadHatzaotHok"/>
        <w:tabs>
          <w:tab w:val="left" w:pos="4071"/>
          <w:tab w:val="center" w:pos="4819"/>
        </w:tabs>
        <w:spacing w:before="0"/>
        <w:rPr>
          <w:rFonts w:hint="cs"/>
          <w:sz w:val="26"/>
          <w:rtl/>
        </w:rPr>
      </w:pPr>
      <w:bookmarkStart w:id="7" w:name="Title"/>
      <w:r w:rsidRPr="00AE2B91">
        <w:rPr>
          <w:sz w:val="26"/>
          <w:rtl/>
        </w:rPr>
        <w:t xml:space="preserve">הצעת חוק העונשין (תיקון </w:t>
      </w:r>
      <w:r w:rsidR="0017165B">
        <w:rPr>
          <w:rFonts w:hint="cs"/>
          <w:sz w:val="26"/>
          <w:rtl/>
        </w:rPr>
        <w:t>–</w:t>
      </w:r>
      <w:r w:rsidRPr="00AE2B91">
        <w:rPr>
          <w:sz w:val="26"/>
          <w:rtl/>
        </w:rPr>
        <w:t xml:space="preserve"> עבירות המתה ורשלנות), </w:t>
      </w:r>
      <w:proofErr w:type="spellStart"/>
      <w:r w:rsidRPr="00AE2B91">
        <w:rPr>
          <w:sz w:val="26"/>
          <w:rtl/>
        </w:rPr>
        <w:t>התשע"ג</w:t>
      </w:r>
      <w:proofErr w:type="spellEnd"/>
      <w:r w:rsidR="0017165B">
        <w:rPr>
          <w:rFonts w:hint="cs"/>
          <w:sz w:val="26"/>
          <w:rtl/>
        </w:rPr>
        <w:t>–</w:t>
      </w:r>
      <w:r w:rsidRPr="00AE2B91">
        <w:rPr>
          <w:sz w:val="26"/>
          <w:rtl/>
        </w:rPr>
        <w:t>2013</w:t>
      </w:r>
      <w:bookmarkEnd w:id="7"/>
    </w:p>
    <w:p w:rsidR="00D923E5" w:rsidRDefault="00D923E5" w:rsidP="0017165B">
      <w:pPr>
        <w:pStyle w:val="HeadHatzaotHok"/>
        <w:tabs>
          <w:tab w:val="left" w:pos="4071"/>
          <w:tab w:val="center" w:pos="4819"/>
        </w:tabs>
        <w:spacing w:before="0"/>
        <w:rPr>
          <w:sz w:val="26"/>
          <w:rtl/>
        </w:rPr>
      </w:pPr>
    </w:p>
    <w:tbl>
      <w:tblPr>
        <w:bidiVisual/>
        <w:tblW w:w="9636"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624"/>
        <w:gridCol w:w="3399"/>
      </w:tblGrid>
      <w:tr w:rsidR="0017165B" w:rsidRPr="004F3393" w:rsidTr="001A6EAE">
        <w:trPr>
          <w:cantSplit/>
        </w:trPr>
        <w:tc>
          <w:tcPr>
            <w:tcW w:w="1869" w:type="dxa"/>
            <w:tcBorders>
              <w:top w:val="nil"/>
              <w:left w:val="nil"/>
              <w:bottom w:val="nil"/>
              <w:right w:val="nil"/>
            </w:tcBorders>
          </w:tcPr>
          <w:p w:rsidR="0017165B" w:rsidRPr="004F3393" w:rsidRDefault="0017165B" w:rsidP="009F6490">
            <w:pPr>
              <w:pStyle w:val="TableSideHeading"/>
              <w:ind w:right="0"/>
            </w:pPr>
            <w:r>
              <w:rPr>
                <w:rtl/>
              </w:rPr>
              <w:t xml:space="preserve">תיקון </w:t>
            </w:r>
            <w:r w:rsidRPr="004F3393">
              <w:rPr>
                <w:rtl/>
              </w:rPr>
              <w:t xml:space="preserve">סעיף </w:t>
            </w:r>
            <w:r>
              <w:rPr>
                <w:rFonts w:hint="cs"/>
                <w:rtl/>
              </w:rPr>
              <w:t>21</w:t>
            </w:r>
          </w:p>
        </w:tc>
        <w:tc>
          <w:tcPr>
            <w:tcW w:w="624" w:type="dxa"/>
            <w:tcBorders>
              <w:top w:val="nil"/>
              <w:left w:val="nil"/>
              <w:bottom w:val="nil"/>
              <w:right w:val="nil"/>
            </w:tcBorders>
          </w:tcPr>
          <w:p w:rsidR="0017165B" w:rsidRPr="004F3393" w:rsidRDefault="0017165B" w:rsidP="009F6490">
            <w:pPr>
              <w:pStyle w:val="TableText"/>
              <w:ind w:right="0"/>
              <w:jc w:val="both"/>
            </w:pPr>
            <w:r w:rsidRPr="004F3393">
              <w:rPr>
                <w:rtl/>
              </w:rPr>
              <w:t>1.</w:t>
            </w:r>
          </w:p>
        </w:tc>
        <w:tc>
          <w:tcPr>
            <w:tcW w:w="7143" w:type="dxa"/>
            <w:gridSpan w:val="7"/>
            <w:tcBorders>
              <w:top w:val="nil"/>
              <w:left w:val="nil"/>
              <w:bottom w:val="nil"/>
              <w:right w:val="nil"/>
            </w:tcBorders>
          </w:tcPr>
          <w:p w:rsidR="0017165B" w:rsidRPr="004F3393" w:rsidRDefault="0017165B" w:rsidP="00AC63B1">
            <w:pPr>
              <w:pStyle w:val="TableBlock"/>
            </w:pPr>
            <w:r>
              <w:rPr>
                <w:rFonts w:hint="cs"/>
                <w:rtl/>
              </w:rPr>
              <w:t xml:space="preserve">בחוק העונשין, </w:t>
            </w:r>
            <w:proofErr w:type="spellStart"/>
            <w:r>
              <w:rPr>
                <w:rFonts w:hint="cs"/>
                <w:rtl/>
              </w:rPr>
              <w:t>התשל"ז</w:t>
            </w:r>
            <w:proofErr w:type="spellEnd"/>
            <w:r>
              <w:rPr>
                <w:rFonts w:hint="eastAsia"/>
                <w:rtl/>
              </w:rPr>
              <w:t>–</w:t>
            </w:r>
            <w:r>
              <w:rPr>
                <w:rFonts w:hint="cs"/>
                <w:rtl/>
              </w:rPr>
              <w:t>1977</w:t>
            </w:r>
            <w:r>
              <w:rPr>
                <w:rStyle w:val="a6"/>
                <w:rtl/>
              </w:rPr>
              <w:footnoteReference w:id="2"/>
            </w:r>
            <w:r>
              <w:rPr>
                <w:rFonts w:hint="cs"/>
                <w:rtl/>
              </w:rPr>
              <w:t xml:space="preserve"> (להלן </w:t>
            </w:r>
            <w:r>
              <w:rPr>
                <w:rtl/>
              </w:rPr>
              <w:t>–</w:t>
            </w:r>
            <w:r>
              <w:rPr>
                <w:rFonts w:hint="cs"/>
                <w:rtl/>
              </w:rPr>
              <w:t xml:space="preserve"> החוק העיקרי), בסעיף 21(א)</w:t>
            </w:r>
            <w:r w:rsidR="00AC63B1">
              <w:rPr>
                <w:rFonts w:hint="cs"/>
                <w:rtl/>
              </w:rPr>
              <w:t>, במקום פסקה (2)</w:t>
            </w:r>
            <w:r>
              <w:rPr>
                <w:rFonts w:hint="cs"/>
                <w:rtl/>
              </w:rPr>
              <w:t xml:space="preserve"> יבוא:</w:t>
            </w:r>
          </w:p>
        </w:tc>
      </w:tr>
      <w:tr w:rsidR="0017165B" w:rsidRPr="004F3393" w:rsidTr="001A6EAE">
        <w:trPr>
          <w:cantSplit/>
        </w:trPr>
        <w:tc>
          <w:tcPr>
            <w:tcW w:w="1869" w:type="dxa"/>
            <w:tcBorders>
              <w:top w:val="nil"/>
              <w:left w:val="nil"/>
              <w:bottom w:val="nil"/>
              <w:right w:val="nil"/>
            </w:tcBorders>
          </w:tcPr>
          <w:p w:rsidR="0017165B" w:rsidRDefault="0017165B" w:rsidP="009F6490">
            <w:pPr>
              <w:pStyle w:val="TableSideHeading"/>
              <w:ind w:right="0"/>
              <w:rPr>
                <w:rtl/>
              </w:rPr>
            </w:pPr>
          </w:p>
        </w:tc>
        <w:tc>
          <w:tcPr>
            <w:tcW w:w="624" w:type="dxa"/>
            <w:tcBorders>
              <w:top w:val="nil"/>
              <w:left w:val="nil"/>
              <w:bottom w:val="nil"/>
              <w:right w:val="nil"/>
            </w:tcBorders>
          </w:tcPr>
          <w:p w:rsidR="0017165B" w:rsidRPr="004F3393" w:rsidRDefault="0017165B" w:rsidP="009F6490">
            <w:pPr>
              <w:pStyle w:val="TableText"/>
              <w:rPr>
                <w:rtl/>
              </w:rPr>
            </w:pPr>
          </w:p>
        </w:tc>
        <w:tc>
          <w:tcPr>
            <w:tcW w:w="7143" w:type="dxa"/>
            <w:gridSpan w:val="7"/>
            <w:tcBorders>
              <w:top w:val="nil"/>
              <w:left w:val="nil"/>
              <w:bottom w:val="nil"/>
              <w:right w:val="nil"/>
            </w:tcBorders>
          </w:tcPr>
          <w:p w:rsidR="0017165B" w:rsidRDefault="0017165B" w:rsidP="001A6EAE">
            <w:pPr>
              <w:pStyle w:val="TableBlock"/>
              <w:rPr>
                <w:rtl/>
              </w:rPr>
            </w:pPr>
            <w:r>
              <w:rPr>
                <w:rFonts w:hint="cs"/>
                <w:rtl/>
              </w:rPr>
              <w:t>"(2)</w:t>
            </w:r>
            <w:r>
              <w:rPr>
                <w:rtl/>
              </w:rPr>
              <w:tab/>
            </w:r>
            <w:r w:rsidRPr="00931350">
              <w:rPr>
                <w:rFonts w:hint="cs"/>
                <w:rtl/>
              </w:rPr>
              <w:t>בעבירות</w:t>
            </w:r>
            <w:r w:rsidRPr="00931350">
              <w:rPr>
                <w:rtl/>
              </w:rPr>
              <w:t xml:space="preserve"> </w:t>
            </w:r>
            <w:r w:rsidRPr="00931350">
              <w:rPr>
                <w:rFonts w:hint="cs"/>
                <w:rtl/>
              </w:rPr>
              <w:t>בהן</w:t>
            </w:r>
            <w:r w:rsidRPr="00931350">
              <w:rPr>
                <w:rtl/>
              </w:rPr>
              <w:t xml:space="preserve"> </w:t>
            </w:r>
            <w:r w:rsidRPr="00931350">
              <w:rPr>
                <w:rFonts w:hint="cs"/>
                <w:rtl/>
              </w:rPr>
              <w:t>מנויה</w:t>
            </w:r>
            <w:r w:rsidRPr="00931350">
              <w:rPr>
                <w:rtl/>
              </w:rPr>
              <w:t xml:space="preserve"> </w:t>
            </w:r>
            <w:r w:rsidRPr="00931350">
              <w:rPr>
                <w:rFonts w:hint="cs"/>
                <w:rtl/>
              </w:rPr>
              <w:t>תוצאה</w:t>
            </w:r>
            <w:r w:rsidRPr="00931350">
              <w:rPr>
                <w:rtl/>
              </w:rPr>
              <w:t xml:space="preserve"> </w:t>
            </w:r>
            <w:r w:rsidRPr="00931350">
              <w:rPr>
                <w:rFonts w:hint="cs"/>
                <w:rtl/>
              </w:rPr>
              <w:t>או</w:t>
            </w:r>
            <w:r w:rsidRPr="00931350">
              <w:rPr>
                <w:rtl/>
              </w:rPr>
              <w:t xml:space="preserve"> </w:t>
            </w:r>
            <w:r w:rsidRPr="00931350">
              <w:rPr>
                <w:rFonts w:hint="cs"/>
                <w:rtl/>
              </w:rPr>
              <w:t>סכנה</w:t>
            </w:r>
            <w:r w:rsidRPr="00931350">
              <w:rPr>
                <w:rtl/>
              </w:rPr>
              <w:t xml:space="preserve"> – </w:t>
            </w:r>
            <w:r w:rsidRPr="00931350">
              <w:rPr>
                <w:rFonts w:hint="cs"/>
                <w:rtl/>
              </w:rPr>
              <w:t>שבמעשהו</w:t>
            </w:r>
            <w:r w:rsidRPr="00931350">
              <w:rPr>
                <w:rtl/>
              </w:rPr>
              <w:t xml:space="preserve"> </w:t>
            </w:r>
            <w:r w:rsidRPr="00931350">
              <w:rPr>
                <w:rFonts w:hint="cs"/>
                <w:rtl/>
              </w:rPr>
              <w:t>יצר</w:t>
            </w:r>
            <w:r w:rsidRPr="00931350">
              <w:rPr>
                <w:rtl/>
              </w:rPr>
              <w:t xml:space="preserve"> </w:t>
            </w:r>
            <w:r w:rsidRPr="00931350">
              <w:rPr>
                <w:rFonts w:hint="cs"/>
                <w:rtl/>
              </w:rPr>
              <w:t>העושה</w:t>
            </w:r>
            <w:r w:rsidRPr="00931350">
              <w:rPr>
                <w:rtl/>
              </w:rPr>
              <w:t xml:space="preserve"> </w:t>
            </w:r>
            <w:r w:rsidRPr="00931350">
              <w:rPr>
                <w:rFonts w:hint="cs"/>
                <w:rtl/>
              </w:rPr>
              <w:t>סיכון</w:t>
            </w:r>
            <w:r w:rsidRPr="00931350">
              <w:rPr>
                <w:rtl/>
              </w:rPr>
              <w:t xml:space="preserve"> </w:t>
            </w:r>
            <w:r w:rsidRPr="00931350">
              <w:rPr>
                <w:rFonts w:hint="cs"/>
                <w:rtl/>
              </w:rPr>
              <w:t>בלתי</w:t>
            </w:r>
            <w:r w:rsidRPr="00931350">
              <w:rPr>
                <w:rtl/>
              </w:rPr>
              <w:t xml:space="preserve"> </w:t>
            </w:r>
            <w:r w:rsidRPr="00931350">
              <w:rPr>
                <w:rFonts w:hint="cs"/>
                <w:rtl/>
              </w:rPr>
              <w:t>סביר</w:t>
            </w:r>
            <w:r w:rsidRPr="00931350">
              <w:rPr>
                <w:rtl/>
              </w:rPr>
              <w:t xml:space="preserve"> </w:t>
            </w:r>
            <w:r w:rsidRPr="00931350">
              <w:rPr>
                <w:rFonts w:hint="cs"/>
                <w:rtl/>
              </w:rPr>
              <w:t>להתרחשות</w:t>
            </w:r>
            <w:r w:rsidRPr="00931350">
              <w:rPr>
                <w:rtl/>
              </w:rPr>
              <w:t xml:space="preserve"> </w:t>
            </w:r>
            <w:r w:rsidRPr="00931350">
              <w:rPr>
                <w:rFonts w:hint="cs"/>
                <w:rtl/>
              </w:rPr>
              <w:t>התוצאה</w:t>
            </w:r>
            <w:r w:rsidRPr="00931350">
              <w:rPr>
                <w:rtl/>
              </w:rPr>
              <w:t xml:space="preserve"> </w:t>
            </w:r>
            <w:r w:rsidRPr="00931350">
              <w:rPr>
                <w:rFonts w:hint="cs"/>
                <w:rtl/>
              </w:rPr>
              <w:t>או</w:t>
            </w:r>
            <w:r w:rsidRPr="00931350">
              <w:rPr>
                <w:rtl/>
              </w:rPr>
              <w:t xml:space="preserve"> </w:t>
            </w:r>
            <w:r w:rsidRPr="00931350">
              <w:rPr>
                <w:rFonts w:hint="cs"/>
                <w:rtl/>
              </w:rPr>
              <w:t>הסכנה</w:t>
            </w:r>
            <w:r w:rsidRPr="00931350">
              <w:rPr>
                <w:rtl/>
              </w:rPr>
              <w:t xml:space="preserve"> </w:t>
            </w:r>
            <w:r w:rsidRPr="00931350">
              <w:rPr>
                <w:rFonts w:hint="cs"/>
                <w:rtl/>
              </w:rPr>
              <w:t>האמורות</w:t>
            </w:r>
            <w:r w:rsidRPr="00931350">
              <w:rPr>
                <w:rtl/>
              </w:rPr>
              <w:t>;"</w:t>
            </w:r>
            <w:r w:rsidR="00AC63B1">
              <w:rPr>
                <w:rFonts w:hint="cs"/>
                <w:rtl/>
              </w:rPr>
              <w:t>.</w:t>
            </w:r>
          </w:p>
        </w:tc>
      </w:tr>
      <w:tr w:rsidR="0017165B" w:rsidRPr="004F3393" w:rsidTr="001A6EAE">
        <w:trPr>
          <w:cantSplit/>
        </w:trPr>
        <w:tc>
          <w:tcPr>
            <w:tcW w:w="1869" w:type="dxa"/>
            <w:tcBorders>
              <w:top w:val="nil"/>
              <w:left w:val="nil"/>
              <w:bottom w:val="nil"/>
              <w:right w:val="nil"/>
            </w:tcBorders>
          </w:tcPr>
          <w:p w:rsidR="0017165B" w:rsidRDefault="0017165B" w:rsidP="009F6490">
            <w:pPr>
              <w:pStyle w:val="TableSideHeading"/>
              <w:ind w:right="0"/>
              <w:rPr>
                <w:rtl/>
              </w:rPr>
            </w:pPr>
            <w:r>
              <w:rPr>
                <w:rFonts w:hint="cs"/>
                <w:rtl/>
              </w:rPr>
              <w:t>תיקון סעיף 35א</w:t>
            </w:r>
          </w:p>
        </w:tc>
        <w:tc>
          <w:tcPr>
            <w:tcW w:w="624" w:type="dxa"/>
            <w:tcBorders>
              <w:top w:val="nil"/>
              <w:left w:val="nil"/>
              <w:bottom w:val="nil"/>
              <w:right w:val="nil"/>
            </w:tcBorders>
          </w:tcPr>
          <w:p w:rsidR="0017165B" w:rsidRPr="004F3393" w:rsidRDefault="0017165B" w:rsidP="009F6490">
            <w:pPr>
              <w:pStyle w:val="TableText"/>
              <w:rPr>
                <w:rtl/>
              </w:rPr>
            </w:pPr>
            <w:r>
              <w:rPr>
                <w:rFonts w:hint="cs"/>
                <w:rtl/>
              </w:rPr>
              <w:t>2.</w:t>
            </w:r>
          </w:p>
        </w:tc>
        <w:tc>
          <w:tcPr>
            <w:tcW w:w="7143" w:type="dxa"/>
            <w:gridSpan w:val="7"/>
            <w:tcBorders>
              <w:top w:val="nil"/>
              <w:left w:val="nil"/>
              <w:bottom w:val="nil"/>
              <w:right w:val="nil"/>
            </w:tcBorders>
          </w:tcPr>
          <w:p w:rsidR="0017165B" w:rsidRDefault="0017165B" w:rsidP="001A6EAE">
            <w:pPr>
              <w:pStyle w:val="TableBlock"/>
              <w:rPr>
                <w:rtl/>
              </w:rPr>
            </w:pPr>
            <w:r>
              <w:rPr>
                <w:rFonts w:hint="cs"/>
                <w:rtl/>
              </w:rPr>
              <w:t>בסעיף 35א(ב) לחוק העיקרי, במקום פסקה (1) יבוא:</w:t>
            </w:r>
          </w:p>
        </w:tc>
      </w:tr>
      <w:tr w:rsidR="0017165B" w:rsidRPr="004F3393" w:rsidTr="001A6EAE">
        <w:trPr>
          <w:cantSplit/>
        </w:trPr>
        <w:tc>
          <w:tcPr>
            <w:tcW w:w="1869" w:type="dxa"/>
            <w:tcBorders>
              <w:top w:val="nil"/>
              <w:left w:val="nil"/>
              <w:bottom w:val="nil"/>
              <w:right w:val="nil"/>
            </w:tcBorders>
          </w:tcPr>
          <w:p w:rsidR="0017165B" w:rsidRDefault="0017165B" w:rsidP="009F6490">
            <w:pPr>
              <w:pStyle w:val="TableSideHeading"/>
              <w:ind w:right="0"/>
              <w:rPr>
                <w:rtl/>
              </w:rPr>
            </w:pPr>
          </w:p>
        </w:tc>
        <w:tc>
          <w:tcPr>
            <w:tcW w:w="624" w:type="dxa"/>
            <w:tcBorders>
              <w:top w:val="nil"/>
              <w:left w:val="nil"/>
              <w:bottom w:val="nil"/>
              <w:right w:val="nil"/>
            </w:tcBorders>
          </w:tcPr>
          <w:p w:rsidR="0017165B" w:rsidRDefault="0017165B" w:rsidP="009F6490">
            <w:pPr>
              <w:pStyle w:val="TableText"/>
              <w:rPr>
                <w:rtl/>
              </w:rPr>
            </w:pPr>
          </w:p>
        </w:tc>
        <w:tc>
          <w:tcPr>
            <w:tcW w:w="7143" w:type="dxa"/>
            <w:gridSpan w:val="7"/>
            <w:tcBorders>
              <w:top w:val="nil"/>
              <w:left w:val="nil"/>
              <w:bottom w:val="nil"/>
              <w:right w:val="nil"/>
            </w:tcBorders>
          </w:tcPr>
          <w:p w:rsidR="0017165B" w:rsidRDefault="0017165B" w:rsidP="001A6EAE">
            <w:pPr>
              <w:pStyle w:val="TableBlock"/>
              <w:rPr>
                <w:rtl/>
              </w:rPr>
            </w:pPr>
            <w:r>
              <w:rPr>
                <w:rFonts w:hint="cs"/>
                <w:rtl/>
              </w:rPr>
              <w:t>"(1)</w:t>
            </w:r>
            <w:r>
              <w:rPr>
                <w:rtl/>
              </w:rPr>
              <w:tab/>
            </w:r>
            <w:r>
              <w:rPr>
                <w:rFonts w:hint="cs"/>
                <w:rtl/>
              </w:rPr>
              <w:t>עבירת רצח בנסיבות מחמירות לפי סעיף 301א(א);"</w:t>
            </w:r>
            <w:r w:rsidR="00AC63B1">
              <w:rPr>
                <w:rFonts w:hint="cs"/>
                <w:rtl/>
              </w:rPr>
              <w:t>.</w:t>
            </w:r>
          </w:p>
        </w:tc>
      </w:tr>
      <w:tr w:rsidR="0017165B" w:rsidRPr="004F3393" w:rsidTr="001A6EAE">
        <w:trPr>
          <w:cantSplit/>
        </w:trPr>
        <w:tc>
          <w:tcPr>
            <w:tcW w:w="1869" w:type="dxa"/>
            <w:tcBorders>
              <w:top w:val="nil"/>
              <w:left w:val="nil"/>
              <w:bottom w:val="nil"/>
              <w:right w:val="nil"/>
            </w:tcBorders>
          </w:tcPr>
          <w:p w:rsidR="0017165B" w:rsidRDefault="0017165B" w:rsidP="009F6490">
            <w:pPr>
              <w:pStyle w:val="TableSideHeading"/>
              <w:ind w:right="0"/>
              <w:rPr>
                <w:rtl/>
              </w:rPr>
            </w:pPr>
            <w:r>
              <w:rPr>
                <w:rFonts w:hint="cs"/>
                <w:rtl/>
              </w:rPr>
              <w:t>ביטול סעיף 298</w:t>
            </w:r>
          </w:p>
        </w:tc>
        <w:tc>
          <w:tcPr>
            <w:tcW w:w="624" w:type="dxa"/>
            <w:tcBorders>
              <w:top w:val="nil"/>
              <w:left w:val="nil"/>
              <w:bottom w:val="nil"/>
              <w:right w:val="nil"/>
            </w:tcBorders>
          </w:tcPr>
          <w:p w:rsidR="0017165B" w:rsidRDefault="0017165B" w:rsidP="009F6490">
            <w:pPr>
              <w:pStyle w:val="TableText"/>
              <w:rPr>
                <w:rtl/>
              </w:rPr>
            </w:pPr>
            <w:r>
              <w:rPr>
                <w:rFonts w:hint="cs"/>
                <w:rtl/>
              </w:rPr>
              <w:t>3.</w:t>
            </w:r>
          </w:p>
        </w:tc>
        <w:tc>
          <w:tcPr>
            <w:tcW w:w="7143" w:type="dxa"/>
            <w:gridSpan w:val="7"/>
            <w:tcBorders>
              <w:top w:val="nil"/>
              <w:left w:val="nil"/>
              <w:bottom w:val="nil"/>
              <w:right w:val="nil"/>
            </w:tcBorders>
          </w:tcPr>
          <w:p w:rsidR="0017165B" w:rsidRDefault="0017165B" w:rsidP="001A6EAE">
            <w:pPr>
              <w:pStyle w:val="TableBlock"/>
              <w:rPr>
                <w:rtl/>
              </w:rPr>
            </w:pPr>
            <w:r>
              <w:rPr>
                <w:rFonts w:hint="cs"/>
                <w:rtl/>
              </w:rPr>
              <w:t>סעיף 298 לחוק העיקרי – בטל.</w:t>
            </w:r>
          </w:p>
        </w:tc>
      </w:tr>
      <w:tr w:rsidR="0017165B" w:rsidRPr="004F3393" w:rsidTr="001A6EAE">
        <w:trPr>
          <w:cantSplit/>
        </w:trPr>
        <w:tc>
          <w:tcPr>
            <w:tcW w:w="1869" w:type="dxa"/>
            <w:tcBorders>
              <w:top w:val="nil"/>
              <w:left w:val="nil"/>
              <w:bottom w:val="nil"/>
              <w:right w:val="nil"/>
            </w:tcBorders>
          </w:tcPr>
          <w:p w:rsidR="0017165B" w:rsidRDefault="00AC63B1" w:rsidP="009F6490">
            <w:pPr>
              <w:pStyle w:val="TableSideHeading"/>
              <w:ind w:right="0"/>
              <w:rPr>
                <w:rtl/>
              </w:rPr>
            </w:pPr>
            <w:r>
              <w:rPr>
                <w:rFonts w:hint="cs"/>
                <w:rtl/>
              </w:rPr>
              <w:t>תיקון סעיף 300</w:t>
            </w:r>
          </w:p>
        </w:tc>
        <w:tc>
          <w:tcPr>
            <w:tcW w:w="624" w:type="dxa"/>
            <w:tcBorders>
              <w:top w:val="nil"/>
              <w:left w:val="nil"/>
              <w:bottom w:val="nil"/>
              <w:right w:val="nil"/>
            </w:tcBorders>
          </w:tcPr>
          <w:p w:rsidR="0017165B" w:rsidRDefault="0017165B" w:rsidP="009F6490">
            <w:pPr>
              <w:pStyle w:val="TableText"/>
              <w:rPr>
                <w:rtl/>
              </w:rPr>
            </w:pPr>
            <w:r>
              <w:rPr>
                <w:rFonts w:hint="cs"/>
                <w:rtl/>
              </w:rPr>
              <w:t>4.</w:t>
            </w:r>
          </w:p>
        </w:tc>
        <w:tc>
          <w:tcPr>
            <w:tcW w:w="7143" w:type="dxa"/>
            <w:gridSpan w:val="7"/>
            <w:tcBorders>
              <w:top w:val="nil"/>
              <w:left w:val="nil"/>
              <w:bottom w:val="nil"/>
              <w:right w:val="nil"/>
            </w:tcBorders>
          </w:tcPr>
          <w:p w:rsidR="0017165B" w:rsidRDefault="0017165B" w:rsidP="00AC63B1">
            <w:pPr>
              <w:pStyle w:val="TableBlock"/>
              <w:rPr>
                <w:rtl/>
              </w:rPr>
            </w:pPr>
            <w:r>
              <w:rPr>
                <w:rFonts w:hint="cs"/>
                <w:rtl/>
              </w:rPr>
              <w:t>בסעיף 300 לחוק העיקרי</w:t>
            </w:r>
            <w:r w:rsidR="00AC63B1">
              <w:rPr>
                <w:rFonts w:hint="cs"/>
                <w:rtl/>
              </w:rPr>
              <w:t>, במקום סעיף קטן (א)</w:t>
            </w:r>
            <w:r>
              <w:rPr>
                <w:rFonts w:hint="cs"/>
                <w:rtl/>
              </w:rPr>
              <w:t xml:space="preserve"> יבוא:</w:t>
            </w:r>
          </w:p>
        </w:tc>
      </w:tr>
      <w:tr w:rsidR="0017165B" w:rsidRPr="004F3393" w:rsidTr="001A6EAE">
        <w:trPr>
          <w:cantSplit/>
        </w:trPr>
        <w:tc>
          <w:tcPr>
            <w:tcW w:w="1869" w:type="dxa"/>
            <w:tcBorders>
              <w:top w:val="nil"/>
              <w:left w:val="nil"/>
              <w:bottom w:val="nil"/>
              <w:right w:val="nil"/>
            </w:tcBorders>
          </w:tcPr>
          <w:p w:rsidR="0017165B" w:rsidRDefault="0017165B" w:rsidP="009F6490">
            <w:pPr>
              <w:pStyle w:val="TableSideHeading"/>
              <w:ind w:right="0"/>
              <w:rPr>
                <w:rtl/>
              </w:rPr>
            </w:pPr>
          </w:p>
        </w:tc>
        <w:tc>
          <w:tcPr>
            <w:tcW w:w="624" w:type="dxa"/>
            <w:tcBorders>
              <w:top w:val="nil"/>
              <w:left w:val="nil"/>
              <w:bottom w:val="nil"/>
              <w:right w:val="nil"/>
            </w:tcBorders>
          </w:tcPr>
          <w:p w:rsidR="0017165B" w:rsidRDefault="0017165B" w:rsidP="009F6490">
            <w:pPr>
              <w:pStyle w:val="TableText"/>
              <w:rPr>
                <w:rtl/>
              </w:rPr>
            </w:pPr>
          </w:p>
        </w:tc>
        <w:tc>
          <w:tcPr>
            <w:tcW w:w="7143" w:type="dxa"/>
            <w:gridSpan w:val="7"/>
            <w:tcBorders>
              <w:top w:val="nil"/>
              <w:left w:val="nil"/>
              <w:bottom w:val="nil"/>
              <w:right w:val="nil"/>
            </w:tcBorders>
          </w:tcPr>
          <w:p w:rsidR="0017165B" w:rsidRDefault="0017165B" w:rsidP="001A6EAE">
            <w:pPr>
              <w:pStyle w:val="TableBlock"/>
              <w:rPr>
                <w:rtl/>
              </w:rPr>
            </w:pPr>
            <w:r>
              <w:rPr>
                <w:rFonts w:hint="cs"/>
                <w:rtl/>
              </w:rPr>
              <w:t>"(א)</w:t>
            </w:r>
            <w:r>
              <w:rPr>
                <w:rtl/>
              </w:rPr>
              <w:tab/>
            </w:r>
            <w:r>
              <w:rPr>
                <w:rFonts w:hint="cs"/>
                <w:rtl/>
              </w:rPr>
              <w:t xml:space="preserve">הגורם בכוונה או באדישות למותו של אדם, דינו </w:t>
            </w:r>
            <w:r>
              <w:rPr>
                <w:rtl/>
              </w:rPr>
              <w:t>–</w:t>
            </w:r>
            <w:r>
              <w:rPr>
                <w:rFonts w:hint="cs"/>
                <w:rtl/>
              </w:rPr>
              <w:t xml:space="preserve"> מאסר עולם."</w:t>
            </w:r>
          </w:p>
        </w:tc>
      </w:tr>
      <w:tr w:rsidR="0017165B" w:rsidRPr="004F3393" w:rsidTr="001A6EAE">
        <w:trPr>
          <w:cantSplit/>
        </w:trPr>
        <w:tc>
          <w:tcPr>
            <w:tcW w:w="1869" w:type="dxa"/>
            <w:tcBorders>
              <w:top w:val="nil"/>
              <w:left w:val="nil"/>
              <w:bottom w:val="nil"/>
              <w:right w:val="nil"/>
            </w:tcBorders>
          </w:tcPr>
          <w:p w:rsidR="0017165B" w:rsidRDefault="0017165B" w:rsidP="009F6490">
            <w:pPr>
              <w:pStyle w:val="TableSideHeading"/>
              <w:ind w:right="0"/>
              <w:rPr>
                <w:rtl/>
              </w:rPr>
            </w:pPr>
            <w:r>
              <w:rPr>
                <w:rFonts w:hint="cs"/>
                <w:rtl/>
              </w:rPr>
              <w:t xml:space="preserve">ביטול סעיפים </w:t>
            </w:r>
            <w:r w:rsidR="00C15B94">
              <w:rPr>
                <w:rtl/>
              </w:rPr>
              <w:br/>
            </w:r>
            <w:r>
              <w:rPr>
                <w:rFonts w:hint="cs"/>
                <w:rtl/>
              </w:rPr>
              <w:t>300א ו-301</w:t>
            </w:r>
          </w:p>
        </w:tc>
        <w:tc>
          <w:tcPr>
            <w:tcW w:w="624" w:type="dxa"/>
            <w:tcBorders>
              <w:top w:val="nil"/>
              <w:left w:val="nil"/>
              <w:bottom w:val="nil"/>
              <w:right w:val="nil"/>
            </w:tcBorders>
          </w:tcPr>
          <w:p w:rsidR="0017165B" w:rsidRDefault="0017165B" w:rsidP="009F6490">
            <w:pPr>
              <w:pStyle w:val="TableText"/>
              <w:rPr>
                <w:rtl/>
              </w:rPr>
            </w:pPr>
            <w:r>
              <w:rPr>
                <w:rFonts w:hint="cs"/>
                <w:rtl/>
              </w:rPr>
              <w:t>5.</w:t>
            </w:r>
          </w:p>
        </w:tc>
        <w:tc>
          <w:tcPr>
            <w:tcW w:w="7143" w:type="dxa"/>
            <w:gridSpan w:val="7"/>
            <w:tcBorders>
              <w:top w:val="nil"/>
              <w:left w:val="nil"/>
              <w:bottom w:val="nil"/>
              <w:right w:val="nil"/>
            </w:tcBorders>
          </w:tcPr>
          <w:p w:rsidR="0017165B" w:rsidRDefault="0017165B" w:rsidP="001A6EAE">
            <w:pPr>
              <w:pStyle w:val="TableBlock"/>
              <w:rPr>
                <w:rtl/>
              </w:rPr>
            </w:pPr>
            <w:r>
              <w:rPr>
                <w:rFonts w:hint="cs"/>
                <w:rtl/>
              </w:rPr>
              <w:t>סעיפים 300א ו-301 לחוק העיקרי – בטלים.</w:t>
            </w:r>
          </w:p>
        </w:tc>
      </w:tr>
      <w:tr w:rsidR="0017165B" w:rsidRPr="004F3393" w:rsidTr="001A6EAE">
        <w:trPr>
          <w:cantSplit/>
        </w:trPr>
        <w:tc>
          <w:tcPr>
            <w:tcW w:w="1869" w:type="dxa"/>
            <w:tcBorders>
              <w:top w:val="nil"/>
              <w:left w:val="nil"/>
              <w:bottom w:val="nil"/>
              <w:right w:val="nil"/>
            </w:tcBorders>
          </w:tcPr>
          <w:p w:rsidR="0017165B" w:rsidRPr="00931350" w:rsidRDefault="0017165B" w:rsidP="009F6490">
            <w:pPr>
              <w:pStyle w:val="TableSideHeading"/>
              <w:ind w:right="0"/>
              <w:rPr>
                <w:rtl/>
              </w:rPr>
            </w:pPr>
            <w:r>
              <w:rPr>
                <w:rFonts w:hint="cs"/>
                <w:rtl/>
              </w:rPr>
              <w:t>הוספת סעיפים 301א עד 301ד</w:t>
            </w:r>
          </w:p>
        </w:tc>
        <w:tc>
          <w:tcPr>
            <w:tcW w:w="624" w:type="dxa"/>
            <w:tcBorders>
              <w:top w:val="nil"/>
              <w:left w:val="nil"/>
              <w:bottom w:val="nil"/>
              <w:right w:val="nil"/>
            </w:tcBorders>
          </w:tcPr>
          <w:p w:rsidR="0017165B" w:rsidRDefault="0017165B" w:rsidP="009F6490">
            <w:pPr>
              <w:pStyle w:val="TableText"/>
              <w:rPr>
                <w:rtl/>
              </w:rPr>
            </w:pPr>
            <w:r>
              <w:rPr>
                <w:rFonts w:hint="cs"/>
                <w:rtl/>
              </w:rPr>
              <w:t>6.</w:t>
            </w:r>
          </w:p>
        </w:tc>
        <w:tc>
          <w:tcPr>
            <w:tcW w:w="7143" w:type="dxa"/>
            <w:gridSpan w:val="7"/>
            <w:tcBorders>
              <w:top w:val="nil"/>
              <w:left w:val="nil"/>
              <w:bottom w:val="nil"/>
              <w:right w:val="nil"/>
            </w:tcBorders>
          </w:tcPr>
          <w:p w:rsidR="0017165B" w:rsidRDefault="0017165B" w:rsidP="001A6EAE">
            <w:pPr>
              <w:pStyle w:val="TableBlock"/>
              <w:rPr>
                <w:rtl/>
              </w:rPr>
            </w:pPr>
            <w:r>
              <w:rPr>
                <w:rFonts w:hint="cs"/>
                <w:rtl/>
              </w:rPr>
              <w:t xml:space="preserve">אחרי סעיף 301 לחוק </w:t>
            </w:r>
            <w:r w:rsidR="00AC63B1">
              <w:rPr>
                <w:rFonts w:hint="cs"/>
                <w:rtl/>
              </w:rPr>
              <w:t>העיקרי יבוא:</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pPr>
            <w:r>
              <w:rPr>
                <w:rFonts w:hint="cs"/>
                <w:rtl/>
              </w:rPr>
              <w:t>"רצח בנסיבות מחמירות</w:t>
            </w:r>
          </w:p>
        </w:tc>
        <w:tc>
          <w:tcPr>
            <w:tcW w:w="624" w:type="dxa"/>
          </w:tcPr>
          <w:p w:rsidR="0017165B" w:rsidRDefault="0017165B" w:rsidP="009F6490">
            <w:pPr>
              <w:pStyle w:val="TableText"/>
            </w:pPr>
            <w:r>
              <w:rPr>
                <w:rFonts w:hint="cs"/>
                <w:rtl/>
              </w:rPr>
              <w:t>301א.</w:t>
            </w:r>
          </w:p>
        </w:tc>
        <w:tc>
          <w:tcPr>
            <w:tcW w:w="4647" w:type="dxa"/>
            <w:gridSpan w:val="3"/>
          </w:tcPr>
          <w:p w:rsidR="0017165B" w:rsidRDefault="0017165B" w:rsidP="001A6EAE">
            <w:pPr>
              <w:pStyle w:val="TableBlock"/>
            </w:pPr>
            <w:r>
              <w:rPr>
                <w:rFonts w:hint="cs"/>
                <w:rtl/>
              </w:rPr>
              <w:t>(א)</w:t>
            </w:r>
            <w:r>
              <w:rPr>
                <w:rtl/>
              </w:rPr>
              <w:tab/>
            </w:r>
            <w:r>
              <w:rPr>
                <w:rFonts w:hint="cs"/>
                <w:rtl/>
              </w:rPr>
              <w:t xml:space="preserve">העובר עבירת </w:t>
            </w:r>
            <w:r w:rsidRPr="006A206B">
              <w:rPr>
                <w:rFonts w:hint="cs"/>
                <w:rtl/>
              </w:rPr>
              <w:t>רצח לפי סעיף 300 באחת</w:t>
            </w:r>
            <w:r>
              <w:rPr>
                <w:rFonts w:hint="cs"/>
                <w:rtl/>
              </w:rPr>
              <w:t xml:space="preserve"> מן הנסיבות המפורטות להלן, דינו </w:t>
            </w:r>
            <w:r>
              <w:rPr>
                <w:rtl/>
              </w:rPr>
              <w:t>–</w:t>
            </w:r>
            <w:r>
              <w:rPr>
                <w:rFonts w:hint="cs"/>
                <w:rtl/>
              </w:rPr>
              <w:t xml:space="preserve"> מאסר עולם ועונש זה בלבד:</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pPr>
            <w:r>
              <w:rPr>
                <w:rFonts w:hint="cs"/>
                <w:rtl/>
              </w:rPr>
              <w:t>(1)</w:t>
            </w:r>
            <w:r>
              <w:rPr>
                <w:rtl/>
              </w:rPr>
              <w:tab/>
            </w:r>
            <w:r>
              <w:rPr>
                <w:rFonts w:hint="cs"/>
                <w:rtl/>
              </w:rPr>
              <w:t>המעשה נעשה לאחר תכנון או לאחר הליך ממשי של שקילה וגיבוש החלטה להמית;</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(2)</w:t>
            </w:r>
            <w:r>
              <w:rPr>
                <w:rtl/>
              </w:rPr>
              <w:tab/>
            </w:r>
            <w:r w:rsidRPr="00D57014">
              <w:rPr>
                <w:rFonts w:hint="cs"/>
                <w:rtl/>
              </w:rPr>
              <w:t xml:space="preserve">המעשה </w:t>
            </w:r>
            <w:r>
              <w:rPr>
                <w:rFonts w:hint="cs"/>
                <w:rtl/>
              </w:rPr>
              <w:t>נעשה</w:t>
            </w:r>
            <w:r w:rsidRPr="00D57014">
              <w:rPr>
                <w:rFonts w:hint="cs"/>
                <w:rtl/>
              </w:rPr>
              <w:t xml:space="preserve"> במטרה לאפשר או להקל על ביצוע עבירה אחרת, או במטרה לכסות על ביצועה של עבירה אחרת, או במטרה להימלט מן הדין לאחר ביצוע העבירה האחרת;</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(3)</w:t>
            </w:r>
            <w:r>
              <w:rPr>
                <w:rtl/>
              </w:rPr>
              <w:tab/>
            </w:r>
            <w:r>
              <w:rPr>
                <w:rFonts w:hint="cs"/>
                <w:rtl/>
              </w:rPr>
              <w:t>הקורבן הוא עד במשפט פלילי או מי שצפוי למסור עדות במשפט פלילי והמעשה נעשה במטרה למנוע או להכשיל חקירה או הליך משפטי;</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(4)</w:t>
            </w:r>
            <w:r>
              <w:rPr>
                <w:rtl/>
              </w:rPr>
              <w:tab/>
            </w:r>
            <w:r>
              <w:rPr>
                <w:rFonts w:hint="cs"/>
                <w:rtl/>
              </w:rPr>
              <w:t xml:space="preserve">המעשה נעשה במטרה לעורר פחד או בהלה בציבור או במטרה להניע ממשלה או רשות שלטונית אחרת, לרבות ממשלה או רשות שלטונית של מדינה זרה לעשות מעשה או להימנע מעשיית מעשה;  </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(5)</w:t>
            </w:r>
            <w:r>
              <w:rPr>
                <w:rtl/>
              </w:rPr>
              <w:tab/>
            </w:r>
            <w:r>
              <w:rPr>
                <w:rFonts w:hint="cs"/>
                <w:rtl/>
              </w:rPr>
              <w:t>המעשה נעשה מתוך מניע של גזענות או עוינות כלפי ציבור, כאמור בסעיף 144ו;</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(6)</w:t>
            </w:r>
            <w:r>
              <w:rPr>
                <w:rtl/>
              </w:rPr>
              <w:tab/>
            </w:r>
            <w:r>
              <w:rPr>
                <w:rFonts w:hint="cs"/>
                <w:rtl/>
              </w:rPr>
              <w:t xml:space="preserve">המעשה נעשה כפעולה </w:t>
            </w:r>
            <w:proofErr w:type="spellStart"/>
            <w:r>
              <w:rPr>
                <w:rFonts w:hint="cs"/>
                <w:rtl/>
              </w:rPr>
              <w:t>עונשית</w:t>
            </w:r>
            <w:proofErr w:type="spellEnd"/>
            <w:r>
              <w:rPr>
                <w:rFonts w:hint="cs"/>
                <w:rtl/>
              </w:rPr>
              <w:t xml:space="preserve"> במטרה להטיל מרות או מורא ולכפות אורחות התנהגות על ציבור;</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(7)</w:t>
            </w:r>
            <w:r>
              <w:rPr>
                <w:rtl/>
              </w:rPr>
              <w:tab/>
            </w:r>
            <w:r>
              <w:rPr>
                <w:rFonts w:hint="cs"/>
                <w:rtl/>
              </w:rPr>
              <w:t xml:space="preserve">המעשה נעשה </w:t>
            </w:r>
            <w:r w:rsidRPr="00DF742F">
              <w:rPr>
                <w:rFonts w:hint="cs"/>
                <w:rtl/>
              </w:rPr>
              <w:t xml:space="preserve">באכזריות </w:t>
            </w:r>
            <w:r>
              <w:rPr>
                <w:rFonts w:hint="cs"/>
                <w:rtl/>
              </w:rPr>
              <w:t>מיוחדת או תוך התעללות גופנית או נפשית בקורבן;</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(8)</w:t>
            </w:r>
            <w:r>
              <w:rPr>
                <w:rtl/>
              </w:rPr>
              <w:tab/>
            </w:r>
            <w:r>
              <w:rPr>
                <w:rFonts w:hint="cs"/>
                <w:rtl/>
              </w:rPr>
              <w:t xml:space="preserve">הקורבן הוא קטין שעובר העבירה אחראי עליו; לעניין זה, "אחראי על קטין" </w:t>
            </w:r>
            <w:r>
              <w:rPr>
                <w:rtl/>
              </w:rPr>
              <w:t>–</w:t>
            </w:r>
            <w:r>
              <w:rPr>
                <w:rFonts w:hint="cs"/>
                <w:rtl/>
              </w:rPr>
              <w:t xml:space="preserve"> כהגדרתו בסעיף 368א;</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8F2B88" w:rsidP="001A6EAE">
            <w:pPr>
              <w:pStyle w:val="TableBlock"/>
              <w:rPr>
                <w:rtl/>
              </w:rPr>
            </w:pPr>
            <w:r>
              <w:rPr>
                <w:rFonts w:hint="cs"/>
                <w:rtl/>
              </w:rPr>
              <w:t>(9)</w:t>
            </w:r>
            <w:r>
              <w:rPr>
                <w:rtl/>
              </w:rPr>
              <w:tab/>
            </w:r>
            <w:r w:rsidR="0017165B">
              <w:rPr>
                <w:rFonts w:hint="cs"/>
                <w:rtl/>
              </w:rPr>
              <w:t xml:space="preserve">הקורבן הוא חסר ישע; לעניין זה "חסר ישע" </w:t>
            </w:r>
            <w:r w:rsidR="0017165B">
              <w:rPr>
                <w:rtl/>
              </w:rPr>
              <w:t>–</w:t>
            </w:r>
            <w:r w:rsidR="0017165B">
              <w:rPr>
                <w:rFonts w:hint="cs"/>
                <w:rtl/>
              </w:rPr>
              <w:t xml:space="preserve"> כהגדרתו בסעיף 368א;</w:t>
            </w:r>
          </w:p>
        </w:tc>
      </w:tr>
      <w:tr w:rsidR="0017165B" w:rsidTr="001A6EAE">
        <w:tblPrEx>
          <w:tblLook w:val="01E0" w:firstRow="1" w:lastRow="1" w:firstColumn="1" w:lastColumn="1" w:noHBand="0" w:noVBand="0"/>
        </w:tblPrEx>
        <w:trPr>
          <w:cantSplit/>
        </w:trPr>
        <w:tc>
          <w:tcPr>
            <w:tcW w:w="1869" w:type="dxa"/>
          </w:tcPr>
          <w:p w:rsidR="0017165B" w:rsidRPr="008F2B88"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(10)</w:t>
            </w:r>
            <w:r>
              <w:rPr>
                <w:rtl/>
              </w:rPr>
              <w:tab/>
            </w:r>
            <w:r w:rsidRPr="00DF742F">
              <w:rPr>
                <w:rFonts w:hint="cs"/>
                <w:rtl/>
              </w:rPr>
              <w:t>הק</w:t>
            </w:r>
            <w:r>
              <w:rPr>
                <w:rFonts w:hint="cs"/>
                <w:rtl/>
              </w:rPr>
              <w:t>ו</w:t>
            </w:r>
            <w:r w:rsidRPr="00DF742F">
              <w:rPr>
                <w:rFonts w:hint="cs"/>
                <w:rtl/>
              </w:rPr>
              <w:t xml:space="preserve">רבן הוא נשיא המדינה, חבר </w:t>
            </w:r>
            <w:r>
              <w:rPr>
                <w:rFonts w:hint="cs"/>
                <w:rtl/>
              </w:rPr>
              <w:t>ה</w:t>
            </w:r>
            <w:r w:rsidRPr="00DF742F">
              <w:rPr>
                <w:rFonts w:hint="cs"/>
                <w:rtl/>
              </w:rPr>
              <w:t xml:space="preserve">ממשלה, חבר </w:t>
            </w:r>
            <w:r>
              <w:rPr>
                <w:rFonts w:hint="cs"/>
                <w:rtl/>
              </w:rPr>
              <w:t>ה</w:t>
            </w:r>
            <w:r w:rsidRPr="00DF742F">
              <w:rPr>
                <w:rFonts w:hint="cs"/>
                <w:rtl/>
              </w:rPr>
              <w:t>כנסת, ראש רשות מקומית</w:t>
            </w:r>
            <w:r>
              <w:rPr>
                <w:rFonts w:hint="cs"/>
                <w:rtl/>
              </w:rPr>
              <w:t>,</w:t>
            </w:r>
            <w:r w:rsidRPr="00DF742F">
              <w:rPr>
                <w:rFonts w:hint="cs"/>
                <w:rtl/>
              </w:rPr>
              <w:t xml:space="preserve"> והכל אם המעשה נעשה בקשר למילוי תפקידו</w:t>
            </w:r>
            <w:r>
              <w:rPr>
                <w:rFonts w:hint="cs"/>
                <w:rtl/>
              </w:rPr>
              <w:t>;</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(11)</w:t>
            </w:r>
            <w:r>
              <w:rPr>
                <w:rtl/>
              </w:rPr>
              <w:tab/>
            </w:r>
            <w:r w:rsidRPr="000865B3">
              <w:rPr>
                <w:rFonts w:hint="cs"/>
                <w:rtl/>
              </w:rPr>
              <w:t xml:space="preserve">המעשה בוצע תוך יצירת סכנה ממשית לפגיעה חמורה בגופו של אדם </w:t>
            </w:r>
            <w:r>
              <w:rPr>
                <w:rFonts w:hint="cs"/>
                <w:rtl/>
              </w:rPr>
              <w:t xml:space="preserve">נוסף </w:t>
            </w:r>
            <w:r w:rsidRPr="000865B3">
              <w:rPr>
                <w:rFonts w:hint="cs"/>
                <w:rtl/>
              </w:rPr>
              <w:t>מלבד הקורבן</w:t>
            </w:r>
            <w:r>
              <w:rPr>
                <w:rFonts w:hint="cs"/>
                <w:rtl/>
              </w:rPr>
              <w:t>;</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rPr>
                <w:rtl/>
              </w:rPr>
            </w:pPr>
            <w:r>
              <w:rPr>
                <w:rFonts w:hint="cs"/>
                <w:rtl/>
              </w:rPr>
              <w:t>(12)</w:t>
            </w:r>
            <w:r>
              <w:rPr>
                <w:rtl/>
              </w:rPr>
              <w:tab/>
            </w:r>
            <w:r>
              <w:rPr>
                <w:rFonts w:hint="cs"/>
                <w:rtl/>
              </w:rPr>
              <w:t xml:space="preserve">המעשה בוצע במסגרת </w:t>
            </w:r>
            <w:r w:rsidRPr="00AB3DC2">
              <w:rPr>
                <w:rFonts w:hint="cs"/>
                <w:rtl/>
              </w:rPr>
              <w:t xml:space="preserve">פעילותו של ארגון פשיעה או ארגון טרור ולשם קידום מטרות </w:t>
            </w:r>
            <w:r>
              <w:rPr>
                <w:rFonts w:hint="cs"/>
                <w:rtl/>
              </w:rPr>
              <w:t xml:space="preserve">אותו </w:t>
            </w:r>
            <w:r w:rsidRPr="00AB3DC2">
              <w:rPr>
                <w:rFonts w:hint="cs"/>
                <w:rtl/>
              </w:rPr>
              <w:t>ארגון;</w:t>
            </w:r>
            <w:r w:rsidR="001B73B5">
              <w:rPr>
                <w:rFonts w:hint="cs"/>
                <w:rtl/>
              </w:rPr>
              <w:t xml:space="preserve"> בפסקה זו </w:t>
            </w:r>
            <w:r w:rsidR="001B73B5">
              <w:rPr>
                <w:rFonts w:hint="eastAsia"/>
                <w:rtl/>
              </w:rPr>
              <w:t>–</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3399" w:type="dxa"/>
          </w:tcPr>
          <w:p w:rsidR="0017165B" w:rsidRPr="008F2B88" w:rsidRDefault="0017165B" w:rsidP="008F2B88">
            <w:pPr>
              <w:pStyle w:val="TableBlockOutdent"/>
            </w:pPr>
            <w:r w:rsidRPr="008F2B88">
              <w:rPr>
                <w:rFonts w:hint="cs"/>
                <w:rtl/>
              </w:rPr>
              <w:t xml:space="preserve">"ארגון פשיעה" </w:t>
            </w:r>
            <w:r w:rsidRPr="008F2B88">
              <w:rPr>
                <w:rtl/>
              </w:rPr>
              <w:t>–</w:t>
            </w:r>
            <w:r w:rsidRPr="008F2B88">
              <w:rPr>
                <w:rFonts w:hint="cs"/>
                <w:rtl/>
              </w:rPr>
              <w:t xml:space="preserve"> כהגדרתו בסעיף 1 לחוק מאבק בארגוני פשיעה, </w:t>
            </w:r>
            <w:proofErr w:type="spellStart"/>
            <w:r w:rsidRPr="008F2B88">
              <w:rPr>
                <w:rFonts w:hint="cs"/>
                <w:rtl/>
              </w:rPr>
              <w:t>התשס"ג</w:t>
            </w:r>
            <w:proofErr w:type="spellEnd"/>
            <w:r w:rsidR="001B73B5" w:rsidRPr="008F2B88">
              <w:rPr>
                <w:rFonts w:hint="eastAsia"/>
                <w:rtl/>
              </w:rPr>
              <w:t>–</w:t>
            </w:r>
            <w:r w:rsidRPr="008F2B88">
              <w:rPr>
                <w:rFonts w:hint="cs"/>
                <w:rtl/>
              </w:rPr>
              <w:t>2003</w:t>
            </w:r>
            <w:r w:rsidRPr="00D923E5">
              <w:rPr>
                <w:szCs w:val="20"/>
                <w:rtl/>
              </w:rPr>
              <w:footnoteReference w:id="3"/>
            </w:r>
            <w:r w:rsidRPr="008F2B88">
              <w:rPr>
                <w:rFonts w:hint="cs"/>
                <w:rtl/>
              </w:rPr>
              <w:t>;</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3399" w:type="dxa"/>
          </w:tcPr>
          <w:p w:rsidR="0017165B" w:rsidRPr="008F2B88" w:rsidRDefault="0017165B" w:rsidP="008F2B88">
            <w:pPr>
              <w:pStyle w:val="TableBlockOutdent"/>
              <w:rPr>
                <w:rtl/>
              </w:rPr>
            </w:pPr>
            <w:r w:rsidRPr="008F2B88">
              <w:rPr>
                <w:rtl/>
              </w:rPr>
              <w:t>"</w:t>
            </w:r>
            <w:r w:rsidRPr="008F2B88">
              <w:rPr>
                <w:rFonts w:hint="cs"/>
                <w:rtl/>
              </w:rPr>
              <w:t xml:space="preserve">ארגון טרור" </w:t>
            </w:r>
            <w:r w:rsidR="001B73B5" w:rsidRPr="008F2B88">
              <w:rPr>
                <w:rFonts w:hint="eastAsia"/>
                <w:rtl/>
              </w:rPr>
              <w:t>–</w:t>
            </w:r>
            <w:r w:rsidRPr="008F2B88">
              <w:rPr>
                <w:rFonts w:hint="cs"/>
                <w:rtl/>
              </w:rPr>
              <w:t xml:space="preserve"> כהגדרתו בסעיף 1 לחוק איסור מימון טרור, </w:t>
            </w:r>
            <w:proofErr w:type="spellStart"/>
            <w:r w:rsidRPr="00D923E5">
              <w:rPr>
                <w:rFonts w:hint="cs"/>
                <w:spacing w:val="-4"/>
                <w:rtl/>
              </w:rPr>
              <w:t>התשס"ה</w:t>
            </w:r>
            <w:proofErr w:type="spellEnd"/>
            <w:r w:rsidR="001B73B5" w:rsidRPr="00D923E5">
              <w:rPr>
                <w:rFonts w:hint="eastAsia"/>
                <w:spacing w:val="-4"/>
                <w:rtl/>
              </w:rPr>
              <w:t>–</w:t>
            </w:r>
            <w:r w:rsidRPr="00D923E5">
              <w:rPr>
                <w:rFonts w:hint="cs"/>
                <w:spacing w:val="-4"/>
                <w:rtl/>
              </w:rPr>
              <w:t>2005</w:t>
            </w:r>
            <w:r w:rsidRPr="00D923E5">
              <w:rPr>
                <w:spacing w:val="-4"/>
                <w:sz w:val="22"/>
                <w:szCs w:val="22"/>
                <w:rtl/>
              </w:rPr>
              <w:footnoteReference w:id="4"/>
            </w:r>
            <w:r w:rsidRPr="00D923E5">
              <w:rPr>
                <w:rFonts w:hint="cs"/>
                <w:spacing w:val="-4"/>
                <w:rtl/>
              </w:rPr>
              <w:t>, לרבות</w:t>
            </w:r>
            <w:r w:rsidRPr="008F2B88">
              <w:rPr>
                <w:rFonts w:hint="cs"/>
                <w:rtl/>
              </w:rPr>
              <w:t xml:space="preserve"> ארגון טרור מוכרז כהגדרתו באותו סעיף;</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1A6EAE">
            <w:pPr>
              <w:pStyle w:val="TableBlock"/>
            </w:pPr>
            <w:r>
              <w:rPr>
                <w:rFonts w:hint="cs"/>
                <w:rtl/>
              </w:rPr>
              <w:t>(13)</w:t>
            </w:r>
            <w:r>
              <w:rPr>
                <w:rtl/>
              </w:rPr>
              <w:tab/>
            </w:r>
            <w:r>
              <w:rPr>
                <w:rFonts w:hint="cs"/>
                <w:rtl/>
              </w:rPr>
              <w:t>המעשה בוצע לשם סיפוק יצר המין או לשם סיפוק תאווה להמית.</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1A6EAE">
            <w:pPr>
              <w:pStyle w:val="TableBlock"/>
            </w:pPr>
            <w:r>
              <w:rPr>
                <w:rFonts w:hint="cs"/>
                <w:rtl/>
              </w:rPr>
              <w:t>(ב)</w:t>
            </w:r>
            <w:r>
              <w:rPr>
                <w:rtl/>
              </w:rPr>
              <w:tab/>
            </w:r>
            <w:r>
              <w:rPr>
                <w:rFonts w:hint="cs"/>
                <w:rtl/>
              </w:rPr>
              <w:t xml:space="preserve">על אף האמור בסעיף קטן (א), רשאי בית המשפט להרשיע את העושה בעבירת רצח </w:t>
            </w:r>
            <w:r w:rsidRPr="006A206B">
              <w:rPr>
                <w:rFonts w:hint="cs"/>
                <w:rtl/>
              </w:rPr>
              <w:t>לפי סעיף 300,</w:t>
            </w:r>
            <w:r>
              <w:rPr>
                <w:rFonts w:hint="cs"/>
                <w:rtl/>
              </w:rPr>
              <w:t xml:space="preserve"> אם מצא</w:t>
            </w:r>
            <w:r w:rsidRPr="00110EEF">
              <w:rPr>
                <w:rFonts w:hint="cs"/>
                <w:rtl/>
              </w:rPr>
              <w:t>, מנימוקים מיוחדים שיירשמו,</w:t>
            </w:r>
            <w:r>
              <w:rPr>
                <w:rFonts w:hint="cs"/>
                <w:rtl/>
              </w:rPr>
              <w:t xml:space="preserve"> שהתקיימו נסיבות מיוחדות שבגינן המעשה אינו מבטא דרגה גבוהה במיוחד של אשמה.</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pPr>
            <w:r>
              <w:rPr>
                <w:rFonts w:hint="cs"/>
                <w:rtl/>
              </w:rPr>
              <w:t>המתה באחריות מופחתת</w:t>
            </w:r>
          </w:p>
        </w:tc>
        <w:tc>
          <w:tcPr>
            <w:tcW w:w="624" w:type="dxa"/>
          </w:tcPr>
          <w:p w:rsidR="0017165B" w:rsidRDefault="0017165B" w:rsidP="009F6490">
            <w:pPr>
              <w:pStyle w:val="TableText"/>
            </w:pPr>
            <w:r>
              <w:rPr>
                <w:rFonts w:hint="cs"/>
                <w:rtl/>
              </w:rPr>
              <w:t>301ב.</w:t>
            </w:r>
          </w:p>
        </w:tc>
        <w:tc>
          <w:tcPr>
            <w:tcW w:w="4647" w:type="dxa"/>
            <w:gridSpan w:val="3"/>
          </w:tcPr>
          <w:p w:rsidR="0017165B" w:rsidRDefault="0017165B" w:rsidP="001A6EAE">
            <w:pPr>
              <w:pStyle w:val="TableBlock"/>
            </w:pPr>
            <w:r>
              <w:rPr>
                <w:rFonts w:hint="cs"/>
                <w:rtl/>
              </w:rPr>
              <w:t xml:space="preserve">על אף האמור בסעיפים 300 ו-301א, הגורם למותו של אדם באחת מהנסיבות המפורטות להלן, דינו </w:t>
            </w:r>
            <w:r>
              <w:rPr>
                <w:rtl/>
              </w:rPr>
              <w:t>–</w:t>
            </w:r>
            <w:r>
              <w:rPr>
                <w:rFonts w:hint="cs"/>
                <w:rtl/>
              </w:rPr>
              <w:t>מאסר עשרים שנים:</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8F2B88">
            <w:pPr>
              <w:pStyle w:val="TableBlock"/>
            </w:pPr>
            <w:r>
              <w:rPr>
                <w:rFonts w:hint="cs"/>
                <w:rtl/>
              </w:rPr>
              <w:t>(</w:t>
            </w:r>
            <w:r w:rsidR="008F2B88">
              <w:rPr>
                <w:rFonts w:hint="cs"/>
                <w:rtl/>
              </w:rPr>
              <w:t>1</w:t>
            </w:r>
            <w:r>
              <w:rPr>
                <w:rFonts w:hint="cs"/>
                <w:rtl/>
              </w:rPr>
              <w:t>)</w:t>
            </w:r>
            <w:r>
              <w:rPr>
                <w:rtl/>
              </w:rPr>
              <w:tab/>
            </w:r>
            <w:r>
              <w:rPr>
                <w:rFonts w:hint="cs"/>
                <w:rtl/>
              </w:rPr>
              <w:t>המעשה בוצע בתכוף לאחר התגרות כלפי ה</w:t>
            </w:r>
            <w:r w:rsidR="00AC63B1">
              <w:rPr>
                <w:rFonts w:hint="cs"/>
                <w:rtl/>
              </w:rPr>
              <w:t xml:space="preserve">נאשם ובתגובה לאותה התגרות, וכן </w:t>
            </w:r>
            <w:r w:rsidR="00AC63B1">
              <w:rPr>
                <w:rFonts w:hint="eastAsia"/>
                <w:rtl/>
              </w:rPr>
              <w:t>–</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8F2B88">
            <w:pPr>
              <w:pStyle w:val="TableBlock"/>
            </w:pPr>
            <w:r>
              <w:rPr>
                <w:rFonts w:hint="cs"/>
                <w:rtl/>
              </w:rPr>
              <w:t>(</w:t>
            </w:r>
            <w:r w:rsidR="008F2B88">
              <w:rPr>
                <w:rFonts w:hint="cs"/>
                <w:rtl/>
              </w:rPr>
              <w:t>א</w:t>
            </w:r>
            <w:r>
              <w:rPr>
                <w:rFonts w:hint="cs"/>
                <w:rtl/>
              </w:rPr>
              <w:t>)</w:t>
            </w:r>
            <w:r>
              <w:rPr>
                <w:rtl/>
              </w:rPr>
              <w:tab/>
            </w:r>
            <w:r>
              <w:rPr>
                <w:rFonts w:hint="cs"/>
                <w:rtl/>
              </w:rPr>
              <w:t>בעקבות ההתגרות הנאשם התקשה קושי רב לשלוט בעצמו;</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8F2B88">
            <w:pPr>
              <w:pStyle w:val="TableBlock"/>
              <w:rPr>
                <w:rtl/>
              </w:rPr>
            </w:pPr>
            <w:r>
              <w:rPr>
                <w:rFonts w:hint="cs"/>
                <w:rtl/>
              </w:rPr>
              <w:t>(</w:t>
            </w:r>
            <w:r w:rsidR="008F2B88">
              <w:rPr>
                <w:rFonts w:hint="cs"/>
                <w:rtl/>
              </w:rPr>
              <w:t>ב</w:t>
            </w:r>
            <w:r>
              <w:rPr>
                <w:rFonts w:hint="cs"/>
                <w:rtl/>
              </w:rPr>
              <w:t>)</w:t>
            </w:r>
            <w:r>
              <w:rPr>
                <w:rtl/>
              </w:rPr>
              <w:tab/>
            </w:r>
            <w:r>
              <w:rPr>
                <w:rFonts w:hint="cs"/>
                <w:rtl/>
              </w:rPr>
              <w:t>יש בקושי כאמור בפסק</w:t>
            </w:r>
            <w:r w:rsidR="008F2B88">
              <w:rPr>
                <w:rFonts w:hint="cs"/>
                <w:rtl/>
              </w:rPr>
              <w:t>ת משנה</w:t>
            </w:r>
            <w:r>
              <w:rPr>
                <w:rFonts w:hint="cs"/>
                <w:rtl/>
              </w:rPr>
              <w:t xml:space="preserve"> (</w:t>
            </w:r>
            <w:r w:rsidR="008F2B88">
              <w:rPr>
                <w:rFonts w:hint="cs"/>
                <w:rtl/>
              </w:rPr>
              <w:t>א</w:t>
            </w:r>
            <w:r>
              <w:rPr>
                <w:rFonts w:hint="cs"/>
                <w:rtl/>
              </w:rPr>
              <w:t>) כדי למתן את אשמתו, בשים לב למכלול נסיבות המקרה;</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8F2B88">
            <w:pPr>
              <w:pStyle w:val="TableBlock"/>
            </w:pPr>
            <w:r>
              <w:rPr>
                <w:rFonts w:hint="cs"/>
                <w:rtl/>
              </w:rPr>
              <w:t>(</w:t>
            </w:r>
            <w:r w:rsidR="008F2B88">
              <w:rPr>
                <w:rFonts w:hint="cs"/>
                <w:rtl/>
              </w:rPr>
              <w:t>2</w:t>
            </w:r>
            <w:r>
              <w:rPr>
                <w:rFonts w:hint="cs"/>
                <w:rtl/>
              </w:rPr>
              <w:t>)</w:t>
            </w:r>
            <w:r>
              <w:rPr>
                <w:rtl/>
              </w:rPr>
              <w:tab/>
            </w:r>
            <w:r>
              <w:rPr>
                <w:rFonts w:hint="cs"/>
                <w:rtl/>
              </w:rPr>
              <w:t>המעשה נעשה כשהנאשם היה נתון במצב של מצוקה נפשית קשה, עקב התעללות חמורה ומתמשכת בו או בבן משפחתו, בידי מי שהנאשם גרם למותו;</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8F2B88">
            <w:pPr>
              <w:pStyle w:val="TableBlock"/>
              <w:rPr>
                <w:rtl/>
              </w:rPr>
            </w:pPr>
            <w:r>
              <w:rPr>
                <w:rFonts w:hint="cs"/>
                <w:rtl/>
              </w:rPr>
              <w:t>(</w:t>
            </w:r>
            <w:r w:rsidR="008F2B88">
              <w:rPr>
                <w:rFonts w:hint="cs"/>
                <w:rtl/>
              </w:rPr>
              <w:t>3</w:t>
            </w:r>
            <w:r>
              <w:rPr>
                <w:rFonts w:hint="cs"/>
                <w:rtl/>
              </w:rPr>
              <w:t>)</w:t>
            </w:r>
            <w:r>
              <w:rPr>
                <w:rtl/>
              </w:rPr>
              <w:tab/>
            </w:r>
            <w:r w:rsidRPr="004217FD">
              <w:rPr>
                <w:rFonts w:hint="cs"/>
                <w:rtl/>
              </w:rPr>
              <w:t xml:space="preserve">במצב שבו, בשל הפרעה </w:t>
            </w:r>
            <w:r w:rsidRPr="00AB3DC2">
              <w:rPr>
                <w:rFonts w:hint="cs"/>
                <w:rtl/>
              </w:rPr>
              <w:t>נפשית חמורה</w:t>
            </w:r>
            <w:r>
              <w:rPr>
                <w:rFonts w:hint="cs"/>
                <w:rtl/>
              </w:rPr>
              <w:t xml:space="preserve"> </w:t>
            </w:r>
            <w:r w:rsidRPr="004217FD">
              <w:rPr>
                <w:rFonts w:hint="cs"/>
                <w:rtl/>
              </w:rPr>
              <w:t xml:space="preserve">או בשל ליקוי בכושרו השכלי, הוגבלה יכולתו של הנאשם במידה ניכרת, אך לא עד כדי </w:t>
            </w:r>
            <w:r w:rsidRPr="008145A4">
              <w:rPr>
                <w:rFonts w:hint="cs"/>
                <w:rtl/>
              </w:rPr>
              <w:t>חוסר</w:t>
            </w:r>
            <w:r w:rsidR="00AC63B1">
              <w:rPr>
                <w:rFonts w:hint="cs"/>
                <w:rtl/>
              </w:rPr>
              <w:t xml:space="preserve"> יכולת של ממש כאמור בסעיף 34ח </w:t>
            </w:r>
            <w:r w:rsidR="00AC63B1">
              <w:rPr>
                <w:rFonts w:hint="eastAsia"/>
                <w:rtl/>
              </w:rPr>
              <w:t>–</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8F2B88">
            <w:pPr>
              <w:pStyle w:val="TableBlock"/>
            </w:pPr>
            <w:r>
              <w:rPr>
                <w:rFonts w:hint="cs"/>
                <w:rtl/>
              </w:rPr>
              <w:t>(</w:t>
            </w:r>
            <w:r w:rsidR="008F2B88">
              <w:rPr>
                <w:rFonts w:hint="cs"/>
                <w:rtl/>
              </w:rPr>
              <w:t>א</w:t>
            </w:r>
            <w:r>
              <w:rPr>
                <w:rFonts w:hint="cs"/>
                <w:rtl/>
              </w:rPr>
              <w:t>)</w:t>
            </w:r>
            <w:r>
              <w:rPr>
                <w:rtl/>
              </w:rPr>
              <w:tab/>
            </w:r>
            <w:r w:rsidRPr="004217FD">
              <w:rPr>
                <w:rFonts w:hint="cs"/>
                <w:rtl/>
              </w:rPr>
              <w:t>להבין את אשר הוא עושה או את הפסול שבמעשהו; או</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023" w:type="dxa"/>
            <w:gridSpan w:val="2"/>
          </w:tcPr>
          <w:p w:rsidR="0017165B" w:rsidRDefault="0017165B" w:rsidP="008F2B88">
            <w:pPr>
              <w:pStyle w:val="TableBlock"/>
              <w:rPr>
                <w:rtl/>
              </w:rPr>
            </w:pPr>
            <w:r>
              <w:rPr>
                <w:rFonts w:hint="cs"/>
                <w:rtl/>
              </w:rPr>
              <w:t>(</w:t>
            </w:r>
            <w:r w:rsidR="008F2B88">
              <w:rPr>
                <w:rFonts w:hint="cs"/>
                <w:rtl/>
              </w:rPr>
              <w:t>ב</w:t>
            </w:r>
            <w:r>
              <w:rPr>
                <w:rFonts w:hint="cs"/>
                <w:rtl/>
              </w:rPr>
              <w:t>)</w:t>
            </w:r>
            <w:r>
              <w:rPr>
                <w:rtl/>
              </w:rPr>
              <w:tab/>
            </w:r>
            <w:r w:rsidRPr="004217FD">
              <w:rPr>
                <w:rFonts w:hint="cs"/>
                <w:rtl/>
              </w:rPr>
              <w:t>להימנע מעשיית המעשה;</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8F2B88">
            <w:pPr>
              <w:pStyle w:val="TableBlock"/>
            </w:pPr>
            <w:r>
              <w:rPr>
                <w:rFonts w:hint="cs"/>
                <w:rtl/>
              </w:rPr>
              <w:t>(</w:t>
            </w:r>
            <w:r w:rsidR="008F2B88">
              <w:rPr>
                <w:rFonts w:hint="cs"/>
                <w:rtl/>
              </w:rPr>
              <w:t>4</w:t>
            </w:r>
            <w:r>
              <w:rPr>
                <w:rFonts w:hint="cs"/>
                <w:rtl/>
              </w:rPr>
              <w:t>)</w:t>
            </w:r>
            <w:r>
              <w:rPr>
                <w:rtl/>
              </w:rPr>
              <w:tab/>
            </w:r>
            <w:r>
              <w:rPr>
                <w:rFonts w:hint="cs"/>
                <w:rtl/>
              </w:rPr>
              <w:t>במצב שבו מעשהו של הנאשם חרג במידה מועטה מסייג לאחריות לפי סעיפים 34י, 34יא, ו-34יב, ובנסיבות שיש בהן כדי למתן את אשמתו;</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8F2B88">
            <w:pPr>
              <w:pStyle w:val="TableBlock"/>
              <w:rPr>
                <w:rtl/>
              </w:rPr>
            </w:pPr>
            <w:r>
              <w:rPr>
                <w:rFonts w:hint="cs"/>
                <w:rtl/>
              </w:rPr>
              <w:t>(</w:t>
            </w:r>
            <w:r w:rsidR="008F2B88">
              <w:rPr>
                <w:rFonts w:hint="cs"/>
                <w:rtl/>
              </w:rPr>
              <w:t>5</w:t>
            </w:r>
            <w:r>
              <w:rPr>
                <w:rFonts w:hint="cs"/>
                <w:rtl/>
              </w:rPr>
              <w:t>)</w:t>
            </w:r>
            <w:r>
              <w:rPr>
                <w:rtl/>
              </w:rPr>
              <w:tab/>
            </w:r>
            <w:r>
              <w:rPr>
                <w:rFonts w:hint="cs"/>
                <w:rtl/>
              </w:rPr>
              <w:t xml:space="preserve">מי שרואים אותו כמי שעשה את המעשה באדישות לפי סעיפים 34א(א)(1), 34ט(ב) או </w:t>
            </w:r>
            <w:r w:rsidRPr="004B526C">
              <w:rPr>
                <w:rFonts w:hint="cs"/>
                <w:rtl/>
              </w:rPr>
              <w:t>34יד(ב)</w:t>
            </w:r>
            <w:r>
              <w:rPr>
                <w:rFonts w:hint="cs"/>
                <w:rtl/>
              </w:rPr>
              <w:t xml:space="preserve"> רישה לחוק.</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pPr>
            <w:r>
              <w:rPr>
                <w:rFonts w:hint="cs"/>
                <w:rtl/>
              </w:rPr>
              <w:t>המתה בקלות דעת</w:t>
            </w:r>
          </w:p>
        </w:tc>
        <w:tc>
          <w:tcPr>
            <w:tcW w:w="624" w:type="dxa"/>
          </w:tcPr>
          <w:p w:rsidR="0017165B" w:rsidRDefault="0017165B" w:rsidP="009F6490">
            <w:pPr>
              <w:pStyle w:val="TableText"/>
            </w:pPr>
            <w:r>
              <w:rPr>
                <w:rFonts w:hint="cs"/>
                <w:rtl/>
              </w:rPr>
              <w:t>301ג.</w:t>
            </w:r>
          </w:p>
        </w:tc>
        <w:tc>
          <w:tcPr>
            <w:tcW w:w="4647" w:type="dxa"/>
            <w:gridSpan w:val="3"/>
          </w:tcPr>
          <w:p w:rsidR="0017165B" w:rsidRDefault="0017165B" w:rsidP="001A6EAE">
            <w:pPr>
              <w:pStyle w:val="TableBlock"/>
            </w:pPr>
            <w:r>
              <w:rPr>
                <w:rFonts w:hint="cs"/>
                <w:rtl/>
              </w:rPr>
              <w:t xml:space="preserve">הגורם למותו של אדם בקלות דעת, דינו </w:t>
            </w:r>
            <w:r>
              <w:rPr>
                <w:rtl/>
              </w:rPr>
              <w:t>–</w:t>
            </w:r>
            <w:r w:rsidR="00AC63B1">
              <w:rPr>
                <w:rFonts w:hint="cs"/>
                <w:rtl/>
              </w:rPr>
              <w:t xml:space="preserve"> מאסר תשע שנים.</w:t>
            </w:r>
          </w:p>
        </w:tc>
      </w:tr>
      <w:tr w:rsidR="0017165B" w:rsidTr="001A6EAE">
        <w:tblPrEx>
          <w:tblLook w:val="01E0" w:firstRow="1" w:lastRow="1" w:firstColumn="1" w:lastColumn="1" w:noHBand="0" w:noVBand="0"/>
        </w:tblPrEx>
        <w:trPr>
          <w:cantSplit/>
        </w:trPr>
        <w:tc>
          <w:tcPr>
            <w:tcW w:w="1869" w:type="dxa"/>
          </w:tcPr>
          <w:p w:rsidR="0017165B" w:rsidRPr="006331B1"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rPr>
                <w:rtl/>
              </w:rPr>
            </w:pPr>
            <w:r>
              <w:rPr>
                <w:rFonts w:hint="cs"/>
                <w:rtl/>
              </w:rPr>
              <w:t>המתה בעקבות בקשת הקורבן</w:t>
            </w:r>
          </w:p>
        </w:tc>
        <w:tc>
          <w:tcPr>
            <w:tcW w:w="624" w:type="dxa"/>
          </w:tcPr>
          <w:p w:rsidR="0017165B" w:rsidRDefault="0017165B" w:rsidP="009F6490">
            <w:pPr>
              <w:pStyle w:val="TableText"/>
              <w:rPr>
                <w:rtl/>
              </w:rPr>
            </w:pPr>
            <w:r>
              <w:rPr>
                <w:rFonts w:hint="cs"/>
                <w:rtl/>
              </w:rPr>
              <w:t>301ד.</w:t>
            </w:r>
          </w:p>
        </w:tc>
        <w:tc>
          <w:tcPr>
            <w:tcW w:w="4647" w:type="dxa"/>
            <w:gridSpan w:val="3"/>
          </w:tcPr>
          <w:p w:rsidR="0017165B" w:rsidRDefault="0017165B" w:rsidP="001A6EAE">
            <w:pPr>
              <w:pStyle w:val="TableBlock"/>
              <w:rPr>
                <w:rtl/>
              </w:rPr>
            </w:pPr>
            <w:r>
              <w:rPr>
                <w:rFonts w:hint="cs"/>
                <w:rtl/>
              </w:rPr>
              <w:t>הגורם למותו של אדם מתוך חמלה עקב בקשה שהופנ</w:t>
            </w:r>
            <w:r w:rsidR="00AC63B1">
              <w:rPr>
                <w:rFonts w:hint="cs"/>
                <w:rtl/>
              </w:rPr>
              <w:t>תה לנאשם על ידי אותו אדם (להלן –</w:t>
            </w:r>
            <w:r>
              <w:rPr>
                <w:rFonts w:hint="cs"/>
                <w:rtl/>
              </w:rPr>
              <w:t xml:space="preserve">הקורבן), והתקיימו כל אלה, דינו </w:t>
            </w:r>
            <w:r>
              <w:rPr>
                <w:rtl/>
              </w:rPr>
              <w:t>–</w:t>
            </w:r>
            <w:r>
              <w:rPr>
                <w:rFonts w:hint="cs"/>
                <w:rtl/>
              </w:rPr>
              <w:t xml:space="preserve"> מאסר חמש שנים, אף אם התמלאו התנאים האמורים בסעיפים </w:t>
            </w:r>
            <w:r w:rsidRPr="006A206B">
              <w:rPr>
                <w:rFonts w:hint="cs"/>
                <w:rtl/>
              </w:rPr>
              <w:t>300 עד 301ג:</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AC63B1">
            <w:pPr>
              <w:pStyle w:val="TableBlock"/>
            </w:pPr>
            <w:r>
              <w:rPr>
                <w:rFonts w:hint="cs"/>
                <w:rtl/>
              </w:rPr>
              <w:t>(</w:t>
            </w:r>
            <w:r w:rsidR="00AC63B1">
              <w:rPr>
                <w:rFonts w:hint="cs"/>
                <w:rtl/>
              </w:rPr>
              <w:t>1</w:t>
            </w:r>
            <w:r>
              <w:rPr>
                <w:rFonts w:hint="cs"/>
                <w:rtl/>
              </w:rPr>
              <w:t>)</w:t>
            </w:r>
            <w:r>
              <w:rPr>
                <w:rtl/>
              </w:rPr>
              <w:tab/>
            </w:r>
            <w:r>
              <w:rPr>
                <w:rFonts w:hint="cs"/>
                <w:rtl/>
              </w:rPr>
              <w:t>בקשת הקורבן הייתה חופשית, מפורשת ושקולה, ובה ביקש הקורבן מהנאשם שישים קץ לחייו;</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AC63B1">
            <w:pPr>
              <w:pStyle w:val="TableBlock"/>
              <w:rPr>
                <w:rtl/>
              </w:rPr>
            </w:pPr>
            <w:r>
              <w:rPr>
                <w:rFonts w:hint="cs"/>
                <w:rtl/>
              </w:rPr>
              <w:t>(</w:t>
            </w:r>
            <w:r w:rsidR="00AC63B1">
              <w:rPr>
                <w:rFonts w:hint="cs"/>
                <w:rtl/>
              </w:rPr>
              <w:t>2</w:t>
            </w:r>
            <w:r>
              <w:rPr>
                <w:rFonts w:hint="cs"/>
                <w:rtl/>
              </w:rPr>
              <w:t>)</w:t>
            </w:r>
            <w:r>
              <w:rPr>
                <w:rtl/>
              </w:rPr>
              <w:tab/>
            </w:r>
            <w:r>
              <w:rPr>
                <w:rFonts w:hint="cs"/>
                <w:rtl/>
              </w:rPr>
              <w:t xml:space="preserve">הקורבן סבל </w:t>
            </w:r>
            <w:proofErr w:type="spellStart"/>
            <w:r>
              <w:rPr>
                <w:rFonts w:hint="cs"/>
                <w:rtl/>
              </w:rPr>
              <w:t>סבל</w:t>
            </w:r>
            <w:proofErr w:type="spellEnd"/>
            <w:r>
              <w:rPr>
                <w:rFonts w:hint="cs"/>
                <w:rtl/>
              </w:rPr>
              <w:t xml:space="preserve"> רב עקב מצב רפואי קשה, ולא ניתן היה להקל על סבלו באופן סביר."</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r>
              <w:rPr>
                <w:rFonts w:hint="cs"/>
                <w:rtl/>
              </w:rPr>
              <w:t>החלפת סעיף 302</w:t>
            </w:r>
          </w:p>
        </w:tc>
        <w:tc>
          <w:tcPr>
            <w:tcW w:w="624" w:type="dxa"/>
          </w:tcPr>
          <w:p w:rsidR="0017165B" w:rsidRDefault="0017165B" w:rsidP="009F6490">
            <w:pPr>
              <w:pStyle w:val="TableText"/>
            </w:pPr>
            <w:r>
              <w:rPr>
                <w:rFonts w:hint="cs"/>
                <w:rtl/>
              </w:rPr>
              <w:t>7.</w:t>
            </w:r>
          </w:p>
        </w:tc>
        <w:tc>
          <w:tcPr>
            <w:tcW w:w="7143" w:type="dxa"/>
            <w:gridSpan w:val="7"/>
          </w:tcPr>
          <w:p w:rsidR="0017165B" w:rsidRPr="00C34DE2" w:rsidRDefault="0017165B" w:rsidP="001A6EAE">
            <w:pPr>
              <w:pStyle w:val="TableBlock"/>
            </w:pPr>
            <w:r>
              <w:rPr>
                <w:rFonts w:hint="cs"/>
                <w:rtl/>
              </w:rPr>
              <w:t>במקום סעיף 302 לחוק העיקרי יבוא:</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pPr>
            <w:r>
              <w:rPr>
                <w:rFonts w:hint="cs"/>
                <w:rtl/>
              </w:rPr>
              <w:t>"שידול או סיוע להתאבדות</w:t>
            </w:r>
          </w:p>
        </w:tc>
        <w:tc>
          <w:tcPr>
            <w:tcW w:w="624" w:type="dxa"/>
          </w:tcPr>
          <w:p w:rsidR="0017165B" w:rsidRDefault="0017165B" w:rsidP="009F6490">
            <w:pPr>
              <w:pStyle w:val="TableText"/>
            </w:pPr>
            <w:r>
              <w:rPr>
                <w:rFonts w:hint="cs"/>
                <w:rtl/>
              </w:rPr>
              <w:t>302.</w:t>
            </w:r>
          </w:p>
        </w:tc>
        <w:tc>
          <w:tcPr>
            <w:tcW w:w="4647" w:type="dxa"/>
            <w:gridSpan w:val="3"/>
          </w:tcPr>
          <w:p w:rsidR="0017165B" w:rsidRDefault="0017165B" w:rsidP="001A6EAE">
            <w:pPr>
              <w:pStyle w:val="TableBlock"/>
            </w:pPr>
            <w:r>
              <w:rPr>
                <w:rFonts w:hint="cs"/>
                <w:rtl/>
              </w:rPr>
              <w:t>(א)</w:t>
            </w:r>
            <w:r>
              <w:rPr>
                <w:rtl/>
              </w:rPr>
              <w:tab/>
            </w:r>
            <w:r>
              <w:rPr>
                <w:rFonts w:hint="cs"/>
                <w:rtl/>
              </w:rPr>
              <w:t xml:space="preserve">המשדל אדם להתאבד, דינו </w:t>
            </w:r>
            <w:r>
              <w:rPr>
                <w:rtl/>
              </w:rPr>
              <w:t>–</w:t>
            </w:r>
            <w:r>
              <w:rPr>
                <w:rFonts w:hint="cs"/>
                <w:rtl/>
              </w:rPr>
              <w:t xml:space="preserve"> מאסר ארבע עשרה שנים;</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1A6EAE">
            <w:pPr>
              <w:pStyle w:val="TableBlock"/>
            </w:pPr>
            <w:r>
              <w:rPr>
                <w:rFonts w:hint="cs"/>
                <w:rtl/>
              </w:rPr>
              <w:t>(ב)</w:t>
            </w:r>
            <w:r>
              <w:rPr>
                <w:rtl/>
              </w:rPr>
              <w:tab/>
            </w:r>
            <w:r>
              <w:rPr>
                <w:rFonts w:hint="cs"/>
                <w:rtl/>
              </w:rPr>
              <w:t xml:space="preserve">המסייע לאדם להתאבד, דינו </w:t>
            </w:r>
            <w:r>
              <w:rPr>
                <w:rtl/>
              </w:rPr>
              <w:t>–</w:t>
            </w:r>
            <w:r>
              <w:rPr>
                <w:rFonts w:hint="cs"/>
                <w:rtl/>
              </w:rPr>
              <w:t xml:space="preserve"> מאסר שבע שנים."</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r>
              <w:rPr>
                <w:rFonts w:hint="cs"/>
                <w:rtl/>
              </w:rPr>
              <w:t>ביטול סעיף 303</w:t>
            </w:r>
          </w:p>
        </w:tc>
        <w:tc>
          <w:tcPr>
            <w:tcW w:w="624" w:type="dxa"/>
          </w:tcPr>
          <w:p w:rsidR="0017165B" w:rsidRDefault="0017165B" w:rsidP="009F6490">
            <w:pPr>
              <w:pStyle w:val="TableText"/>
            </w:pPr>
            <w:r>
              <w:rPr>
                <w:rFonts w:hint="cs"/>
                <w:rtl/>
              </w:rPr>
              <w:t>8.</w:t>
            </w:r>
          </w:p>
        </w:tc>
        <w:tc>
          <w:tcPr>
            <w:tcW w:w="7143" w:type="dxa"/>
            <w:gridSpan w:val="7"/>
          </w:tcPr>
          <w:p w:rsidR="0017165B" w:rsidRPr="00C34DE2" w:rsidRDefault="0017165B" w:rsidP="001A6EAE">
            <w:pPr>
              <w:pStyle w:val="TableBlock"/>
            </w:pPr>
            <w:r>
              <w:rPr>
                <w:rFonts w:hint="cs"/>
                <w:rtl/>
              </w:rPr>
              <w:t>סעיף 303 לחוק העיקרי – בטל.</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rPr>
                <w:rtl/>
              </w:rPr>
            </w:pPr>
            <w:r>
              <w:rPr>
                <w:rFonts w:hint="cs"/>
                <w:rtl/>
              </w:rPr>
              <w:t>הוספת סעיף 304א</w:t>
            </w:r>
          </w:p>
        </w:tc>
        <w:tc>
          <w:tcPr>
            <w:tcW w:w="624" w:type="dxa"/>
          </w:tcPr>
          <w:p w:rsidR="0017165B" w:rsidRDefault="0017165B" w:rsidP="009F6490">
            <w:pPr>
              <w:pStyle w:val="TableText"/>
              <w:rPr>
                <w:rtl/>
              </w:rPr>
            </w:pPr>
            <w:r>
              <w:rPr>
                <w:rFonts w:hint="cs"/>
                <w:rtl/>
              </w:rPr>
              <w:t>9.</w:t>
            </w:r>
          </w:p>
        </w:tc>
        <w:tc>
          <w:tcPr>
            <w:tcW w:w="7143" w:type="dxa"/>
            <w:gridSpan w:val="7"/>
          </w:tcPr>
          <w:p w:rsidR="0017165B" w:rsidRDefault="00AC63B1" w:rsidP="001A6EAE">
            <w:pPr>
              <w:pStyle w:val="TableBlock"/>
              <w:rPr>
                <w:rtl/>
              </w:rPr>
            </w:pPr>
            <w:r>
              <w:rPr>
                <w:rFonts w:hint="cs"/>
                <w:rtl/>
              </w:rPr>
              <w:t>אחרי סעיף 304 לחוק העיקרי יבוא:</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pPr>
            <w:r>
              <w:rPr>
                <w:rFonts w:hint="cs"/>
                <w:rtl/>
              </w:rPr>
              <w:t>"גרימת מוות בהתרשלות רבתי</w:t>
            </w:r>
          </w:p>
        </w:tc>
        <w:tc>
          <w:tcPr>
            <w:tcW w:w="624" w:type="dxa"/>
          </w:tcPr>
          <w:p w:rsidR="0017165B" w:rsidRDefault="0017165B" w:rsidP="009F6490">
            <w:pPr>
              <w:pStyle w:val="TableText"/>
            </w:pPr>
            <w:r>
              <w:rPr>
                <w:rFonts w:hint="cs"/>
                <w:rtl/>
              </w:rPr>
              <w:t>304א.</w:t>
            </w:r>
          </w:p>
        </w:tc>
        <w:tc>
          <w:tcPr>
            <w:tcW w:w="4647" w:type="dxa"/>
            <w:gridSpan w:val="3"/>
          </w:tcPr>
          <w:p w:rsidR="0017165B" w:rsidRDefault="0017165B" w:rsidP="001A6EAE">
            <w:pPr>
              <w:pStyle w:val="TableBlock"/>
            </w:pPr>
            <w:r>
              <w:rPr>
                <w:rFonts w:hint="cs"/>
                <w:rtl/>
              </w:rPr>
              <w:t xml:space="preserve">הגורם ברשלנות למותו של אדם והתקיימו בו כל אלה, דינו </w:t>
            </w:r>
            <w:r>
              <w:rPr>
                <w:rtl/>
              </w:rPr>
              <w:t>–</w:t>
            </w:r>
            <w:r>
              <w:rPr>
                <w:rFonts w:hint="cs"/>
                <w:rtl/>
              </w:rPr>
              <w:t xml:space="preserve"> מאסר חמש שנים:</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8F2B88">
            <w:pPr>
              <w:pStyle w:val="TableBlock"/>
            </w:pPr>
            <w:r>
              <w:rPr>
                <w:rFonts w:hint="cs"/>
                <w:rtl/>
              </w:rPr>
              <w:t>(</w:t>
            </w:r>
            <w:r w:rsidR="008F2B88">
              <w:rPr>
                <w:rFonts w:hint="cs"/>
                <w:rtl/>
              </w:rPr>
              <w:t>1</w:t>
            </w:r>
            <w:r>
              <w:rPr>
                <w:rFonts w:hint="cs"/>
                <w:rtl/>
              </w:rPr>
              <w:t>)</w:t>
            </w:r>
            <w:r>
              <w:rPr>
                <w:rtl/>
              </w:rPr>
              <w:tab/>
            </w:r>
            <w:r>
              <w:rPr>
                <w:rFonts w:hint="cs"/>
                <w:rtl/>
              </w:rPr>
              <w:t>בהתנהגותו סטה העושה במידה ניכרת מהתנהגות סבירה בנסיבות עניין, והוא מודע להתנהגות זו;</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8F2B88">
            <w:pPr>
              <w:pStyle w:val="TableBlock"/>
              <w:rPr>
                <w:rtl/>
              </w:rPr>
            </w:pPr>
            <w:r>
              <w:rPr>
                <w:rFonts w:hint="cs"/>
                <w:rtl/>
              </w:rPr>
              <w:t>(</w:t>
            </w:r>
            <w:r w:rsidR="008F2B88">
              <w:rPr>
                <w:rFonts w:hint="cs"/>
                <w:rtl/>
              </w:rPr>
              <w:t>2</w:t>
            </w:r>
            <w:r>
              <w:rPr>
                <w:rFonts w:hint="cs"/>
                <w:rtl/>
              </w:rPr>
              <w:t>)</w:t>
            </w:r>
            <w:r>
              <w:rPr>
                <w:rtl/>
              </w:rPr>
              <w:tab/>
            </w:r>
            <w:r>
              <w:rPr>
                <w:rFonts w:hint="cs"/>
                <w:rtl/>
              </w:rPr>
              <w:t>התנהגותו מהווה הפרה של דין."</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r>
              <w:rPr>
                <w:rFonts w:hint="cs"/>
                <w:rtl/>
              </w:rPr>
              <w:t>ביטול סעיף 305</w:t>
            </w:r>
          </w:p>
        </w:tc>
        <w:tc>
          <w:tcPr>
            <w:tcW w:w="624" w:type="dxa"/>
          </w:tcPr>
          <w:p w:rsidR="0017165B" w:rsidRDefault="0017165B" w:rsidP="009F6490">
            <w:pPr>
              <w:pStyle w:val="TableText"/>
            </w:pPr>
            <w:r>
              <w:rPr>
                <w:rFonts w:hint="cs"/>
                <w:rtl/>
              </w:rPr>
              <w:t>10.</w:t>
            </w:r>
          </w:p>
        </w:tc>
        <w:tc>
          <w:tcPr>
            <w:tcW w:w="7143" w:type="dxa"/>
            <w:gridSpan w:val="7"/>
          </w:tcPr>
          <w:p w:rsidR="0017165B" w:rsidRPr="00C34DE2" w:rsidRDefault="0017165B" w:rsidP="001A6EAE">
            <w:pPr>
              <w:pStyle w:val="TableBlock"/>
            </w:pPr>
            <w:r>
              <w:rPr>
                <w:rFonts w:hint="cs"/>
                <w:rtl/>
              </w:rPr>
              <w:t>סעיף 305 לחוק העיקרי – בטל.</w:t>
            </w:r>
          </w:p>
        </w:tc>
      </w:tr>
      <w:tr w:rsidR="0017165B" w:rsidTr="001A6EAE">
        <w:tblPrEx>
          <w:tblLook w:val="01E0" w:firstRow="1" w:lastRow="1" w:firstColumn="1" w:lastColumn="1" w:noHBand="0" w:noVBand="0"/>
        </w:tblPrEx>
        <w:trPr>
          <w:cantSplit/>
        </w:trPr>
        <w:tc>
          <w:tcPr>
            <w:tcW w:w="1869" w:type="dxa"/>
          </w:tcPr>
          <w:p w:rsidR="0017165B" w:rsidRDefault="00AC63B1" w:rsidP="009F6490">
            <w:pPr>
              <w:pStyle w:val="TableSideHeading"/>
              <w:rPr>
                <w:rtl/>
              </w:rPr>
            </w:pPr>
            <w:r>
              <w:rPr>
                <w:rFonts w:hint="cs"/>
                <w:rtl/>
              </w:rPr>
              <w:t>הוספת סעיפים 305א עד</w:t>
            </w:r>
            <w:r w:rsidR="0017165B">
              <w:rPr>
                <w:rFonts w:hint="cs"/>
                <w:rtl/>
              </w:rPr>
              <w:t xml:space="preserve"> 305ג</w:t>
            </w:r>
          </w:p>
        </w:tc>
        <w:tc>
          <w:tcPr>
            <w:tcW w:w="624" w:type="dxa"/>
          </w:tcPr>
          <w:p w:rsidR="0017165B" w:rsidRDefault="0017165B" w:rsidP="009F6490">
            <w:pPr>
              <w:pStyle w:val="TableText"/>
              <w:rPr>
                <w:rtl/>
              </w:rPr>
            </w:pPr>
            <w:r>
              <w:rPr>
                <w:rFonts w:hint="cs"/>
                <w:rtl/>
              </w:rPr>
              <w:t>11.</w:t>
            </w:r>
          </w:p>
        </w:tc>
        <w:tc>
          <w:tcPr>
            <w:tcW w:w="7143" w:type="dxa"/>
            <w:gridSpan w:val="7"/>
          </w:tcPr>
          <w:p w:rsidR="0017165B" w:rsidRDefault="00AC63B1" w:rsidP="001A6EAE">
            <w:pPr>
              <w:pStyle w:val="TableBlock"/>
              <w:rPr>
                <w:rtl/>
              </w:rPr>
            </w:pPr>
            <w:r>
              <w:rPr>
                <w:rFonts w:hint="cs"/>
                <w:rtl/>
              </w:rPr>
              <w:t>אחרי סעיף 305 לחוק העיקרי יבוא:</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pPr>
            <w:r>
              <w:rPr>
                <w:rFonts w:hint="cs"/>
                <w:rtl/>
              </w:rPr>
              <w:t>"שידול לרצח</w:t>
            </w:r>
          </w:p>
        </w:tc>
        <w:tc>
          <w:tcPr>
            <w:tcW w:w="624" w:type="dxa"/>
          </w:tcPr>
          <w:p w:rsidR="0017165B" w:rsidRDefault="0017165B" w:rsidP="009F6490">
            <w:pPr>
              <w:pStyle w:val="TableText"/>
            </w:pPr>
            <w:r>
              <w:rPr>
                <w:rFonts w:hint="cs"/>
                <w:rtl/>
              </w:rPr>
              <w:t>305א.</w:t>
            </w:r>
          </w:p>
        </w:tc>
        <w:tc>
          <w:tcPr>
            <w:tcW w:w="4647" w:type="dxa"/>
            <w:gridSpan w:val="3"/>
          </w:tcPr>
          <w:p w:rsidR="0017165B" w:rsidRDefault="0017165B" w:rsidP="001A6EAE">
            <w:pPr>
              <w:pStyle w:val="TableBlock"/>
            </w:pPr>
            <w:r>
              <w:rPr>
                <w:rFonts w:hint="cs"/>
                <w:rtl/>
              </w:rPr>
              <w:t xml:space="preserve">המשדל </w:t>
            </w:r>
            <w:r w:rsidRPr="009D0488">
              <w:rPr>
                <w:rFonts w:hint="cs"/>
                <w:rtl/>
              </w:rPr>
              <w:t>לרצח בנסיבות מחמירות,</w:t>
            </w:r>
            <w:r>
              <w:rPr>
                <w:rFonts w:hint="cs"/>
                <w:rtl/>
              </w:rPr>
              <w:t xml:space="preserve"> דינו </w:t>
            </w:r>
            <w:r>
              <w:rPr>
                <w:rtl/>
              </w:rPr>
              <w:t>–</w:t>
            </w:r>
            <w:r>
              <w:rPr>
                <w:rFonts w:hint="cs"/>
                <w:rtl/>
              </w:rPr>
              <w:t xml:space="preserve"> מאסר עולם.</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rPr>
                <w:rtl/>
              </w:rPr>
            </w:pPr>
            <w:r>
              <w:rPr>
                <w:rFonts w:hint="cs"/>
                <w:rtl/>
              </w:rPr>
              <w:t>סיוע לרצח</w:t>
            </w:r>
          </w:p>
        </w:tc>
        <w:tc>
          <w:tcPr>
            <w:tcW w:w="624" w:type="dxa"/>
          </w:tcPr>
          <w:p w:rsidR="0017165B" w:rsidRDefault="0017165B" w:rsidP="009F6490">
            <w:pPr>
              <w:pStyle w:val="TableText"/>
              <w:rPr>
                <w:rtl/>
              </w:rPr>
            </w:pPr>
            <w:r>
              <w:rPr>
                <w:rFonts w:hint="cs"/>
                <w:rtl/>
              </w:rPr>
              <w:t>305ב.</w:t>
            </w:r>
          </w:p>
        </w:tc>
        <w:tc>
          <w:tcPr>
            <w:tcW w:w="4647" w:type="dxa"/>
            <w:gridSpan w:val="3"/>
          </w:tcPr>
          <w:p w:rsidR="0017165B" w:rsidRDefault="0017165B" w:rsidP="001A6EAE">
            <w:pPr>
              <w:pStyle w:val="TableBlock"/>
              <w:rPr>
                <w:rtl/>
              </w:rPr>
            </w:pPr>
            <w:r>
              <w:rPr>
                <w:rFonts w:hint="cs"/>
                <w:rtl/>
              </w:rPr>
              <w:t xml:space="preserve">על אף הוראות סעיף 32, המסייע </w:t>
            </w:r>
            <w:r w:rsidRPr="009D0488">
              <w:rPr>
                <w:rFonts w:hint="cs"/>
                <w:rtl/>
              </w:rPr>
              <w:t>לרצח,</w:t>
            </w:r>
            <w:r>
              <w:rPr>
                <w:rFonts w:hint="cs"/>
                <w:rtl/>
              </w:rPr>
              <w:t xml:space="preserve"> דינו </w:t>
            </w:r>
            <w:r>
              <w:rPr>
                <w:rtl/>
              </w:rPr>
              <w:t>–</w:t>
            </w:r>
            <w:r>
              <w:rPr>
                <w:rFonts w:hint="cs"/>
                <w:rtl/>
              </w:rPr>
              <w:t xml:space="preserve"> מאסר חמש עשרה שנים.</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rPr>
                <w:rtl/>
              </w:rPr>
            </w:pPr>
            <w:r>
              <w:rPr>
                <w:rFonts w:hint="cs"/>
                <w:rtl/>
              </w:rPr>
              <w:t>ניסיון לשידול לרצח</w:t>
            </w:r>
          </w:p>
        </w:tc>
        <w:tc>
          <w:tcPr>
            <w:tcW w:w="624" w:type="dxa"/>
          </w:tcPr>
          <w:p w:rsidR="0017165B" w:rsidRDefault="0017165B" w:rsidP="009F6490">
            <w:pPr>
              <w:pStyle w:val="TableText"/>
              <w:rPr>
                <w:rtl/>
              </w:rPr>
            </w:pPr>
            <w:r>
              <w:rPr>
                <w:rFonts w:hint="cs"/>
                <w:rtl/>
              </w:rPr>
              <w:t>305ג.</w:t>
            </w:r>
          </w:p>
        </w:tc>
        <w:tc>
          <w:tcPr>
            <w:tcW w:w="4647" w:type="dxa"/>
            <w:gridSpan w:val="3"/>
          </w:tcPr>
          <w:p w:rsidR="0017165B" w:rsidRDefault="0017165B" w:rsidP="001A6EAE">
            <w:pPr>
              <w:pStyle w:val="TableBlock"/>
              <w:rPr>
                <w:rtl/>
              </w:rPr>
            </w:pPr>
            <w:r>
              <w:rPr>
                <w:rFonts w:hint="cs"/>
                <w:rtl/>
              </w:rPr>
              <w:t xml:space="preserve">על אף הוראות סעיף 33, המנסה לשדל לרצח, דינו </w:t>
            </w:r>
            <w:r>
              <w:rPr>
                <w:rtl/>
              </w:rPr>
              <w:t>–</w:t>
            </w:r>
            <w:r>
              <w:rPr>
                <w:rFonts w:hint="cs"/>
                <w:rtl/>
              </w:rPr>
              <w:t xml:space="preserve"> חמש עשרה שנים."</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r>
              <w:rPr>
                <w:rFonts w:hint="cs"/>
                <w:rtl/>
              </w:rPr>
              <w:t>ביטול סעיף 307</w:t>
            </w:r>
          </w:p>
        </w:tc>
        <w:tc>
          <w:tcPr>
            <w:tcW w:w="624" w:type="dxa"/>
          </w:tcPr>
          <w:p w:rsidR="0017165B" w:rsidRDefault="0017165B" w:rsidP="009F6490">
            <w:pPr>
              <w:pStyle w:val="TableText"/>
            </w:pPr>
            <w:r>
              <w:rPr>
                <w:rFonts w:hint="cs"/>
                <w:rtl/>
              </w:rPr>
              <w:t>12.</w:t>
            </w:r>
          </w:p>
        </w:tc>
        <w:tc>
          <w:tcPr>
            <w:tcW w:w="7143" w:type="dxa"/>
            <w:gridSpan w:val="7"/>
          </w:tcPr>
          <w:p w:rsidR="0017165B" w:rsidRPr="00C34DE2" w:rsidRDefault="0017165B" w:rsidP="001A6EAE">
            <w:pPr>
              <w:pStyle w:val="TableBlock"/>
            </w:pPr>
            <w:r>
              <w:rPr>
                <w:rFonts w:hint="cs"/>
                <w:rtl/>
              </w:rPr>
              <w:t>סעיף 307 לחוק העיקרי – בטל.</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rPr>
                <w:rtl/>
              </w:rPr>
            </w:pPr>
            <w:r>
              <w:rPr>
                <w:rFonts w:hint="cs"/>
                <w:rtl/>
              </w:rPr>
              <w:t>תיקון סעיף 308</w:t>
            </w:r>
          </w:p>
        </w:tc>
        <w:tc>
          <w:tcPr>
            <w:tcW w:w="624" w:type="dxa"/>
          </w:tcPr>
          <w:p w:rsidR="0017165B" w:rsidRDefault="0017165B" w:rsidP="009F6490">
            <w:pPr>
              <w:pStyle w:val="TableText"/>
              <w:rPr>
                <w:rtl/>
              </w:rPr>
            </w:pPr>
            <w:r>
              <w:rPr>
                <w:rFonts w:hint="cs"/>
                <w:rtl/>
              </w:rPr>
              <w:t>13.</w:t>
            </w:r>
          </w:p>
        </w:tc>
        <w:tc>
          <w:tcPr>
            <w:tcW w:w="7143" w:type="dxa"/>
            <w:gridSpan w:val="7"/>
          </w:tcPr>
          <w:p w:rsidR="0017165B" w:rsidRDefault="0017165B" w:rsidP="001A6EAE">
            <w:pPr>
              <w:pStyle w:val="TableBlock"/>
              <w:rPr>
                <w:rtl/>
              </w:rPr>
            </w:pPr>
            <w:r>
              <w:rPr>
                <w:rFonts w:hint="cs"/>
                <w:rtl/>
              </w:rPr>
              <w:t xml:space="preserve">בסעיף 308 לחוק העיקרי </w:t>
            </w:r>
            <w:proofErr w:type="spellStart"/>
            <w:r>
              <w:rPr>
                <w:rFonts w:hint="cs"/>
                <w:rtl/>
              </w:rPr>
              <w:t>הסיפה</w:t>
            </w:r>
            <w:proofErr w:type="spellEnd"/>
            <w:r>
              <w:rPr>
                <w:rFonts w:hint="cs"/>
                <w:rtl/>
              </w:rPr>
              <w:t xml:space="preserve"> החל במילים "בין שנשם" – תימחק.</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rPr>
                <w:rtl/>
              </w:rPr>
            </w:pPr>
            <w:r>
              <w:rPr>
                <w:rFonts w:hint="cs"/>
                <w:rtl/>
              </w:rPr>
              <w:t>ביטול סעיפים 309 עד 311</w:t>
            </w:r>
          </w:p>
        </w:tc>
        <w:tc>
          <w:tcPr>
            <w:tcW w:w="624" w:type="dxa"/>
          </w:tcPr>
          <w:p w:rsidR="0017165B" w:rsidRDefault="0017165B" w:rsidP="009F6490">
            <w:pPr>
              <w:pStyle w:val="TableText"/>
              <w:rPr>
                <w:rtl/>
              </w:rPr>
            </w:pPr>
            <w:r>
              <w:rPr>
                <w:rFonts w:hint="cs"/>
                <w:rtl/>
              </w:rPr>
              <w:t>14.</w:t>
            </w:r>
          </w:p>
        </w:tc>
        <w:tc>
          <w:tcPr>
            <w:tcW w:w="7143" w:type="dxa"/>
            <w:gridSpan w:val="7"/>
          </w:tcPr>
          <w:p w:rsidR="0017165B" w:rsidRDefault="0017165B" w:rsidP="001A6EAE">
            <w:pPr>
              <w:pStyle w:val="TableBlock"/>
              <w:rPr>
                <w:rtl/>
              </w:rPr>
            </w:pPr>
            <w:r>
              <w:rPr>
                <w:rFonts w:hint="cs"/>
                <w:rtl/>
              </w:rPr>
              <w:t>סעיפים 309 עד 311 לחוק העיקרי – בטלים.</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rPr>
                <w:rtl/>
              </w:rPr>
            </w:pPr>
            <w:r>
              <w:rPr>
                <w:rFonts w:hint="cs"/>
                <w:rtl/>
              </w:rPr>
              <w:t>הוספת סעיף 311</w:t>
            </w:r>
            <w:r w:rsidR="00AC63B1">
              <w:rPr>
                <w:rFonts w:hint="cs"/>
                <w:rtl/>
              </w:rPr>
              <w:t>א</w:t>
            </w:r>
          </w:p>
        </w:tc>
        <w:tc>
          <w:tcPr>
            <w:tcW w:w="624" w:type="dxa"/>
          </w:tcPr>
          <w:p w:rsidR="0017165B" w:rsidRDefault="0017165B" w:rsidP="009F6490">
            <w:pPr>
              <w:pStyle w:val="TableText"/>
              <w:rPr>
                <w:rtl/>
              </w:rPr>
            </w:pPr>
            <w:r>
              <w:rPr>
                <w:rFonts w:hint="cs"/>
                <w:rtl/>
              </w:rPr>
              <w:t>15.</w:t>
            </w:r>
          </w:p>
        </w:tc>
        <w:tc>
          <w:tcPr>
            <w:tcW w:w="7143" w:type="dxa"/>
            <w:gridSpan w:val="7"/>
          </w:tcPr>
          <w:p w:rsidR="0017165B" w:rsidRDefault="00AC63B1" w:rsidP="001A6EAE">
            <w:pPr>
              <w:pStyle w:val="TableBlock"/>
              <w:rPr>
                <w:rtl/>
              </w:rPr>
            </w:pPr>
            <w:r>
              <w:rPr>
                <w:rFonts w:hint="cs"/>
                <w:rtl/>
              </w:rPr>
              <w:t>אחרי סעיף 311 לחוק העיקרי יבוא:</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keepLines w:val="0"/>
            </w:pPr>
          </w:p>
        </w:tc>
        <w:tc>
          <w:tcPr>
            <w:tcW w:w="624" w:type="dxa"/>
          </w:tcPr>
          <w:p w:rsidR="0017165B" w:rsidRDefault="0017165B" w:rsidP="009F6490">
            <w:pPr>
              <w:pStyle w:val="TableText"/>
              <w:keepLines w:val="0"/>
            </w:pPr>
          </w:p>
        </w:tc>
        <w:tc>
          <w:tcPr>
            <w:tcW w:w="1872" w:type="dxa"/>
            <w:gridSpan w:val="3"/>
          </w:tcPr>
          <w:p w:rsidR="0017165B" w:rsidRDefault="0017165B" w:rsidP="009F6490">
            <w:pPr>
              <w:pStyle w:val="TableInnerSideHeading"/>
            </w:pPr>
            <w:r>
              <w:rPr>
                <w:rFonts w:hint="cs"/>
                <w:rtl/>
              </w:rPr>
              <w:t>"מאסר עולם שאינו עונש חובה</w:t>
            </w:r>
          </w:p>
        </w:tc>
        <w:tc>
          <w:tcPr>
            <w:tcW w:w="624" w:type="dxa"/>
          </w:tcPr>
          <w:p w:rsidR="0017165B" w:rsidRDefault="0017165B" w:rsidP="009F6490">
            <w:pPr>
              <w:pStyle w:val="TableText"/>
            </w:pPr>
            <w:r>
              <w:rPr>
                <w:rFonts w:hint="cs"/>
                <w:rtl/>
              </w:rPr>
              <w:t>311א.</w:t>
            </w:r>
          </w:p>
        </w:tc>
        <w:tc>
          <w:tcPr>
            <w:tcW w:w="4647" w:type="dxa"/>
            <w:gridSpan w:val="3"/>
          </w:tcPr>
          <w:p w:rsidR="0017165B" w:rsidRDefault="0017165B" w:rsidP="001A6EAE">
            <w:pPr>
              <w:pStyle w:val="TableBlock"/>
            </w:pPr>
            <w:r>
              <w:rPr>
                <w:rFonts w:hint="cs"/>
                <w:rtl/>
              </w:rPr>
              <w:t>על אף הוראות סעיף 41, לעניין סימן זה:</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Default="0017165B" w:rsidP="001A6EAE">
            <w:pPr>
              <w:pStyle w:val="TableBlock"/>
            </w:pPr>
            <w:r>
              <w:rPr>
                <w:rFonts w:hint="cs"/>
                <w:rtl/>
              </w:rPr>
              <w:t>(א)</w:t>
            </w:r>
            <w:r>
              <w:rPr>
                <w:rtl/>
              </w:rPr>
              <w:tab/>
            </w:r>
            <w:r>
              <w:rPr>
                <w:rFonts w:hint="cs"/>
                <w:rtl/>
              </w:rPr>
              <w:t xml:space="preserve">"מאסר עולם" </w:t>
            </w:r>
            <w:r>
              <w:rPr>
                <w:rtl/>
              </w:rPr>
              <w:t>–</w:t>
            </w:r>
            <w:r>
              <w:rPr>
                <w:rFonts w:hint="cs"/>
                <w:rtl/>
              </w:rPr>
              <w:t xml:space="preserve"> מאסר עולם לתקופה בלתי קצובה או מאסר שלא יעלה על שלושים שנות מאסר.</w:t>
            </w:r>
          </w:p>
        </w:tc>
      </w:tr>
      <w:tr w:rsidR="0017165B" w:rsidTr="001A6EAE">
        <w:tblPrEx>
          <w:tblLook w:val="01E0" w:firstRow="1" w:lastRow="1" w:firstColumn="1" w:lastColumn="1" w:noHBand="0" w:noVBand="0"/>
        </w:tblPrEx>
        <w:trPr>
          <w:cantSplit/>
        </w:trPr>
        <w:tc>
          <w:tcPr>
            <w:tcW w:w="1869" w:type="dxa"/>
          </w:tcPr>
          <w:p w:rsidR="0017165B" w:rsidRDefault="0017165B" w:rsidP="009F6490">
            <w:pPr>
              <w:pStyle w:val="TableSideHeading"/>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624" w:type="dxa"/>
          </w:tcPr>
          <w:p w:rsidR="0017165B" w:rsidRDefault="0017165B" w:rsidP="009F6490">
            <w:pPr>
              <w:pStyle w:val="TableText"/>
            </w:pPr>
          </w:p>
        </w:tc>
        <w:tc>
          <w:tcPr>
            <w:tcW w:w="4647" w:type="dxa"/>
            <w:gridSpan w:val="3"/>
          </w:tcPr>
          <w:p w:rsidR="0017165B" w:rsidRPr="008F2B88" w:rsidRDefault="0017165B" w:rsidP="001A6EAE">
            <w:pPr>
              <w:pStyle w:val="TableBlock"/>
              <w:rPr>
                <w:spacing w:val="-4"/>
                <w:rtl/>
              </w:rPr>
            </w:pPr>
            <w:r w:rsidRPr="008F2B88">
              <w:rPr>
                <w:rFonts w:hint="cs"/>
                <w:spacing w:val="-4"/>
                <w:rtl/>
              </w:rPr>
              <w:t>(ב)</w:t>
            </w:r>
            <w:r w:rsidRPr="008F2B88">
              <w:rPr>
                <w:spacing w:val="-4"/>
                <w:rtl/>
              </w:rPr>
              <w:tab/>
            </w:r>
            <w:r w:rsidRPr="008F2B88">
              <w:rPr>
                <w:rFonts w:hint="cs"/>
                <w:spacing w:val="-4"/>
                <w:rtl/>
              </w:rPr>
              <w:t xml:space="preserve">גזר בית המשפט מאסר עולם לתקופה בלתי קצובה על עבירה לפי סימן זה, יחולו על עונש מאסר עולם זה הוראות חוק שחרור על תנאי ממאסר, </w:t>
            </w:r>
            <w:proofErr w:type="spellStart"/>
            <w:r w:rsidRPr="008F2B88">
              <w:rPr>
                <w:rFonts w:hint="cs"/>
                <w:spacing w:val="-4"/>
                <w:rtl/>
              </w:rPr>
              <w:t>התשס"א</w:t>
            </w:r>
            <w:proofErr w:type="spellEnd"/>
            <w:r w:rsidRPr="008F2B88">
              <w:rPr>
                <w:rFonts w:hint="eastAsia"/>
                <w:spacing w:val="-4"/>
                <w:rtl/>
              </w:rPr>
              <w:t>–</w:t>
            </w:r>
            <w:r w:rsidRPr="008F2B88">
              <w:rPr>
                <w:rFonts w:hint="cs"/>
                <w:spacing w:val="-4"/>
                <w:rtl/>
              </w:rPr>
              <w:t>2011</w:t>
            </w:r>
            <w:r w:rsidRPr="008F2B88">
              <w:rPr>
                <w:rStyle w:val="a6"/>
                <w:spacing w:val="-4"/>
                <w:rtl/>
              </w:rPr>
              <w:footnoteReference w:id="5"/>
            </w:r>
            <w:r w:rsidR="008F2B88" w:rsidRPr="008F2B88">
              <w:rPr>
                <w:rFonts w:hint="cs"/>
                <w:spacing w:val="-4"/>
                <w:rtl/>
              </w:rPr>
              <w:t>,</w:t>
            </w:r>
            <w:r w:rsidRPr="008F2B88">
              <w:rPr>
                <w:rFonts w:hint="cs"/>
                <w:spacing w:val="-4"/>
                <w:rtl/>
              </w:rPr>
              <w:t xml:space="preserve"> הנוגעות </w:t>
            </w:r>
            <w:proofErr w:type="spellStart"/>
            <w:r w:rsidRPr="008F2B88">
              <w:rPr>
                <w:rFonts w:hint="cs"/>
                <w:spacing w:val="-4"/>
                <w:rtl/>
              </w:rPr>
              <w:t>לקציבת</w:t>
            </w:r>
            <w:proofErr w:type="spellEnd"/>
            <w:r w:rsidRPr="008F2B88">
              <w:rPr>
                <w:rFonts w:hint="cs"/>
                <w:spacing w:val="-4"/>
                <w:rtl/>
              </w:rPr>
              <w:t xml:space="preserve"> מאסר עולם."</w:t>
            </w:r>
          </w:p>
        </w:tc>
      </w:tr>
    </w:tbl>
    <w:p w:rsidR="0017165B" w:rsidRPr="0017165B" w:rsidRDefault="0017165B" w:rsidP="00E13C27">
      <w:pPr>
        <w:pStyle w:val="HeadDivreiHesber"/>
        <w:spacing w:before="0" w:after="0"/>
        <w:rPr>
          <w:rtl/>
        </w:rPr>
      </w:pPr>
    </w:p>
    <w:p w:rsidR="00E13C27" w:rsidRDefault="00E13C27" w:rsidP="00E13C27">
      <w:pPr>
        <w:pStyle w:val="HeadDivreiHesber"/>
        <w:spacing w:before="0" w:after="0"/>
        <w:rPr>
          <w:rtl/>
        </w:rPr>
      </w:pPr>
      <w:r>
        <w:rPr>
          <w:rFonts w:hint="cs"/>
          <w:rtl/>
        </w:rPr>
        <w:t>דברי הסבר</w:t>
      </w:r>
    </w:p>
    <w:p w:rsidR="00BD65C5" w:rsidRPr="001A6EAE" w:rsidRDefault="00FF2FDE" w:rsidP="00686772">
      <w:pPr>
        <w:pStyle w:val="Hesber"/>
        <w:spacing w:line="336" w:lineRule="auto"/>
        <w:rPr>
          <w:rtl/>
        </w:rPr>
      </w:pPr>
      <w:r w:rsidRPr="001A6EAE">
        <w:rPr>
          <w:rtl/>
        </w:rPr>
        <w:t>עבירות ההמתה שאובות מפקודת החוק ה</w:t>
      </w:r>
      <w:r w:rsidR="001A6EAE">
        <w:rPr>
          <w:rtl/>
        </w:rPr>
        <w:t>פלילי המנדטורית משנת 1936 (להלן</w:t>
      </w:r>
      <w:r w:rsidR="001A6EAE">
        <w:rPr>
          <w:rFonts w:hint="cs"/>
          <w:rtl/>
        </w:rPr>
        <w:t xml:space="preserve"> –</w:t>
      </w:r>
      <w:r w:rsidRPr="001A6EAE">
        <w:rPr>
          <w:rtl/>
        </w:rPr>
        <w:t xml:space="preserve"> פקודת החוק הפלילי). בשנת 1977 אומץ הנוסח מפקודת החוק הפלילי לחוק העונשין ללא תיקונים מהותיים. במהלך השנים בתי המשפט ביקרו לא אחת את נוסחן והארכאיות של עבירות ההמתה.</w:t>
      </w:r>
      <w:r w:rsidR="00304A1D" w:rsidRPr="001A6EAE">
        <w:rPr>
          <w:rtl/>
        </w:rPr>
        <w:t xml:space="preserve"> </w:t>
      </w:r>
    </w:p>
    <w:p w:rsidR="00FF2FDE" w:rsidRPr="001A6EAE" w:rsidRDefault="00FF2FDE" w:rsidP="00686772">
      <w:pPr>
        <w:pStyle w:val="Hesber"/>
        <w:spacing w:line="336" w:lineRule="auto"/>
        <w:rPr>
          <w:rtl/>
        </w:rPr>
      </w:pPr>
      <w:r w:rsidRPr="001A6EAE">
        <w:rPr>
          <w:rtl/>
        </w:rPr>
        <w:t>במדינת ישראל כיום, ישנן שלוש עבירות המתה מרכזיות ועיקריות. בתוכן כלולות תתי עבירות ומקרים שונים של המתות, סיוע ושידול להן כפי שיפורט.</w:t>
      </w:r>
    </w:p>
    <w:p w:rsidR="00FF2FDE" w:rsidRPr="008F2B88" w:rsidRDefault="00FF2FDE" w:rsidP="00686772">
      <w:pPr>
        <w:pStyle w:val="Hesber"/>
        <w:spacing w:line="336" w:lineRule="auto"/>
        <w:rPr>
          <w:rtl/>
        </w:rPr>
      </w:pPr>
      <w:r w:rsidRPr="008F2B88">
        <w:rPr>
          <w:rtl/>
        </w:rPr>
        <w:t>שלוש העבירות הן:</w:t>
      </w:r>
    </w:p>
    <w:p w:rsidR="00FF2FDE" w:rsidRPr="001A6EAE" w:rsidRDefault="00FF2FDE" w:rsidP="00686772">
      <w:pPr>
        <w:pStyle w:val="Hesber"/>
        <w:spacing w:line="336" w:lineRule="auto"/>
        <w:rPr>
          <w:rtl/>
        </w:rPr>
      </w:pPr>
      <w:r w:rsidRPr="00F44BC9">
        <w:rPr>
          <w:b/>
          <w:bCs/>
          <w:rtl/>
        </w:rPr>
        <w:t>עבירת הרצח</w:t>
      </w:r>
      <w:r w:rsidR="001A6EAE">
        <w:rPr>
          <w:rFonts w:hint="cs"/>
          <w:rtl/>
        </w:rPr>
        <w:t xml:space="preserve"> –</w:t>
      </w:r>
      <w:r w:rsidRPr="001A6EAE">
        <w:rPr>
          <w:rtl/>
        </w:rPr>
        <w:t xml:space="preserve"> קבועה </w:t>
      </w:r>
      <w:r w:rsidR="001A6EAE">
        <w:rPr>
          <w:rtl/>
        </w:rPr>
        <w:t>בסעיף 300 לחוק. העונש בצידה ה</w:t>
      </w:r>
      <w:r w:rsidR="001A6EAE">
        <w:rPr>
          <w:rFonts w:hint="cs"/>
          <w:rtl/>
        </w:rPr>
        <w:t>וא</w:t>
      </w:r>
      <w:r w:rsidRPr="001A6EAE">
        <w:rPr>
          <w:rtl/>
        </w:rPr>
        <w:t xml:space="preserve"> מאסר עולם כעונש חובה. (סעיף 300א לחוק קובע אפשרויות הטלת עונש מופחת במקרים מסוימים.)</w:t>
      </w:r>
    </w:p>
    <w:p w:rsidR="00FF2FDE" w:rsidRPr="001A6EAE" w:rsidRDefault="00FF2FDE" w:rsidP="00686772">
      <w:pPr>
        <w:pStyle w:val="Hesber"/>
        <w:spacing w:line="336" w:lineRule="auto"/>
        <w:rPr>
          <w:rtl/>
        </w:rPr>
      </w:pPr>
      <w:r w:rsidRPr="001A6EAE">
        <w:rPr>
          <w:rtl/>
        </w:rPr>
        <w:t>עביר</w:t>
      </w:r>
      <w:r w:rsidR="001A6EAE">
        <w:rPr>
          <w:rFonts w:hint="cs"/>
          <w:rtl/>
        </w:rPr>
        <w:t>ת הרצח כוללת המתה</w:t>
      </w:r>
      <w:r w:rsidRPr="001A6EAE">
        <w:rPr>
          <w:rtl/>
        </w:rPr>
        <w:t xml:space="preserve"> בארבעה מקרים: 1) המתה בכוונה תחילה. 2) המתת הורה או סב. 3) המתה תוך ביצוע עבירה אחרת או תוך הכנות לביצועה של עבירה אחרת או כדי להקל על ביצועה. 4</w:t>
      </w:r>
      <w:r w:rsidR="001A6EAE">
        <w:rPr>
          <w:rtl/>
        </w:rPr>
        <w:t>) המתה לאחר ביצוע עבירה אחרת ע</w:t>
      </w:r>
      <w:r w:rsidR="001A6EAE">
        <w:rPr>
          <w:rFonts w:hint="cs"/>
          <w:rtl/>
        </w:rPr>
        <w:t>ל מנת</w:t>
      </w:r>
      <w:r w:rsidRPr="001A6EAE">
        <w:rPr>
          <w:rtl/>
        </w:rPr>
        <w:t xml:space="preserve"> להבטיח בריחה או הימלטות מעונש. </w:t>
      </w:r>
    </w:p>
    <w:p w:rsidR="00FF2FDE" w:rsidRPr="001A6EAE" w:rsidRDefault="00FF2FDE" w:rsidP="00686772">
      <w:pPr>
        <w:pStyle w:val="Hesber"/>
        <w:spacing w:line="336" w:lineRule="auto"/>
        <w:rPr>
          <w:rtl/>
        </w:rPr>
      </w:pPr>
      <w:r w:rsidRPr="00F44BC9">
        <w:rPr>
          <w:b/>
          <w:bCs/>
          <w:rtl/>
        </w:rPr>
        <w:t>עבירת ההריגה</w:t>
      </w:r>
      <w:r w:rsidR="001A6EAE">
        <w:rPr>
          <w:rFonts w:hint="cs"/>
          <w:rtl/>
        </w:rPr>
        <w:t xml:space="preserve"> –</w:t>
      </w:r>
      <w:r w:rsidRPr="001A6EAE">
        <w:rPr>
          <w:rtl/>
        </w:rPr>
        <w:t xml:space="preserve"> קבועה בסעיף 298 לחוק. היסוד </w:t>
      </w:r>
      <w:r w:rsidR="001A6EAE">
        <w:rPr>
          <w:rtl/>
        </w:rPr>
        <w:t>הנפשי הנדרש בה הוא מחשבה פלילית</w:t>
      </w:r>
      <w:r w:rsidR="001A6EAE">
        <w:rPr>
          <w:rFonts w:hint="cs"/>
          <w:rtl/>
        </w:rPr>
        <w:t>,</w:t>
      </w:r>
      <w:r w:rsidRPr="001A6EAE">
        <w:rPr>
          <w:rtl/>
        </w:rPr>
        <w:t xml:space="preserve"> </w:t>
      </w:r>
      <w:r w:rsidR="001A6EAE">
        <w:rPr>
          <w:rFonts w:hint="cs"/>
          <w:rtl/>
        </w:rPr>
        <w:t>ו</w:t>
      </w:r>
      <w:r w:rsidR="001A6EAE">
        <w:rPr>
          <w:rtl/>
        </w:rPr>
        <w:t>העונ</w:t>
      </w:r>
      <w:r w:rsidR="001A6EAE">
        <w:rPr>
          <w:rFonts w:hint="cs"/>
          <w:rtl/>
        </w:rPr>
        <w:t>ש</w:t>
      </w:r>
      <w:r w:rsidRPr="001A6EAE">
        <w:rPr>
          <w:rtl/>
        </w:rPr>
        <w:t xml:space="preserve"> המרבי </w:t>
      </w:r>
      <w:r w:rsidR="001A6EAE">
        <w:rPr>
          <w:rtl/>
        </w:rPr>
        <w:t>בצידה הוא עשרים שנות מאסר. היק</w:t>
      </w:r>
      <w:r w:rsidR="001A6EAE">
        <w:rPr>
          <w:rFonts w:hint="cs"/>
          <w:rtl/>
        </w:rPr>
        <w:t>ף העבירה</w:t>
      </w:r>
      <w:r w:rsidRPr="001A6EAE">
        <w:rPr>
          <w:rtl/>
        </w:rPr>
        <w:t xml:space="preserve"> רחב</w:t>
      </w:r>
      <w:r w:rsidR="001A6EAE">
        <w:rPr>
          <w:rFonts w:hint="cs"/>
          <w:rtl/>
        </w:rPr>
        <w:t>,</w:t>
      </w:r>
      <w:r w:rsidRPr="001A6EAE">
        <w:rPr>
          <w:rtl/>
        </w:rPr>
        <w:t xml:space="preserve"> והיא תחול על אותם מקרים של המתה בכוונה שאינה כוונה תחילה ואינם נמנים על </w:t>
      </w:r>
      <w:r w:rsidR="001A6EAE">
        <w:rPr>
          <w:rtl/>
        </w:rPr>
        <w:t xml:space="preserve">אחת החלופות האחרות בעבירת הרצח </w:t>
      </w:r>
      <w:r w:rsidR="001A6EAE">
        <w:rPr>
          <w:rFonts w:hint="cs"/>
          <w:rtl/>
        </w:rPr>
        <w:t>ה</w:t>
      </w:r>
      <w:r w:rsidRPr="001A6EAE">
        <w:rPr>
          <w:rtl/>
        </w:rPr>
        <w:t>נ"ל.</w:t>
      </w:r>
    </w:p>
    <w:p w:rsidR="001A6EAE" w:rsidRDefault="001A6EAE" w:rsidP="00686772">
      <w:pPr>
        <w:pStyle w:val="Hesber"/>
        <w:spacing w:line="336" w:lineRule="auto"/>
        <w:rPr>
          <w:rtl/>
        </w:rPr>
      </w:pPr>
      <w:r w:rsidRPr="00F44BC9">
        <w:rPr>
          <w:b/>
          <w:bCs/>
          <w:rtl/>
        </w:rPr>
        <w:t>עבירה של גרימת מוות ברשלנות</w:t>
      </w:r>
      <w:r>
        <w:rPr>
          <w:rFonts w:hint="cs"/>
          <w:rtl/>
        </w:rPr>
        <w:t xml:space="preserve"> –</w:t>
      </w:r>
      <w:r>
        <w:rPr>
          <w:rtl/>
        </w:rPr>
        <w:t xml:space="preserve"> העונש המ</w:t>
      </w:r>
      <w:r w:rsidR="00FF2FDE" w:rsidRPr="001A6EAE">
        <w:rPr>
          <w:rtl/>
        </w:rPr>
        <w:t xml:space="preserve">רבי בצידה הוא שלוש שנות מאסר. </w:t>
      </w:r>
    </w:p>
    <w:p w:rsidR="00FF2FDE" w:rsidRPr="001A6EAE" w:rsidRDefault="001A6EAE" w:rsidP="00686772">
      <w:pPr>
        <w:pStyle w:val="Hesber"/>
        <w:spacing w:line="336" w:lineRule="auto"/>
        <w:rPr>
          <w:rtl/>
        </w:rPr>
      </w:pPr>
      <w:r>
        <w:rPr>
          <w:rFonts w:hint="cs"/>
          <w:rtl/>
        </w:rPr>
        <w:t>בעבירות גרימת המוות קבועה</w:t>
      </w:r>
      <w:r w:rsidR="00FF2FDE" w:rsidRPr="001A6EAE">
        <w:rPr>
          <w:rtl/>
        </w:rPr>
        <w:t xml:space="preserve"> גם עבירת נ</w:t>
      </w:r>
      <w:r>
        <w:rPr>
          <w:rFonts w:hint="cs"/>
          <w:rtl/>
        </w:rPr>
        <w:t>י</w:t>
      </w:r>
      <w:r>
        <w:rPr>
          <w:rtl/>
        </w:rPr>
        <w:t xml:space="preserve">סיון לרצח </w:t>
      </w:r>
      <w:r>
        <w:rPr>
          <w:rFonts w:hint="cs"/>
          <w:rtl/>
        </w:rPr>
        <w:t>שה</w:t>
      </w:r>
      <w:r>
        <w:rPr>
          <w:rtl/>
        </w:rPr>
        <w:t>עונש בצידה הוא עשרים שנות מאסר</w:t>
      </w:r>
      <w:r w:rsidR="00FF2FDE" w:rsidRPr="001A6EAE">
        <w:rPr>
          <w:rtl/>
        </w:rPr>
        <w:t>.</w:t>
      </w:r>
    </w:p>
    <w:p w:rsidR="00FF2FDE" w:rsidRPr="001A6EAE" w:rsidRDefault="00FF2FDE" w:rsidP="00686772">
      <w:pPr>
        <w:pStyle w:val="Hesber"/>
        <w:spacing w:line="336" w:lineRule="auto"/>
        <w:rPr>
          <w:rtl/>
        </w:rPr>
      </w:pPr>
      <w:r w:rsidRPr="001A6EAE">
        <w:rPr>
          <w:rtl/>
        </w:rPr>
        <w:t>הדירוג של עבירות הרצח, ההריגה וגרימת המוות ברשלנות בחוק הקיים מעורר קושי ואינו משקף את המדרג המיטבי והראוי. הקושי שמעוררת עבירת הרצח הוא היותה רחבה יתר על המידה מחד גיסא, וצרה יתר על המידה מאידך גיסא. העבירה, כפי שהיא קיימת ומפורשת כיום, אינה חלה על מעשים שחומרתם רבה וראוי לתייגם בדרגת החומרה העליונה של עבירות ההמתה, ומנגד היא חלה על מעשים שמבחינת חומרתם לא ראוי היה לתייגם כרצח. הקושי שמעוררת עבירת ההריגה הוא היותה רחבה יתר על המידה, וכוללת הן מקרי המתה חמורים יחסית של המתה מכוונת והן מקרי המתה קלים יחסית, של המתה בקלות דעת. גם נקודת ההשקה בין עבירת ההריגה לעבירת גרם מוות ברשלנות מעוררת קושי, בשל הפער הניכר בין שתי העבירות הן במישור האחריות והתיוג הנלווה אליהן והן במישור הענישה. לפיכך, נדרש שינוי יסודי ובנייה מחודשת של עבירות ההמתה. אשר לעונש – העונש של מאסר עולם חובה הקבוע בצד עבירות הרצח, שלא ניתן לסטות ממנו, הוא עונש שאינו מאפשר גמישות והכרעה בהתאם לנסיבות המקרה הפרטניות, ולעתים הוא אינו הולם את מידת האשמה שבמעשה.</w:t>
      </w:r>
    </w:p>
    <w:p w:rsidR="00FF2FDE" w:rsidRPr="001A6EAE" w:rsidRDefault="00FF2FDE" w:rsidP="00686772">
      <w:pPr>
        <w:pStyle w:val="Hesber"/>
        <w:spacing w:line="336" w:lineRule="auto"/>
        <w:rPr>
          <w:rtl/>
        </w:rPr>
      </w:pPr>
      <w:r w:rsidRPr="001A6EAE">
        <w:rPr>
          <w:rtl/>
        </w:rPr>
        <w:t>חשיבות ערך חיי האדם כאחד מהערכים העליונים במדינת ישראל מחייב חשיבה נוספת על המדרג הנורמטיבי והראוי של עבירות ההמתה ועונשן בחוק.</w:t>
      </w:r>
    </w:p>
    <w:p w:rsidR="00FF2FDE" w:rsidRPr="008F2B88" w:rsidRDefault="00FF2FDE" w:rsidP="00686772">
      <w:pPr>
        <w:pStyle w:val="Hesber"/>
        <w:spacing w:line="336" w:lineRule="auto"/>
        <w:rPr>
          <w:rtl/>
        </w:rPr>
      </w:pPr>
      <w:r w:rsidRPr="008F2B88">
        <w:rPr>
          <w:rtl/>
        </w:rPr>
        <w:t>נוכח קש</w:t>
      </w:r>
      <w:r w:rsidR="001A6EAE" w:rsidRPr="008F2B88">
        <w:rPr>
          <w:rtl/>
        </w:rPr>
        <w:t xml:space="preserve">יים אלו, </w:t>
      </w:r>
      <w:r w:rsidR="001A6EAE" w:rsidRPr="008F2B88">
        <w:rPr>
          <w:rFonts w:hint="cs"/>
          <w:rtl/>
        </w:rPr>
        <w:t>מוצע</w:t>
      </w:r>
      <w:r w:rsidR="001A6EAE" w:rsidRPr="008F2B88">
        <w:rPr>
          <w:rtl/>
        </w:rPr>
        <w:t xml:space="preserve"> התיקון לחוק ע</w:t>
      </w:r>
      <w:r w:rsidR="001A6EAE" w:rsidRPr="008F2B88">
        <w:rPr>
          <w:rFonts w:hint="cs"/>
          <w:rtl/>
        </w:rPr>
        <w:t>ל מנת</w:t>
      </w:r>
      <w:r w:rsidRPr="008F2B88">
        <w:rPr>
          <w:rtl/>
        </w:rPr>
        <w:t xml:space="preserve"> להביא לשינוי יסודי של עבירות ההמתה תוך דירוגן מחדש וכפי שיפורטו להלן:</w:t>
      </w:r>
    </w:p>
    <w:p w:rsidR="00FF2FDE" w:rsidRPr="008F2B88" w:rsidRDefault="00FF2FDE" w:rsidP="00686772">
      <w:pPr>
        <w:pStyle w:val="Hesber"/>
        <w:spacing w:line="336" w:lineRule="auto"/>
        <w:rPr>
          <w:rtl/>
        </w:rPr>
      </w:pPr>
      <w:r w:rsidRPr="008F2B88">
        <w:rPr>
          <w:rtl/>
        </w:rPr>
        <w:lastRenderedPageBreak/>
        <w:t>במקום עבירת הרצח המוכרת כיום יבואו:</w:t>
      </w:r>
    </w:p>
    <w:p w:rsidR="00FF2FDE" w:rsidRPr="008F2B88" w:rsidRDefault="00FF2FDE" w:rsidP="00686772">
      <w:pPr>
        <w:pStyle w:val="Hesber"/>
        <w:spacing w:line="336" w:lineRule="auto"/>
        <w:rPr>
          <w:rtl/>
        </w:rPr>
      </w:pPr>
      <w:r w:rsidRPr="008F2B88">
        <w:rPr>
          <w:rtl/>
        </w:rPr>
        <w:t>1. רצח בנסי</w:t>
      </w:r>
      <w:r w:rsidR="001A6EAE" w:rsidRPr="008F2B88">
        <w:rPr>
          <w:rFonts w:hint="cs"/>
          <w:rtl/>
        </w:rPr>
        <w:t>ב</w:t>
      </w:r>
      <w:r w:rsidRPr="008F2B88">
        <w:rPr>
          <w:rtl/>
        </w:rPr>
        <w:t>ות מחמירות</w:t>
      </w:r>
    </w:p>
    <w:p w:rsidR="00FF2FDE" w:rsidRPr="008F2B88" w:rsidRDefault="00FF2FDE" w:rsidP="00686772">
      <w:pPr>
        <w:pStyle w:val="Hesber"/>
        <w:spacing w:line="336" w:lineRule="auto"/>
        <w:rPr>
          <w:rtl/>
        </w:rPr>
      </w:pPr>
      <w:r w:rsidRPr="008F2B88">
        <w:rPr>
          <w:rtl/>
        </w:rPr>
        <w:t>2. עבירת הרצח הבסיסית</w:t>
      </w:r>
    </w:p>
    <w:p w:rsidR="00FF2FDE" w:rsidRPr="008F2B88" w:rsidRDefault="00FF2FDE" w:rsidP="00686772">
      <w:pPr>
        <w:pStyle w:val="Hesber"/>
        <w:spacing w:line="336" w:lineRule="auto"/>
        <w:rPr>
          <w:rtl/>
        </w:rPr>
      </w:pPr>
      <w:r w:rsidRPr="008F2B88">
        <w:rPr>
          <w:rtl/>
        </w:rPr>
        <w:t xml:space="preserve">במקום עבירת ההריגה המוכרת כיום יהיו: </w:t>
      </w:r>
    </w:p>
    <w:p w:rsidR="00FF2FDE" w:rsidRPr="008F2B88" w:rsidRDefault="00FF2FDE" w:rsidP="00686772">
      <w:pPr>
        <w:pStyle w:val="Hesber"/>
        <w:spacing w:line="336" w:lineRule="auto"/>
        <w:rPr>
          <w:rtl/>
        </w:rPr>
      </w:pPr>
      <w:r w:rsidRPr="008F2B88">
        <w:rPr>
          <w:rtl/>
        </w:rPr>
        <w:t xml:space="preserve">3. המתה באחריות מופחתת </w:t>
      </w:r>
    </w:p>
    <w:p w:rsidR="00FF2FDE" w:rsidRPr="008F2B88" w:rsidRDefault="00FF2FDE" w:rsidP="00686772">
      <w:pPr>
        <w:pStyle w:val="Hesber"/>
        <w:spacing w:line="336" w:lineRule="auto"/>
        <w:rPr>
          <w:rtl/>
        </w:rPr>
      </w:pPr>
      <w:r w:rsidRPr="008F2B88">
        <w:rPr>
          <w:rtl/>
        </w:rPr>
        <w:t>4. המתה בקלות דעת.</w:t>
      </w:r>
    </w:p>
    <w:p w:rsidR="00FF2FDE" w:rsidRPr="008F2B88" w:rsidRDefault="00FF2FDE" w:rsidP="00686772">
      <w:pPr>
        <w:pStyle w:val="Hesber"/>
        <w:spacing w:line="336" w:lineRule="auto"/>
        <w:rPr>
          <w:rtl/>
        </w:rPr>
      </w:pPr>
      <w:r w:rsidRPr="008F2B88">
        <w:rPr>
          <w:rtl/>
        </w:rPr>
        <w:t>במקום עבירת גרימת המוות ברשלנות המוכרת כיום יבואו:</w:t>
      </w:r>
    </w:p>
    <w:p w:rsidR="00FF2FDE" w:rsidRPr="008F2B88" w:rsidRDefault="00FF2FDE" w:rsidP="00686772">
      <w:pPr>
        <w:pStyle w:val="Hesber"/>
        <w:spacing w:line="336" w:lineRule="auto"/>
        <w:rPr>
          <w:rtl/>
        </w:rPr>
      </w:pPr>
      <w:r w:rsidRPr="008F2B88">
        <w:rPr>
          <w:rtl/>
        </w:rPr>
        <w:t xml:space="preserve">5. גרימת מוות בהתרשלות רבתי </w:t>
      </w:r>
    </w:p>
    <w:p w:rsidR="00FF2FDE" w:rsidRPr="008F2B88" w:rsidRDefault="00FF2FDE" w:rsidP="00686772">
      <w:pPr>
        <w:pStyle w:val="Hesber"/>
        <w:spacing w:line="336" w:lineRule="auto"/>
        <w:rPr>
          <w:rtl/>
        </w:rPr>
      </w:pPr>
      <w:r w:rsidRPr="008F2B88">
        <w:rPr>
          <w:rtl/>
        </w:rPr>
        <w:t xml:space="preserve">6. גרימת מוות ברשלנות. </w:t>
      </w:r>
    </w:p>
    <w:p w:rsidR="00FF2FDE" w:rsidRPr="008F2B88" w:rsidRDefault="00FF2FDE" w:rsidP="00686772">
      <w:pPr>
        <w:pStyle w:val="Hesber"/>
        <w:spacing w:line="336" w:lineRule="auto"/>
        <w:rPr>
          <w:rtl/>
        </w:rPr>
      </w:pPr>
      <w:r w:rsidRPr="008F2B88">
        <w:rPr>
          <w:rtl/>
        </w:rPr>
        <w:t>פירוט התיקונים המוצעים בחוק זה:</w:t>
      </w:r>
    </w:p>
    <w:p w:rsidR="00FF2FDE" w:rsidRPr="001A6EAE" w:rsidRDefault="00FF2FDE" w:rsidP="00686772">
      <w:pPr>
        <w:pStyle w:val="Hesber"/>
        <w:spacing w:line="336" w:lineRule="auto"/>
        <w:rPr>
          <w:rtl/>
        </w:rPr>
      </w:pPr>
      <w:r w:rsidRPr="001A6EAE">
        <w:rPr>
          <w:rtl/>
        </w:rPr>
        <w:t xml:space="preserve">1. </w:t>
      </w:r>
      <w:r w:rsidR="003E74CE">
        <w:rPr>
          <w:rFonts w:hint="cs"/>
          <w:rtl/>
        </w:rPr>
        <w:t xml:space="preserve">רשלנות – </w:t>
      </w:r>
      <w:r w:rsidRPr="001A6EAE">
        <w:rPr>
          <w:rtl/>
        </w:rPr>
        <w:t xml:space="preserve">מוצע לתקן את היסוד הנפשי של רשלנות הקבוע בסעיף 21 לחוק העונשין, בשני עניינים מרכזיים: </w:t>
      </w:r>
    </w:p>
    <w:p w:rsidR="00FF2FDE" w:rsidRPr="008F2B88" w:rsidRDefault="00FF2FDE" w:rsidP="00686772">
      <w:pPr>
        <w:pStyle w:val="Hesber"/>
        <w:spacing w:line="336" w:lineRule="auto"/>
        <w:rPr>
          <w:rtl/>
        </w:rPr>
      </w:pPr>
      <w:r w:rsidRPr="008F2B88">
        <w:rPr>
          <w:rtl/>
        </w:rPr>
        <w:t xml:space="preserve">האחד, הפיכת מבחן </w:t>
      </w:r>
      <w:r w:rsidR="003E74CE" w:rsidRPr="008F2B88">
        <w:rPr>
          <w:rFonts w:hint="cs"/>
          <w:rtl/>
        </w:rPr>
        <w:t>של נטילת</w:t>
      </w:r>
      <w:r w:rsidR="003E74CE" w:rsidRPr="008F2B88">
        <w:rPr>
          <w:rtl/>
        </w:rPr>
        <w:t xml:space="preserve"> </w:t>
      </w:r>
      <w:r w:rsidRPr="008F2B88">
        <w:rPr>
          <w:rtl/>
        </w:rPr>
        <w:t xml:space="preserve">סיכון בלתי סביר ממבחן שלילי ("ובלבד [...] שאפשרות גרימת התוצאות לא </w:t>
      </w:r>
      <w:proofErr w:type="spellStart"/>
      <w:r w:rsidRPr="008F2B88">
        <w:rPr>
          <w:rtl/>
        </w:rPr>
        <w:t>היתה</w:t>
      </w:r>
      <w:proofErr w:type="spellEnd"/>
      <w:r w:rsidRPr="008F2B88">
        <w:rPr>
          <w:rtl/>
        </w:rPr>
        <w:t xml:space="preserve"> בגדר הסיכון הסביר"), לתנאי לקיומה של הרשלנות: "במעשהו יצר העושה סיכון בלתי סביר להתרחשות התוצאה". תיקון זה מדגיש את הצורך במתן תוכן משמעותי ליסוד העובדתי של העבירה שהרשלנות היא היסוד הנפשי שלה ונועד לחדד את הרף הנורמטיבי שביישום העבירה ולמקד את האחריות ברשלנות לנאשמים שמעשיהם מקימים אשם המצדיק הרשעה בפלילים. המבחן השלילי של יצירת סיכון בלתי סביר לא בא לידי ביטוי מספיק ביישומו של סעיף 21 לחוק העונשין. התיקון המוצע נועד להדגיש מבחן זה כאמור, ובכך להביא לשינוי הרף הנורמטיבי הקיים, כך שהאחריות ברשלנות תוטל רק במצבים בהם דבק בהתנהגות אשם חמור יותר.  </w:t>
      </w:r>
    </w:p>
    <w:p w:rsidR="00FF2FDE" w:rsidRPr="001A6EAE" w:rsidRDefault="00FF2FDE" w:rsidP="00686772">
      <w:pPr>
        <w:pStyle w:val="Hesber"/>
        <w:spacing w:line="336" w:lineRule="auto"/>
        <w:rPr>
          <w:rtl/>
        </w:rPr>
      </w:pPr>
      <w:r w:rsidRPr="008F2B88">
        <w:rPr>
          <w:rtl/>
        </w:rPr>
        <w:t>השני, תיקון שמחיל את מבחן יצירת הסיכון הבלתי סביר גם על עבירות שאינן עבירות תוצאה.</w:t>
      </w:r>
      <w:r w:rsidRPr="001A6EAE">
        <w:rPr>
          <w:rtl/>
        </w:rPr>
        <w:t xml:space="preserve"> בעבירות שאינן עבירות תוצאה לא נדרש להוכיח שהסיכון הטמון בהתנהגות אינו סיכון סביר. על מנת להסיר ספק זה נדרש להבהיר שגם בעבירות שאינן </w:t>
      </w:r>
      <w:proofErr w:type="spellStart"/>
      <w:r w:rsidRPr="001A6EAE">
        <w:rPr>
          <w:rtl/>
        </w:rPr>
        <w:t>תוצאתיות</w:t>
      </w:r>
      <w:proofErr w:type="spellEnd"/>
      <w:r w:rsidRPr="001A6EAE">
        <w:rPr>
          <w:rtl/>
        </w:rPr>
        <w:t>, אך מנויה ביסודותיהן סכנה, יש מקום למבחן שימנע הרשעה של</w:t>
      </w:r>
      <w:r w:rsidR="008F2B88">
        <w:rPr>
          <w:rtl/>
        </w:rPr>
        <w:t xml:space="preserve"> מי שלא יצר סיכון בלתי סביר. </w:t>
      </w:r>
      <w:r w:rsidRPr="001A6EAE">
        <w:rPr>
          <w:rtl/>
        </w:rPr>
        <w:t xml:space="preserve">יסודות העבירה אינן כוללות תוצאה, אלא יצירת סיכון לחיי אדם, ומן הראוי להחיל גם על עבירה זו את מבחן יצירת הסיכון הבלתי סביר אשר בהגדרת הרשלנות. </w:t>
      </w:r>
    </w:p>
    <w:p w:rsidR="00FF2FDE" w:rsidRPr="001A6EAE" w:rsidRDefault="00FF2FDE" w:rsidP="00686772">
      <w:pPr>
        <w:pStyle w:val="Hesber"/>
        <w:spacing w:line="336" w:lineRule="auto"/>
        <w:rPr>
          <w:rtl/>
        </w:rPr>
      </w:pPr>
      <w:r w:rsidRPr="001A6EAE">
        <w:rPr>
          <w:rtl/>
        </w:rPr>
        <w:t xml:space="preserve">2. </w:t>
      </w:r>
      <w:r w:rsidR="003E74CE">
        <w:rPr>
          <w:rFonts w:hint="cs"/>
          <w:rtl/>
        </w:rPr>
        <w:t xml:space="preserve">עבירת רצח בנסיבות מחמירות – </w:t>
      </w:r>
      <w:r w:rsidRPr="001A6EAE">
        <w:rPr>
          <w:rtl/>
        </w:rPr>
        <w:t>מוצע לתקן את סעיף 35א ולעגן את עבירת הרצח בנסיבות מחמירות בסעיף זה מהסיבות שפורט</w:t>
      </w:r>
      <w:r w:rsidR="003E74CE">
        <w:rPr>
          <w:rtl/>
        </w:rPr>
        <w:t>ו לעיל. סעיף זה מפנה ל</w:t>
      </w:r>
      <w:r w:rsidR="003E74CE">
        <w:rPr>
          <w:rFonts w:hint="cs"/>
          <w:rtl/>
        </w:rPr>
        <w:t xml:space="preserve">סעיף 301א(א) לחוק המוצע, הקבוע בסעיף 6 </w:t>
      </w:r>
      <w:r w:rsidR="008F2B88">
        <w:rPr>
          <w:rFonts w:hint="cs"/>
          <w:rtl/>
        </w:rPr>
        <w:t>ל</w:t>
      </w:r>
      <w:r w:rsidR="003E74CE">
        <w:rPr>
          <w:rFonts w:hint="cs"/>
          <w:rtl/>
        </w:rPr>
        <w:t>הצעה,</w:t>
      </w:r>
      <w:r w:rsidRPr="001A6EAE">
        <w:rPr>
          <w:rtl/>
        </w:rPr>
        <w:t xml:space="preserve"> המפרטת את עבירה הרצח בנסיבות מחמירות כפי שיפורט בהמשך.</w:t>
      </w:r>
    </w:p>
    <w:p w:rsidR="00FF2FDE" w:rsidRPr="001A6EAE" w:rsidRDefault="00FF2FDE" w:rsidP="00686772">
      <w:pPr>
        <w:pStyle w:val="Hesber"/>
        <w:spacing w:line="336" w:lineRule="auto"/>
        <w:rPr>
          <w:rtl/>
        </w:rPr>
      </w:pPr>
      <w:r w:rsidRPr="001A6EAE">
        <w:rPr>
          <w:rtl/>
        </w:rPr>
        <w:t xml:space="preserve">3. </w:t>
      </w:r>
      <w:r w:rsidR="003E74CE">
        <w:rPr>
          <w:rFonts w:hint="cs"/>
          <w:rtl/>
        </w:rPr>
        <w:t xml:space="preserve">ביטול עבירת ההריגה הקבועה בסעיף 298 – מוצע לבטל את </w:t>
      </w:r>
      <w:r w:rsidRPr="001A6EAE">
        <w:rPr>
          <w:rtl/>
        </w:rPr>
        <w:t>סעיף 298 לחוק המעגן כיום את עבירת ההריגה ובמקומו יבואו סעיפים 301ב ו301ג כפי שיפורט בהמשך.</w:t>
      </w:r>
    </w:p>
    <w:p w:rsidR="00FF2FDE" w:rsidRPr="001A6EAE" w:rsidRDefault="003E74CE" w:rsidP="00686772">
      <w:pPr>
        <w:pStyle w:val="Hesber"/>
        <w:spacing w:line="336" w:lineRule="auto"/>
        <w:rPr>
          <w:rtl/>
        </w:rPr>
      </w:pPr>
      <w:r>
        <w:rPr>
          <w:rtl/>
        </w:rPr>
        <w:t>4. החלפת סעיף 300(א)</w:t>
      </w:r>
      <w:r>
        <w:rPr>
          <w:rFonts w:hint="cs"/>
          <w:rtl/>
        </w:rPr>
        <w:t xml:space="preserve"> –</w:t>
      </w:r>
      <w:r w:rsidR="00FF2FDE" w:rsidRPr="001A6EAE">
        <w:rPr>
          <w:rtl/>
        </w:rPr>
        <w:t xml:space="preserve"> עבירת הרצח הבסיסית:</w:t>
      </w:r>
    </w:p>
    <w:p w:rsidR="00FF2FDE" w:rsidRPr="001A6EAE" w:rsidRDefault="00FF2FDE" w:rsidP="00686772">
      <w:pPr>
        <w:pStyle w:val="Hesber"/>
        <w:spacing w:line="336" w:lineRule="auto"/>
        <w:rPr>
          <w:rtl/>
        </w:rPr>
      </w:pPr>
      <w:r w:rsidRPr="001A6EAE">
        <w:rPr>
          <w:rtl/>
        </w:rPr>
        <w:t>כוללת מעשים שגרמו למותו של אדם בכוונה או באדישות, אף אם לא התגבשו בעושה</w:t>
      </w:r>
      <w:r w:rsidR="004764EE">
        <w:rPr>
          <w:rFonts w:hint="cs"/>
          <w:rtl/>
        </w:rPr>
        <w:t xml:space="preserve"> העברה</w:t>
      </w:r>
      <w:r w:rsidRPr="001A6EAE">
        <w:rPr>
          <w:rtl/>
        </w:rPr>
        <w:t xml:space="preserve"> יסודות כוונה תחילה. מוצע כי היסוד הנפשי בעבירת הרצח הבסיסית יכלול המתה מכוונת והמתה באדישות.</w:t>
      </w:r>
      <w:r w:rsidR="004764EE">
        <w:rPr>
          <w:rFonts w:hint="cs"/>
          <w:rtl/>
        </w:rPr>
        <w:t xml:space="preserve"> עבירת הרצח הבסיסית</w:t>
      </w:r>
      <w:r w:rsidRPr="001A6EAE">
        <w:rPr>
          <w:rtl/>
        </w:rPr>
        <w:t xml:space="preserve"> נועדה לתפוס את המקרים החמורים, אך לא את החמורים ביותר. היסוד הנפשי של אדישות הולם את עבירת הרצח הבסיסית משום שהוא מגלם עמדה שלילית מובהקת ויסוד נפשי מגונה כלפי הערך של חיי אדם. יסוד נפשי של אדישות, מוגדר בסעיף 20(א)(2)(א) לחוק העונשין כשוויון נפש לאפשרות גרימת תוצאות המעשה הנמנות עם פרטי העבירה. העושה האדיש אינו חפץ בהשגת התוצאה הקטלנית. דווקא על רקע זה ולאור חשיבותו של ערך חיי אדם, ניתן לצפות מהעושה להעדיף בבירור </w:t>
      </w:r>
      <w:proofErr w:type="spellStart"/>
      <w:r w:rsidRPr="001A6EAE">
        <w:rPr>
          <w:rtl/>
        </w:rPr>
        <w:t>להמנע</w:t>
      </w:r>
      <w:proofErr w:type="spellEnd"/>
      <w:r w:rsidRPr="001A6EAE">
        <w:rPr>
          <w:rtl/>
        </w:rPr>
        <w:t xml:space="preserve"> ממעשה שהוא צופה שיביא להתרחשות התוצאה</w:t>
      </w:r>
      <w:r w:rsidR="004764EE">
        <w:rPr>
          <w:rFonts w:hint="cs"/>
          <w:rtl/>
        </w:rPr>
        <w:t>.</w:t>
      </w:r>
      <w:r w:rsidRPr="001A6EAE">
        <w:rPr>
          <w:rtl/>
        </w:rPr>
        <w:t xml:space="preserve"> יסוד נפשי זה מבטא זלזול מובהק </w:t>
      </w:r>
      <w:r w:rsidRPr="001A6EAE">
        <w:rPr>
          <w:rtl/>
        </w:rPr>
        <w:lastRenderedPageBreak/>
        <w:t>והתנכרות קשה וחמורה לערך חיי אדם, שבעטיים מעשה ההמתה הוא מעשה חמור מובהק.</w:t>
      </w:r>
    </w:p>
    <w:p w:rsidR="00FF2FDE" w:rsidRPr="001A6EAE" w:rsidRDefault="00FF2FDE" w:rsidP="00686772">
      <w:pPr>
        <w:pStyle w:val="Hesber"/>
        <w:spacing w:line="336" w:lineRule="auto"/>
        <w:rPr>
          <w:rtl/>
        </w:rPr>
      </w:pPr>
      <w:r w:rsidRPr="001A6EAE">
        <w:rPr>
          <w:rtl/>
        </w:rPr>
        <w:t xml:space="preserve">עם זאת, מוצע לאפשר לבית המשפט, במקרה בו מצא שהתקיימו נסיבות מיוחדות שבגינן המעשה אינו מבטא דרגה גבוהה במיוחד של אשמה, על אף התקיימותן של הנסיבות המחמירות הקבועות בעבירה – להרשיע את העושה בעבירת הרצח הבסיסית. כאמור, לפי המוצע </w:t>
      </w:r>
      <w:r w:rsidR="008F2B88">
        <w:rPr>
          <w:rFonts w:hint="cs"/>
          <w:rtl/>
        </w:rPr>
        <w:t>–</w:t>
      </w:r>
      <w:r w:rsidRPr="001A6EAE">
        <w:rPr>
          <w:rtl/>
        </w:rPr>
        <w:t xml:space="preserve"> הורשע אדם בעבירת הרצח הבסיסית  </w:t>
      </w:r>
      <w:r w:rsidR="008F2B88">
        <w:rPr>
          <w:rFonts w:hint="cs"/>
          <w:rtl/>
        </w:rPr>
        <w:t>–</w:t>
      </w:r>
      <w:r w:rsidR="008F2B88">
        <w:rPr>
          <w:rtl/>
        </w:rPr>
        <w:t xml:space="preserve"> לא יהיה בית המשפט מחו</w:t>
      </w:r>
      <w:r w:rsidRPr="001A6EAE">
        <w:rPr>
          <w:rtl/>
        </w:rPr>
        <w:t xml:space="preserve">יב להטיל מאסר עולם. </w:t>
      </w:r>
    </w:p>
    <w:p w:rsidR="00FF2FDE" w:rsidRPr="001A6EAE" w:rsidRDefault="00FF2FDE" w:rsidP="00686772">
      <w:pPr>
        <w:pStyle w:val="Hesber"/>
        <w:spacing w:line="336" w:lineRule="auto"/>
        <w:rPr>
          <w:rtl/>
        </w:rPr>
      </w:pPr>
      <w:r w:rsidRPr="001A6EAE">
        <w:rPr>
          <w:rtl/>
        </w:rPr>
        <w:t>מכיוון שקיים קושי בתיחום מדויק מראש של עבירת הרצח בנסיבות מחמירות באמצעות נוסחה משפטית, או קביעת נסיבות מסוימות וייתכנו מקרים פרטניים שנסיבותיהם הייחודיות לא ילוו בדרגת האשמה החמורה המאפיינת את העבירה המוחמרת, אף שהתקיימה הנסיבה המחמירה שקבע המחוקק. במקרים חריגים אלו לא מוצדק להרשיע את העושה בעבירה של רצח בנסיבות מחמירות ולתייגו באופן זה. לפיכך, מוצע כי באותם מקרים חריגים, בהם לדעת בית המשפט הדן בעניין, המעשה אינו מבטא דרגה גבוהה במיוחד של אשמה, יימנע בית המשפט מהרשעה בעבירה של רצח בנסיבות מחמירות, גם אם התקיימה נסיבה מחמירה, ותחת זאת ירשיע את העושה בעבירה הבסיסית של רצח, שעונשה המרבי הוא מאסר עולם. יודגש כי על פי המוצע שיקול הדעת שיינתן לבית המשפט יהיה בשאלת האחריות בלבד. ככל שהחליט בית המשפט להרשיע בעבירה של רצח בנסיבות מחמירות, עליו להטיל על הנאשם מאסר עולם כעונש חובה. עונש זה מבטא את החשיבות המיוחדת של ערך חיי האדם, החומרה המיוחדת שבקיפוחם וההוקעה החברתית הראויה למעשה ולעושה. קביעת עונש זה כעונש מרבי בעבירת הרצח הבסיסית, תאפשר גמישות והטלת עונשים קלים יותר במקרים המתאימים.</w:t>
      </w:r>
    </w:p>
    <w:p w:rsidR="00FF2FDE" w:rsidRPr="001A6EAE" w:rsidRDefault="00FF2FDE" w:rsidP="00686772">
      <w:pPr>
        <w:pStyle w:val="Hesber"/>
        <w:spacing w:line="336" w:lineRule="auto"/>
        <w:rPr>
          <w:rtl/>
        </w:rPr>
      </w:pPr>
      <w:r w:rsidRPr="001A6EAE">
        <w:rPr>
          <w:rtl/>
        </w:rPr>
        <w:t>5. ביטול סעיפים 300א ו – 301</w:t>
      </w:r>
    </w:p>
    <w:p w:rsidR="00FF2FDE" w:rsidRPr="00C15B94" w:rsidRDefault="00FF2FDE" w:rsidP="00686772">
      <w:pPr>
        <w:pStyle w:val="Hesber"/>
        <w:spacing w:line="336" w:lineRule="auto"/>
        <w:rPr>
          <w:rtl/>
        </w:rPr>
      </w:pPr>
      <w:r w:rsidRPr="00C15B94">
        <w:rPr>
          <w:rtl/>
        </w:rPr>
        <w:t xml:space="preserve">6. הוספת סעיפים 301א עד 301ד: </w:t>
      </w:r>
    </w:p>
    <w:p w:rsidR="00FF2FDE" w:rsidRPr="008F2B88" w:rsidRDefault="00FF2FDE" w:rsidP="00686772">
      <w:pPr>
        <w:pStyle w:val="Hesber"/>
        <w:spacing w:line="336" w:lineRule="auto"/>
        <w:ind w:firstLine="0"/>
        <w:rPr>
          <w:rtl/>
        </w:rPr>
      </w:pPr>
      <w:r w:rsidRPr="008F2B88">
        <w:rPr>
          <w:rtl/>
        </w:rPr>
        <w:t xml:space="preserve"> עבירת הרצח בנסיבות מחמירות</w:t>
      </w:r>
      <w:r w:rsidR="00C15B94">
        <w:rPr>
          <w:rFonts w:hint="cs"/>
          <w:rtl/>
        </w:rPr>
        <w:t xml:space="preserve"> </w:t>
      </w:r>
      <w:r w:rsidR="00C15B94">
        <w:rPr>
          <w:rFonts w:hint="eastAsia"/>
          <w:rtl/>
        </w:rPr>
        <w:t>–</w:t>
      </w:r>
      <w:r w:rsidR="004764EE" w:rsidRPr="008F2B88">
        <w:rPr>
          <w:rFonts w:hint="cs"/>
          <w:rtl/>
        </w:rPr>
        <w:t xml:space="preserve"> סעיף </w:t>
      </w:r>
      <w:r w:rsidR="004764EE" w:rsidRPr="008F2B88">
        <w:rPr>
          <w:rtl/>
        </w:rPr>
        <w:t>301א</w:t>
      </w:r>
      <w:r w:rsidR="004764EE" w:rsidRPr="008F2B88">
        <w:rPr>
          <w:rFonts w:hint="cs"/>
          <w:rtl/>
        </w:rPr>
        <w:t xml:space="preserve"> </w:t>
      </w:r>
      <w:r w:rsidR="004764EE" w:rsidRPr="008F2B88">
        <w:rPr>
          <w:rFonts w:hint="eastAsia"/>
          <w:rtl/>
        </w:rPr>
        <w:t>–</w:t>
      </w:r>
    </w:p>
    <w:p w:rsidR="00FF2FDE" w:rsidRPr="008F2B88" w:rsidRDefault="00FF2FDE" w:rsidP="00686772">
      <w:pPr>
        <w:pStyle w:val="Hesber"/>
        <w:spacing w:line="336" w:lineRule="auto"/>
        <w:rPr>
          <w:rtl/>
        </w:rPr>
      </w:pPr>
      <w:r w:rsidRPr="008F2B88">
        <w:rPr>
          <w:rtl/>
        </w:rPr>
        <w:t xml:space="preserve">עבירה זו מונה את מצבי ההמתה החמורים ביותר במדרג עבירות ההמתה, בהם המעשה מבטא דרגה גבוהה במיוחד של אשמה. ראוי כי העונש שייגזר על מעשים אלה יהיה העונש החמור ביותר, המבטא את הערך העליון של קדושת חיי אדם ואת הפגיעה הקשה ביותר בערך זה במעשי ההמתה במקרים אלה. אלו הם מקרי רצח המבטאים חומרה מוסרית מיוחדת, בהתבסס, בין היתר, על החקיקה במדינות אחרות בעולם. קביעת עבירת רצח בנסיבות מחמירות מבטאת את משקלם המיוחד של שיקולי האשם, ההוקעה, הגמול וההרתעה במקרים אלה, הן בדרך של תיוג מיוחד של מעשה הרצח כרצח בנסיבות מחמירות והן בדרך של ענישת חובה. חלק מהנסיבות המחמירות כוללות מניע או מטרה. </w:t>
      </w:r>
    </w:p>
    <w:p w:rsidR="00FF2FDE" w:rsidRPr="008F2B88" w:rsidRDefault="00FF2FDE" w:rsidP="00686772">
      <w:pPr>
        <w:pStyle w:val="Hesber"/>
        <w:spacing w:line="336" w:lineRule="auto"/>
        <w:rPr>
          <w:rtl/>
        </w:rPr>
      </w:pPr>
      <w:r w:rsidRPr="008F2B88">
        <w:rPr>
          <w:rtl/>
        </w:rPr>
        <w:t>מוצע לקבוע כי מעשי רצח כפי שיפורטו להלן הן נסיבות מחמירות, המצדיקות תיוג חמור במיוחד, ושבגינן ראוי שיוטל על הרוצח מאסר עולם כעונש חובה:</w:t>
      </w:r>
    </w:p>
    <w:p w:rsidR="00FF2FDE" w:rsidRPr="008F2B88" w:rsidRDefault="00FF2FDE" w:rsidP="00686772">
      <w:pPr>
        <w:pStyle w:val="Hesber"/>
        <w:spacing w:line="336" w:lineRule="auto"/>
        <w:rPr>
          <w:rtl/>
        </w:rPr>
      </w:pPr>
      <w:r w:rsidRPr="008F2B88">
        <w:rPr>
          <w:rtl/>
        </w:rPr>
        <w:t>(1) מעשה שנעשה לאחר תכנון או לאחר הליך ממשי של שקילה וגיבוש החלטה להמית</w:t>
      </w:r>
      <w:r w:rsidR="004764EE" w:rsidRPr="008F2B88">
        <w:rPr>
          <w:rFonts w:hint="cs"/>
          <w:rtl/>
        </w:rPr>
        <w:t xml:space="preserve"> –</w:t>
      </w:r>
      <w:r w:rsidRPr="008F2B88">
        <w:rPr>
          <w:rtl/>
        </w:rPr>
        <w:t xml:space="preserve"> רצח המבוצע לאחר תכנון או שקילה, כאשר היה סיפק בידי הממית לשקול את השלכות מעשיו ואת תוצאותיהם, או כאשר הרצח תוכנן מבעוד מועד והתגבשה החלטה להמית. מקרים בהם הממית שקל והחליט לקטול את קורבנו להבדיל ממקרים בהם הרצון להמית נוצר באופן ספונטאני ובלהט הרגע. </w:t>
      </w:r>
    </w:p>
    <w:p w:rsidR="00FF2FDE" w:rsidRPr="008F2B88" w:rsidRDefault="00FF2FDE" w:rsidP="00686772">
      <w:pPr>
        <w:pStyle w:val="Hesber"/>
        <w:spacing w:line="336" w:lineRule="auto"/>
        <w:rPr>
          <w:rtl/>
        </w:rPr>
      </w:pPr>
      <w:r w:rsidRPr="008F2B88">
        <w:rPr>
          <w:rtl/>
        </w:rPr>
        <w:t>(2) ביצוע רצח במטרה לאפשר או להקל על ביצוע עבירה אחרת או במטרה לכסות על ביצוע עבירה אחרת, או במטרה להימלט מהדין לאחר ביצוע עבירה אחרת –</w:t>
      </w:r>
      <w:r w:rsidR="004764EE" w:rsidRPr="008F2B88">
        <w:rPr>
          <w:rFonts w:hint="cs"/>
          <w:rtl/>
        </w:rPr>
        <w:t xml:space="preserve"> </w:t>
      </w:r>
      <w:r w:rsidRPr="008F2B88">
        <w:rPr>
          <w:rtl/>
        </w:rPr>
        <w:t xml:space="preserve">נדרש מפורשות קשר ענייני בין ההמתה, לבין העבירה האחרת מעבר לעצם ביצוען במקביל. אם בוצעה במטרה לאפשר ביצוע עבירה אחרת או במטרה להימלט מהדין לאחר ביצועה. כמו כן, ברור כי על פי הנוסח המוצע הדרישה בעבירות הרצח ליסוד נפשי של אדישות או כוונה ביחס לתוצאה הקטלנית תחול גם לגבי חלופה זו. </w:t>
      </w:r>
    </w:p>
    <w:p w:rsidR="00FF2FDE" w:rsidRPr="008F2B88" w:rsidRDefault="00FF2FDE" w:rsidP="00686772">
      <w:pPr>
        <w:pStyle w:val="Hesber"/>
        <w:spacing w:line="336" w:lineRule="auto"/>
        <w:rPr>
          <w:rtl/>
        </w:rPr>
      </w:pPr>
      <w:r w:rsidRPr="008F2B88">
        <w:rPr>
          <w:rtl/>
        </w:rPr>
        <w:t xml:space="preserve">(3) קורבן שהוא עד בהליכים פליליים – </w:t>
      </w:r>
      <w:r w:rsidR="004764EE" w:rsidRPr="008F2B88">
        <w:rPr>
          <w:rFonts w:hint="cs"/>
          <w:rtl/>
        </w:rPr>
        <w:t>מוצע לקבוע נסיבה מחמירה זו, ה</w:t>
      </w:r>
      <w:r w:rsidRPr="008F2B88">
        <w:rPr>
          <w:rtl/>
        </w:rPr>
        <w:t xml:space="preserve">משקפת חומרה מיוחדת הנובעת מפגיעה קשה בערך מוגן נוסף, פרט לפגיעה בערך חיי אדם: הפגיעה בסדרי השלטון והמשפט. </w:t>
      </w:r>
      <w:r w:rsidRPr="008F2B88">
        <w:rPr>
          <w:rtl/>
        </w:rPr>
        <w:lastRenderedPageBreak/>
        <w:t xml:space="preserve">מעשה המתה של עד בהליכים פליליים עלול להרתיע עדים מלהעיד, לקרוא תיגר על יציבות שלטון החוק, ובכך עלול לפגוע בתפקודה של מערכת המשפט ובשלטון החוק. </w:t>
      </w:r>
    </w:p>
    <w:p w:rsidR="00FF2FDE" w:rsidRPr="008F2B88" w:rsidRDefault="00FF2FDE" w:rsidP="00686772">
      <w:pPr>
        <w:pStyle w:val="Hesber"/>
        <w:spacing w:line="336" w:lineRule="auto"/>
        <w:rPr>
          <w:rtl/>
        </w:rPr>
      </w:pPr>
      <w:r w:rsidRPr="008F2B88">
        <w:rPr>
          <w:rtl/>
        </w:rPr>
        <w:t>(4) ביצוע רצח במטרה לעורר פחד או להניע גוף שלטוני –</w:t>
      </w:r>
      <w:r w:rsidR="004764EE" w:rsidRPr="008F2B88">
        <w:rPr>
          <w:rFonts w:hint="cs"/>
          <w:rtl/>
        </w:rPr>
        <w:t xml:space="preserve"> מצב בו ה</w:t>
      </w:r>
      <w:r w:rsidRPr="008F2B88">
        <w:rPr>
          <w:rtl/>
        </w:rPr>
        <w:t>עבירה מבוצעת מתוך מטרה טרוריסטית</w:t>
      </w:r>
      <w:r w:rsidR="004764EE" w:rsidRPr="008F2B88">
        <w:rPr>
          <w:rFonts w:hint="cs"/>
          <w:rtl/>
        </w:rPr>
        <w:t>, תהווה נסיבה מחמירה</w:t>
      </w:r>
      <w:r w:rsidRPr="008F2B88">
        <w:rPr>
          <w:rtl/>
        </w:rPr>
        <w:t>. נסיבה זו קובעת כי גם מעשה של יחיד, שלא במסגרת פעילות ארגונית, אך בעל פוטנציאל להשלכות ציבוריות רחבות וקשות, הוא בעל חומרה מיוחדת המצדיקה קביעתו כנסיבה מחמירה. מעשה רצח במסגרת ארגון טרור או ארגוני פשיעה אחרים די בו כדי לבסס קטגוריית חומרה עצמאית (הגדרה זו מבוססת במידה רבה על הגדרת "מעשה טרור" בהצעת חוק המאבק בטרור, התשע"א-2011</w:t>
      </w:r>
      <w:r w:rsidR="004764EE" w:rsidRPr="008F2B88">
        <w:rPr>
          <w:rFonts w:hint="cs"/>
          <w:rtl/>
        </w:rPr>
        <w:t>)</w:t>
      </w:r>
      <w:r w:rsidRPr="008F2B88">
        <w:rPr>
          <w:rtl/>
        </w:rPr>
        <w:t xml:space="preserve">. </w:t>
      </w:r>
    </w:p>
    <w:p w:rsidR="00FF2FDE" w:rsidRPr="008F2B88" w:rsidRDefault="00FF2FDE" w:rsidP="00686772">
      <w:pPr>
        <w:pStyle w:val="Hesber"/>
        <w:spacing w:line="336" w:lineRule="auto"/>
        <w:rPr>
          <w:rtl/>
        </w:rPr>
      </w:pPr>
      <w:r w:rsidRPr="008F2B88">
        <w:rPr>
          <w:rtl/>
        </w:rPr>
        <w:t xml:space="preserve">(5) מניע של גזענות או עוינות כלפי ציבור – "גזענות" מוגדרת בסעיף 144א כ"רדיפה, השפלה, ביזוי, גילוי איבה, עוינות או אלימות, או גרימת מדנים כלפי ציבור או חלקים של האוכלוסייה, והכול בשל צבע או השתייכות לגזע או למוצא לאומי-אתני". הנסיבה המחמירה האמורה חלה לגבי עבירה שנעברה בשל מניע של גזענות או עוינות כלפי ציבור "מחמת דת, קבוצה דתית, מוצא עדתי, נטייה מינית, או היותם עובדים זרים". </w:t>
      </w:r>
    </w:p>
    <w:p w:rsidR="00FF2FDE" w:rsidRPr="008F2B88" w:rsidRDefault="00FF2FDE" w:rsidP="00686772">
      <w:pPr>
        <w:pStyle w:val="Hesber"/>
        <w:spacing w:line="336" w:lineRule="auto"/>
        <w:rPr>
          <w:rtl/>
        </w:rPr>
      </w:pPr>
      <w:r w:rsidRPr="008F2B88">
        <w:rPr>
          <w:rtl/>
        </w:rPr>
        <w:t xml:space="preserve">(6) ביצוע רצח כפעולה </w:t>
      </w:r>
      <w:proofErr w:type="spellStart"/>
      <w:r w:rsidRPr="008F2B88">
        <w:rPr>
          <w:rtl/>
        </w:rPr>
        <w:t>עונשית</w:t>
      </w:r>
      <w:proofErr w:type="spellEnd"/>
      <w:r w:rsidRPr="008F2B88">
        <w:rPr>
          <w:rtl/>
        </w:rPr>
        <w:t xml:space="preserve"> במטרה להטיל מרות על ציבור</w:t>
      </w:r>
      <w:r w:rsidR="004764EE" w:rsidRPr="008F2B88">
        <w:rPr>
          <w:rFonts w:hint="cs"/>
          <w:rtl/>
        </w:rPr>
        <w:t xml:space="preserve"> –</w:t>
      </w:r>
      <w:r w:rsidRPr="008F2B88">
        <w:rPr>
          <w:rtl/>
        </w:rPr>
        <w:t xml:space="preserve"> החומרה היתרה במקרה זה היא שהמעשה אינו פוגע בקורבן בלבד, כי אם מטרתו כפיית דרך התנהגות על אנשים נוספים השייכים לאותו הציבור, הגבלת חירותם והשפלתם. המקרים המובהקים בהם תתקיים נסיבה זו הם המקרים שכונו "רצח על רקע כבוד המשפחה". </w:t>
      </w:r>
    </w:p>
    <w:p w:rsidR="00FF2FDE" w:rsidRPr="008F2B88" w:rsidRDefault="00FF2FDE" w:rsidP="00686772">
      <w:pPr>
        <w:pStyle w:val="Hesber"/>
        <w:spacing w:line="336" w:lineRule="auto"/>
        <w:rPr>
          <w:rtl/>
        </w:rPr>
      </w:pPr>
      <w:r w:rsidRPr="008F2B88">
        <w:rPr>
          <w:rtl/>
        </w:rPr>
        <w:t>(7) אכזריות מיוחדת או התעללות בקורבן –</w:t>
      </w:r>
      <w:r w:rsidR="004764EE" w:rsidRPr="008F2B88">
        <w:rPr>
          <w:rFonts w:hint="cs"/>
          <w:rtl/>
        </w:rPr>
        <w:t xml:space="preserve"> </w:t>
      </w:r>
      <w:r w:rsidRPr="008F2B88">
        <w:rPr>
          <w:rtl/>
        </w:rPr>
        <w:t xml:space="preserve">נועדה לבטא את הסלידה החברתית המוגברת כלפי רצח הנעשה תוך התעללות גופנית או נפשית, או כשהמעשה נעשה באכזריות רבה. הנסיבה תכלול את הביטוי "אכזריות מיוחדת", המגלם דרישה לאכזריות החורגת ממעשה ההמתה כשלעצמו. בנוסף מוצע כי לנסיבה זו תתווסף חלופה של התעללות בקורבן, הקיימת גם בעבירת האינוס כנסיבה מחמירה.  </w:t>
      </w:r>
    </w:p>
    <w:p w:rsidR="00FF2FDE" w:rsidRPr="008F2B88" w:rsidRDefault="00FF2FDE" w:rsidP="00686772">
      <w:pPr>
        <w:pStyle w:val="Hesber"/>
        <w:spacing w:line="336" w:lineRule="auto"/>
        <w:rPr>
          <w:rtl/>
        </w:rPr>
      </w:pPr>
      <w:r w:rsidRPr="008F2B88">
        <w:rPr>
          <w:rtl/>
        </w:rPr>
        <w:t xml:space="preserve">(8) הקורבן הוא קטין שעובר העבירה אחראי עליו – מבטאת הגנה מוגברת שהחוק מעניק לקורבנות שהם פגיעים במיוחד. בנוסף, המתה של חלש מבטאת עמדה מוסרית מגונה במיוחד של העושה. החומרה במקרה זה נובעת לא רק </w:t>
      </w:r>
      <w:proofErr w:type="spellStart"/>
      <w:r w:rsidRPr="008F2B88">
        <w:rPr>
          <w:rtl/>
        </w:rPr>
        <w:t>מהיותו</w:t>
      </w:r>
      <w:proofErr w:type="spellEnd"/>
      <w:r w:rsidRPr="008F2B88">
        <w:rPr>
          <w:rtl/>
        </w:rPr>
        <w:t xml:space="preserve"> של הקורבן חלש, אלא גם מהפרת האמון והמעילה בתפקיד מצד הפוגע, האמור להיות אחראי על רווחתו של הקורבן. </w:t>
      </w:r>
    </w:p>
    <w:p w:rsidR="00FF2FDE" w:rsidRPr="008F2B88" w:rsidRDefault="00FF2FDE" w:rsidP="00686772">
      <w:pPr>
        <w:pStyle w:val="Hesber"/>
        <w:spacing w:line="336" w:lineRule="auto"/>
        <w:rPr>
          <w:rtl/>
        </w:rPr>
      </w:pPr>
      <w:r w:rsidRPr="008F2B88">
        <w:rPr>
          <w:rtl/>
        </w:rPr>
        <w:t>(9) הקורבן הוא חסר ישע – בכלל זה כאשר הוא ילד צעיר שהינו בגדר "חסר ישע". על פי סעיף 368א לחוק העונשין, "חסר ישע" הוא מי שמחמת גילו, מחלתו או מוגבלותו הגופנית או הנפשית, ליקויו השכלי או מכל סיבה אחרת, אינו יכול לדאוג לצרכי מחייתו, לבריאותו או לשלומו. אוכלוסיית חסרי הישע היא אוכלוסייה חלשה באופן מיוחד, התלויה באחרים לצורך מילוי צרכים בסיסיים. המתתו של חסר ישע מבטאת זלזול חמור במיוחד בערכים בסיסיים של אנושיות, במקום בו היחס האנושי המצופה הוא דווקא יחס של חמלה. לאור זאת, ראוי להגדיר את הנסיבה כנסיבה מחמירה גם ללא קשר לזהות הפוגע וקרבתו לאותו חסר ישע.</w:t>
      </w:r>
    </w:p>
    <w:p w:rsidR="00FF2FDE" w:rsidRPr="008F2B88" w:rsidRDefault="00FF2FDE" w:rsidP="00686772">
      <w:pPr>
        <w:pStyle w:val="Hesber"/>
        <w:spacing w:line="336" w:lineRule="auto"/>
        <w:rPr>
          <w:rtl/>
        </w:rPr>
      </w:pPr>
      <w:r w:rsidRPr="008F2B88">
        <w:rPr>
          <w:rtl/>
        </w:rPr>
        <w:t>בענ</w:t>
      </w:r>
      <w:r w:rsidR="008F2B88">
        <w:rPr>
          <w:rFonts w:hint="cs"/>
          <w:rtl/>
        </w:rPr>
        <w:t>י</w:t>
      </w:r>
      <w:r w:rsidRPr="008F2B88">
        <w:rPr>
          <w:rtl/>
        </w:rPr>
        <w:t>ין זה יוזכר כי סעיף 300(א)(1) לחוק העונשין קובע עבירת רצח בגרימה במזיד, במעשה או במחדל אסורים, למותו של אביו, אמו, סבו או סבתו של הממית. מוצע לא לכלול נסיבה זו בין הנסיבות המחמירות. על אף שהמתת הורה או סב מהווה מעשה מגונה במיוחד של המתת אדם נוכח התנכרות הממית לחובת כיבוד הורים, הרי שהמתת בן משפחה יכולה להתרחש בנסיבות שונות, ולא לכל מקרה ממין זה נלווית בהכרח חומרה מיוחדת. במידה שההורה הוא "חסר ישע" המעשה ייכלל במסגרת הנסיבה המחמירה המוצעת לפי פסקה (9).</w:t>
      </w:r>
    </w:p>
    <w:p w:rsidR="00FF2FDE" w:rsidRPr="008F2B88" w:rsidRDefault="00FF2FDE" w:rsidP="00686772">
      <w:pPr>
        <w:pStyle w:val="Hesber"/>
        <w:spacing w:line="336" w:lineRule="auto"/>
        <w:rPr>
          <w:rtl/>
        </w:rPr>
      </w:pPr>
      <w:r w:rsidRPr="008F2B88">
        <w:rPr>
          <w:rtl/>
        </w:rPr>
        <w:t>(10) הקורבן הוא עובד הציבור הממלא תפקיד באכיפת החוק או בניהול הליכים משפטיים או נבחר הציבור, והפגיעה כוונה אליו בשל תפקידו –</w:t>
      </w:r>
      <w:r w:rsidR="004764EE" w:rsidRPr="008F2B88">
        <w:rPr>
          <w:rFonts w:hint="cs"/>
          <w:rtl/>
        </w:rPr>
        <w:t xml:space="preserve"> </w:t>
      </w:r>
      <w:r w:rsidRPr="008F2B88">
        <w:rPr>
          <w:rtl/>
        </w:rPr>
        <w:t xml:space="preserve">משקפת פגיעה בערך מוגן - השמירה על סדרי השלטון </w:t>
      </w:r>
      <w:r w:rsidRPr="008F2B88">
        <w:rPr>
          <w:rtl/>
        </w:rPr>
        <w:lastRenderedPageBreak/>
        <w:t xml:space="preserve">והמשפט. במקרים של פגיעה בעובדי ציבור שעיסוקם קשור לאכיפת החוק, דוגמת שופטים, שוטרים, סוהרים, סניגורים, תובעים, וקציני מבחן הפגיעה בהם בקשר למילוי תפקידם מבטאת התרסה בוטה נגד שלטון החוק. בנוסף, אנשי אכיפת החוק נתפסים כמייצגים באופן מובהק את המדינה, ולכן הפגיעה בהם נתפסת גם כפגיעה במדינה. מוצע להחיל את הנסיבה המחמירה האמורה גם על רצח אנשים בעלי מעמד ציבורי בישראל ונבחרי הציבור בקשר למילוי תפקידם, מאחר שהפגיעה בהם כרוכה בפגיעה מיוחדת בסדרי השלטון ובשיטת המשטר. מוצעת רשימה מצומצמת יחסית של נציגי הציבור ונבחריו, הכוללת את נשיא המדינה, חבר ממשלה, חבר כנסת וראש רשות מקומית. </w:t>
      </w:r>
    </w:p>
    <w:p w:rsidR="00FF2FDE" w:rsidRPr="008F2B88" w:rsidRDefault="00FF2FDE" w:rsidP="00686772">
      <w:pPr>
        <w:pStyle w:val="Hesber"/>
        <w:spacing w:line="336" w:lineRule="auto"/>
        <w:rPr>
          <w:rtl/>
        </w:rPr>
      </w:pPr>
      <w:r w:rsidRPr="008F2B88">
        <w:rPr>
          <w:rtl/>
        </w:rPr>
        <w:t>(11) סכנה לאנשים מלבד הקורבן – מקרה נוסף שבו מתהווה פגיעה נוספת בערך מוגן, קיים כאשר העושה חושף אנשים נוספים פרט לקורבן לסכנה של פגיעה חמורה כאשר המעשה בוצע תוך יצירת סכנה ממשית לפגיעה בגופו של אדם נוסף מלבד הקורבן.</w:t>
      </w:r>
    </w:p>
    <w:p w:rsidR="00FF2FDE" w:rsidRPr="001A6EAE" w:rsidRDefault="00FF2FDE" w:rsidP="00686772">
      <w:pPr>
        <w:pStyle w:val="Hesber"/>
        <w:spacing w:line="336" w:lineRule="auto"/>
        <w:rPr>
          <w:rtl/>
        </w:rPr>
      </w:pPr>
      <w:r w:rsidRPr="008F2B88">
        <w:rPr>
          <w:rtl/>
        </w:rPr>
        <w:t>(12) רצח במסגרת פעילות ארגון פשע או ארגון טרור – גם כאשר נועד לקדם את מטרות אותו ארגון, משום שארגונים אלה יוצרים מטבעם סיכון מיוחד ובלתי נסבל לביצוע פשעים, ומשום שהמתת אדם</w:t>
      </w:r>
      <w:r w:rsidRPr="001A6EAE">
        <w:rPr>
          <w:rtl/>
        </w:rPr>
        <w:t xml:space="preserve"> במסגרת פעילות של ארגון שכזה ובמטרה לקדם את פעילותו מציבה איום חמור על שלטון החוק, גורמת לחרדה בציבור ומגלמת חומרה מוסרית רבה.   </w:t>
      </w:r>
    </w:p>
    <w:p w:rsidR="00FF2FDE" w:rsidRPr="008F2B88" w:rsidRDefault="00FF2FDE" w:rsidP="00686772">
      <w:pPr>
        <w:pStyle w:val="Hesber"/>
        <w:spacing w:line="336" w:lineRule="auto"/>
        <w:rPr>
          <w:rtl/>
        </w:rPr>
      </w:pPr>
      <w:r w:rsidRPr="008F2B88">
        <w:rPr>
          <w:rtl/>
        </w:rPr>
        <w:t>(13) מניעים מיוחדים – רצח מתוך תאווה להמית גרידא או מתוך הרצון לספק את יצר המין הם מקרים חמורים באופן מיוחד, הן מבחינת אשמת העושה והן מבחינת החרדה שהם גורמים לציבור. לפיכך, מוצע לכלול מקרים אלו בעבירה של רצח בנסיבות מחמירות.</w:t>
      </w:r>
    </w:p>
    <w:p w:rsidR="00FF2FDE" w:rsidRPr="008F2B88" w:rsidRDefault="00FF2FDE" w:rsidP="00686772">
      <w:pPr>
        <w:pStyle w:val="Hesber"/>
        <w:spacing w:line="336" w:lineRule="auto"/>
        <w:rPr>
          <w:rtl/>
        </w:rPr>
      </w:pPr>
      <w:r w:rsidRPr="008F2B88">
        <w:rPr>
          <w:rtl/>
        </w:rPr>
        <w:t>המתה באחריות מופחתת</w:t>
      </w:r>
      <w:r w:rsidR="004764EE" w:rsidRPr="008F2B88">
        <w:rPr>
          <w:rFonts w:hint="cs"/>
          <w:rtl/>
        </w:rPr>
        <w:t xml:space="preserve"> – סעיף </w:t>
      </w:r>
      <w:r w:rsidR="004764EE" w:rsidRPr="008F2B88">
        <w:rPr>
          <w:rtl/>
        </w:rPr>
        <w:t>301ב</w:t>
      </w:r>
      <w:r w:rsidR="004764EE" w:rsidRPr="008F2B88">
        <w:rPr>
          <w:rFonts w:hint="cs"/>
          <w:rtl/>
        </w:rPr>
        <w:t xml:space="preserve"> </w:t>
      </w:r>
      <w:r w:rsidR="004764EE" w:rsidRPr="008F2B88">
        <w:rPr>
          <w:rFonts w:hint="eastAsia"/>
          <w:rtl/>
        </w:rPr>
        <w:t>–</w:t>
      </w:r>
    </w:p>
    <w:p w:rsidR="00FF2FDE" w:rsidRPr="001A6EAE" w:rsidRDefault="00FF2FDE" w:rsidP="00686772">
      <w:pPr>
        <w:pStyle w:val="Hesber"/>
        <w:spacing w:line="336" w:lineRule="auto"/>
        <w:rPr>
          <w:rtl/>
        </w:rPr>
      </w:pPr>
      <w:r w:rsidRPr="008F2B88">
        <w:rPr>
          <w:rtl/>
        </w:rPr>
        <w:t>מעשים המגלמים, בשל נתונים הקשורים במעשה או בעושה, דרגת אשמה פחותה הנלווית למעשה. מוצע עונש מאסר של עשרים שנה, הזהה לעונש הקיים היום בצד עבירת ההריגה. עונש זה מבטא מחד</w:t>
      </w:r>
      <w:r w:rsidRPr="001A6EAE">
        <w:rPr>
          <w:rtl/>
        </w:rPr>
        <w:t xml:space="preserve"> גיסא, את הגמול הראוי בגין נטילה מכוונת של חיי אדם, הוקעת המעשה והרתעה ראויה - במיוחד במקרים חמורים של המתה בעקבות </w:t>
      </w:r>
      <w:proofErr w:type="spellStart"/>
      <w:r w:rsidRPr="001A6EAE">
        <w:rPr>
          <w:rtl/>
        </w:rPr>
        <w:t>קינטור</w:t>
      </w:r>
      <w:proofErr w:type="spellEnd"/>
      <w:r w:rsidRPr="001A6EAE">
        <w:rPr>
          <w:rtl/>
        </w:rPr>
        <w:t xml:space="preserve"> או בעקבות הפרעה נפשית - אך מאידך גיסא, מבטא הקלה מהעונש של מאסר עולם כעונש מרבי, עקב הנסיבות המפורטות בעבירה זו. </w:t>
      </w:r>
      <w:r w:rsidR="004764EE">
        <w:rPr>
          <w:rFonts w:hint="cs"/>
          <w:rtl/>
        </w:rPr>
        <w:t xml:space="preserve">מוצע כי, </w:t>
      </w:r>
      <w:r w:rsidRPr="001A6EAE">
        <w:rPr>
          <w:rtl/>
        </w:rPr>
        <w:t xml:space="preserve">העונש המרבי בצד עבירה זו ייוותר עשרים שנה גם אם מתקיימות הנסיבות ההופכות את הרצח לרצח בנסיבות מחמירות. וניתן יהיה לתת ביטוי לנסיבות המחמירות במסגרת העונש המרבי של אותה עבירה. היסוד הנפשי הנדרש לשם הרשעה בעבירה זו הוא יסוד נפשי של אדישות או כוונה. </w:t>
      </w:r>
      <w:proofErr w:type="spellStart"/>
      <w:r w:rsidRPr="001A6EAE">
        <w:rPr>
          <w:rtl/>
        </w:rPr>
        <w:t>ליתן</w:t>
      </w:r>
      <w:proofErr w:type="spellEnd"/>
      <w:r w:rsidRPr="001A6EAE">
        <w:rPr>
          <w:rtl/>
        </w:rPr>
        <w:t xml:space="preserve"> ביטוי לאשם הפחות המיוחס בעבירה זאת, ביחס לעבירת הרצח.</w:t>
      </w:r>
    </w:p>
    <w:p w:rsidR="00FF2FDE" w:rsidRPr="008F2B88" w:rsidRDefault="004764EE" w:rsidP="00686772">
      <w:pPr>
        <w:pStyle w:val="Hesber"/>
        <w:spacing w:line="336" w:lineRule="auto"/>
        <w:rPr>
          <w:rtl/>
        </w:rPr>
      </w:pPr>
      <w:r w:rsidRPr="008F2B88">
        <w:rPr>
          <w:rFonts w:hint="cs"/>
          <w:rtl/>
        </w:rPr>
        <w:t xml:space="preserve">מעשה המתה בעקבות </w:t>
      </w:r>
      <w:proofErr w:type="spellStart"/>
      <w:r w:rsidR="00FF2FDE" w:rsidRPr="008F2B88">
        <w:rPr>
          <w:rtl/>
        </w:rPr>
        <w:t>קינטור</w:t>
      </w:r>
      <w:proofErr w:type="spellEnd"/>
      <w:r w:rsidRPr="008F2B88">
        <w:rPr>
          <w:rFonts w:hint="cs"/>
          <w:rtl/>
        </w:rPr>
        <w:t xml:space="preserve"> – </w:t>
      </w:r>
      <w:r w:rsidR="00FF2FDE" w:rsidRPr="008F2B88">
        <w:rPr>
          <w:rtl/>
        </w:rPr>
        <w:t xml:space="preserve">יוצר מבחן חלופי שיאפשר הקלה באחריות, בנסיבות בהן ההתגרות הובילה את העושה למצב בו הוא התקשה קושי רב לשלוט בעצמו, קושי שיש בו, בנסיבות המקרה, כדי למתן את אשמתו. הגדרת </w:t>
      </w:r>
      <w:proofErr w:type="spellStart"/>
      <w:r w:rsidR="00FF2FDE" w:rsidRPr="008F2B88">
        <w:rPr>
          <w:rtl/>
        </w:rPr>
        <w:t>הקינטור</w:t>
      </w:r>
      <w:proofErr w:type="spellEnd"/>
      <w:r w:rsidR="00FF2FDE" w:rsidRPr="008F2B88">
        <w:rPr>
          <w:rtl/>
        </w:rPr>
        <w:t xml:space="preserve"> המוצעת כוללת מבחן סובייקטיבי – הדרישה היא לתגובה אמוציונאלית עזה להתגרות, אשר פגעה בצורה קשה ביכולת השליטה העצמית של הנאשם; ומבחן נורמטיבי – על בית המשפט להכריע</w:t>
      </w:r>
      <w:r w:rsidR="008F2B88">
        <w:rPr>
          <w:rFonts w:hint="cs"/>
          <w:rtl/>
        </w:rPr>
        <w:t xml:space="preserve"> </w:t>
      </w:r>
      <w:r w:rsidR="00FF2FDE" w:rsidRPr="008F2B88">
        <w:rPr>
          <w:rtl/>
        </w:rPr>
        <w:t xml:space="preserve">אם הרגש העז שהתעורר לנוכח ההתגרות והקושי הרב בשליטה העצמית גורעים מאשמתו של המקונטר. בחינה זו תבוצע מנקודת מבט חברתית ומוסרית, שהיא חיצונית למקונטר. על מנת שאשמת העושה תפחת באופן משמעותי, צריך להתקיים יחס הולם בין טיב ומידת ההתגרות לבין הפגיעה הניכרת בשליטה העצמית, שנגרמה על ידה, להבדיל מהתגובה הקטלנית. המבחן המוצע מבטא תחושת צדק אנושית, מבלי לפגוע במסר לציבור בדבר האיסור המוחלט להמית. רק מעשים בלתי לגיטימיים במהותם – מנקודת מבט חברתית-מוסרית חיצונית לנאשם, שיש להם פוטנציאל  משמעותי של הקנטה והרגזה, מהווים "התגרות". </w:t>
      </w:r>
    </w:p>
    <w:p w:rsidR="00FF2FDE" w:rsidRPr="001A6EAE" w:rsidRDefault="00FF2FDE" w:rsidP="00686772">
      <w:pPr>
        <w:pStyle w:val="Hesber"/>
        <w:spacing w:line="336" w:lineRule="auto"/>
        <w:rPr>
          <w:rtl/>
        </w:rPr>
      </w:pPr>
      <w:r w:rsidRPr="001A6EAE">
        <w:rPr>
          <w:rtl/>
        </w:rPr>
        <w:t>הנוסח המוצע בא לקבוע לגבי המצבים המוגדרים בסעיף 300א לחוק</w:t>
      </w:r>
      <w:r w:rsidR="004764EE">
        <w:rPr>
          <w:rFonts w:hint="cs"/>
          <w:rtl/>
        </w:rPr>
        <w:t>,</w:t>
      </w:r>
      <w:r w:rsidRPr="001A6EAE">
        <w:rPr>
          <w:rtl/>
        </w:rPr>
        <w:t xml:space="preserve"> הסדר של "אחריות מופחתת" תחת ההסדר שמאפשר הקלה בעונש בלבד, בדומה למודל שהופיע בהצעת החוק המקורית, כך שמקרים </w:t>
      </w:r>
      <w:r w:rsidRPr="001A6EAE">
        <w:rPr>
          <w:rtl/>
        </w:rPr>
        <w:lastRenderedPageBreak/>
        <w:t xml:space="preserve">אלה ייכללו בעבירת המתה הפחותה בחומרתה מעבירת הרצח. הסדר של אחריות מופחתת צודק יותר, משום שאין הוא מטיל על העושים הבאים בגדרו סטיגמה של רוצחים. גם מבחינת הענישה, יש בהסדר כזה התאמה טובה יותר לתיוג הנלווה להרשעה, שכן נמנע מצב בו נגזרים עונשים קלים יחסית בגין הרשעה ברצח. מצבים אלו כוללים מעשי המתה שנעשו כשהנאשם היה במצב של מצוקה נפשית קשה, עקב התעללות חמורה ומתמשכת בו או בבן משפחתו בידי מי שהנאשם גרם למותו; מעשי המתה שנעשו במצב של הפרעה נפשית חמורה ומעשים שנעשו בחריגה במידה מועטה מסייג לאחריות פלילית. </w:t>
      </w:r>
    </w:p>
    <w:p w:rsidR="00FF2FDE" w:rsidRPr="001A6EAE" w:rsidRDefault="00FF2FDE" w:rsidP="00686772">
      <w:pPr>
        <w:pStyle w:val="Hesber"/>
        <w:spacing w:line="336" w:lineRule="auto"/>
        <w:rPr>
          <w:rtl/>
        </w:rPr>
      </w:pPr>
      <w:r w:rsidRPr="001A6EAE">
        <w:rPr>
          <w:rtl/>
        </w:rPr>
        <w:t xml:space="preserve">מוצע להרחיב את הנסיבה גם למצבים בהם החריגה לא </w:t>
      </w:r>
      <w:proofErr w:type="spellStart"/>
      <w:r w:rsidRPr="001A6EAE">
        <w:rPr>
          <w:rtl/>
        </w:rPr>
        <w:t>היתה</w:t>
      </w:r>
      <w:proofErr w:type="spellEnd"/>
      <w:r w:rsidRPr="001A6EAE">
        <w:rPr>
          <w:rtl/>
        </w:rPr>
        <w:t xml:space="preserve"> מתחום הסבירות של </w:t>
      </w:r>
      <w:proofErr w:type="spellStart"/>
      <w:r w:rsidRPr="001A6EAE">
        <w:rPr>
          <w:rtl/>
        </w:rPr>
        <w:t>ההגנות</w:t>
      </w:r>
      <w:proofErr w:type="spellEnd"/>
      <w:r w:rsidRPr="001A6EAE">
        <w:rPr>
          <w:rtl/>
        </w:rPr>
        <w:t xml:space="preserve">, אלא מתנאי אחר בהן, ובתנאי שבנסיבות יש כדי למתן את אשמתו של העושה. ההרחבה למצבים הגובלים בסייגים לאחריות פלילית מוצדקת, משום שאין סיבה טובה לאבחן בעניין זה בין תנאי הסבירות, דווקא, לבין התנאים האחרים של </w:t>
      </w:r>
      <w:proofErr w:type="spellStart"/>
      <w:r w:rsidRPr="001A6EAE">
        <w:rPr>
          <w:rtl/>
        </w:rPr>
        <w:t>ההגנות</w:t>
      </w:r>
      <w:proofErr w:type="spellEnd"/>
      <w:r w:rsidRPr="001A6EAE">
        <w:rPr>
          <w:rtl/>
        </w:rPr>
        <w:t xml:space="preserve">, וזאת במיוחד לאור התנאי המוצע, על פיו מוטל על בית המשפט לבחון האם היה בנסיבות כדי למתן את אשמתו של העושה. ראוי לאפשר הפחתה הן בסטיגמה והן בעונש, במקרה בו האשמה פחתה, שאחרת תהיה התוצאה </w:t>
      </w:r>
      <w:proofErr w:type="spellStart"/>
      <w:r w:rsidRPr="001A6EAE">
        <w:rPr>
          <w:rtl/>
        </w:rPr>
        <w:t>העונשית</w:t>
      </w:r>
      <w:proofErr w:type="spellEnd"/>
      <w:r w:rsidRPr="001A6EAE">
        <w:rPr>
          <w:rtl/>
        </w:rPr>
        <w:t xml:space="preserve"> בלתי מידתית לחומרת העבירה. </w:t>
      </w:r>
    </w:p>
    <w:p w:rsidR="00FF2FDE" w:rsidRPr="001A6EAE" w:rsidRDefault="00FF2FDE" w:rsidP="00686772">
      <w:pPr>
        <w:pStyle w:val="Hesber"/>
        <w:spacing w:line="336" w:lineRule="auto"/>
        <w:rPr>
          <w:rtl/>
        </w:rPr>
      </w:pPr>
      <w:r w:rsidRPr="001A6EAE">
        <w:rPr>
          <w:rtl/>
        </w:rPr>
        <w:t xml:space="preserve">סעיף קטן (ה) – חזקות הקובעות מצב נפשי של אדישות –מוצע לקבוע מצבים אלו במסגרת העבירה של המתה באחריות מופחתת ולא במסגרת עבירת הרצח הבסיסית, משום שמצבים אלה אינם מתאפיינים בזלזול המובהק בחיי אדם המגולם בעבירת הרצח, ועל כן אינם ראויים לתיוג ולענישה דומים. </w:t>
      </w:r>
    </w:p>
    <w:p w:rsidR="00FF2FDE" w:rsidRPr="00C15B94" w:rsidRDefault="00FF2FDE" w:rsidP="00686772">
      <w:pPr>
        <w:pStyle w:val="Hesber"/>
        <w:spacing w:line="336" w:lineRule="auto"/>
        <w:rPr>
          <w:rtl/>
        </w:rPr>
      </w:pPr>
      <w:r w:rsidRPr="00C15B94">
        <w:rPr>
          <w:rtl/>
        </w:rPr>
        <w:t>חיקוקים אלה הם סעיפים 34א, 34ט וסעיף 34יד לחוק העונשין:</w:t>
      </w:r>
    </w:p>
    <w:p w:rsidR="00FF2FDE" w:rsidRPr="008F2B88" w:rsidRDefault="00FF2FDE" w:rsidP="00686772">
      <w:pPr>
        <w:pStyle w:val="Hesber"/>
        <w:spacing w:line="336" w:lineRule="auto"/>
        <w:rPr>
          <w:rtl/>
        </w:rPr>
      </w:pPr>
      <w:r w:rsidRPr="008F2B88">
        <w:rPr>
          <w:rtl/>
        </w:rPr>
        <w:t>סעיף 34א, שעניינו עבירה שונה או נוספת, קובע את אחריות מבצע בצוותא לעבירה שונה או נוספת שביצע העושה, כשהוא עצמו לא היה מודע לאפשרות עשייתה, אולם אדם מן היישוב יכול היה להיות מודע לאפשרות עשייתה. על פי סעיף 34א(1) המבצע בצוותא יישא באחריות לעבירה שנעברה בכוונה, כעבירה של אדישות בלבד. מוצע לקבוע כי מצבים אלה יבואו בגדר עבירה של המתה באחריות מופחתת, משום שהמצב הנפשי של מבצע בצוותא לרצח המבוצע על ידי שותפו עלול להיות רשלנות או קלות דעת כלפי התוצאה הקטלנית, ועל כן אינו ראוי לתיוג ולענישה של עבירת הרצח.</w:t>
      </w:r>
    </w:p>
    <w:p w:rsidR="00FF2FDE" w:rsidRPr="008F2B88" w:rsidRDefault="00FF2FDE" w:rsidP="00686772">
      <w:pPr>
        <w:pStyle w:val="Hesber"/>
        <w:spacing w:line="336" w:lineRule="auto"/>
        <w:rPr>
          <w:rtl/>
        </w:rPr>
      </w:pPr>
      <w:r w:rsidRPr="008F2B88">
        <w:rPr>
          <w:rtl/>
        </w:rPr>
        <w:t xml:space="preserve">סעיף 34ט(ב) קובע, כי בעבירות תוצאה רואים את העושה כמי שעשה את העבירה באדישות, אם המעשה נעשה כאשר היה במצב של שכרות, והוא שגרם למצב זה בהתנהגותו הנשלטת והמודעת. גם מקרה זה ראוי להיקבע במסגרת העבירה של המתה באחריות מופחתת, שכן נכללים בו מקרים בהם אדם גרם למותו של אחר, בנסיבות המצוינות בסעיף, אף שלא היה אדיש לתוצאה הקטלנית. </w:t>
      </w:r>
    </w:p>
    <w:p w:rsidR="00FF2FDE" w:rsidRPr="008F2B88" w:rsidRDefault="00FF2FDE" w:rsidP="00686772">
      <w:pPr>
        <w:pStyle w:val="Hesber"/>
        <w:spacing w:line="336" w:lineRule="auto"/>
        <w:rPr>
          <w:rtl/>
        </w:rPr>
      </w:pPr>
      <w:r w:rsidRPr="008F2B88">
        <w:rPr>
          <w:rtl/>
        </w:rPr>
        <w:t>סעיף 34יד לחוק עוסק בכניסה למצב בהתנהגות פסולה. לפי סעיף קטן 34יד(א), הוראות סעיפים 34ז, 34יא ו-34יב, שעניינם הסייגים של העדר שליטה, צורך וכורח, לא יחולו אם העושה היה מודע או אם אדם מן היישוב במקומו יכול היה, בנסיבות העניין, להיות מודע, לפני היווצרות המצב שבו עשה את מעשהו, כי הוא עלול לעשותו במצב זה, ואם העמיד את עצמו בהתנהגות נשלטת ופסולה באותו מצב. לפי סעיף קטן 34יד(ב), במקרה כזה רואים את האדם כמי שעשה את העבירה באדישות, אם העבירה מותנית בתוצאה, ובלבד שהוא לא הכניס עצמו למצב זה במטרה לעבור את העבירה. ראוי לכלול סעיף זה בעבירת ההמתה באחריות מופחתת משום שהוא כולל גם מצבים בהם היסוד הנפשי של העושה אינו מגיע כדי אדישות כלפי התוצאה הקטלנית.</w:t>
      </w:r>
    </w:p>
    <w:p w:rsidR="00FF2FDE" w:rsidRPr="001A6EAE" w:rsidRDefault="00FF2FDE" w:rsidP="00686772">
      <w:pPr>
        <w:pStyle w:val="Hesber"/>
        <w:spacing w:line="336" w:lineRule="auto"/>
        <w:rPr>
          <w:rtl/>
        </w:rPr>
      </w:pPr>
      <w:r w:rsidRPr="008F2B88">
        <w:rPr>
          <w:rtl/>
        </w:rPr>
        <w:t>המתה בקלות</w:t>
      </w:r>
      <w:r w:rsidR="004764EE" w:rsidRPr="008F2B88">
        <w:rPr>
          <w:rtl/>
        </w:rPr>
        <w:t xml:space="preserve"> דעת</w:t>
      </w:r>
      <w:r w:rsidR="004764EE" w:rsidRPr="008F2B88">
        <w:rPr>
          <w:rFonts w:hint="cs"/>
          <w:rtl/>
        </w:rPr>
        <w:t xml:space="preserve"> – סעיף </w:t>
      </w:r>
      <w:r w:rsidR="004764EE" w:rsidRPr="008F2B88">
        <w:rPr>
          <w:rtl/>
        </w:rPr>
        <w:t>301ג</w:t>
      </w:r>
      <w:r w:rsidR="004764EE" w:rsidRPr="008F2B88">
        <w:rPr>
          <w:rFonts w:hint="cs"/>
          <w:rtl/>
        </w:rPr>
        <w:t xml:space="preserve"> </w:t>
      </w:r>
      <w:r w:rsidR="004764EE" w:rsidRPr="008F2B88">
        <w:rPr>
          <w:rFonts w:hint="eastAsia"/>
          <w:rtl/>
        </w:rPr>
        <w:t>–</w:t>
      </w:r>
      <w:r w:rsidR="00F44BC9" w:rsidRPr="008F2B88">
        <w:rPr>
          <w:rFonts w:hint="cs"/>
          <w:rtl/>
        </w:rPr>
        <w:t xml:space="preserve"> </w:t>
      </w:r>
      <w:r w:rsidR="00BD61E1" w:rsidRPr="008F2B88">
        <w:rPr>
          <w:rFonts w:hint="cs"/>
          <w:rtl/>
        </w:rPr>
        <w:t xml:space="preserve">מוצע לקבוע עבירה של המתה ביסוד נפשי של קלות דעת. </w:t>
      </w:r>
      <w:r w:rsidRPr="008F2B88">
        <w:rPr>
          <w:rtl/>
        </w:rPr>
        <w:t>ההצדקה</w:t>
      </w:r>
      <w:r w:rsidRPr="001A6EAE">
        <w:rPr>
          <w:rtl/>
        </w:rPr>
        <w:t xml:space="preserve"> לקביעת עבירה זו מבוססת על הפער הניכר בין מידת אשמתו של מי שממית תוך אדישות לאפשרות גרימת המוות, לבין מי שמקווה שהתוצאה הקטלנית לא תתרחש, על אף שהוא מודע לאפשרות התרחשותה. מוצע כי העונש בצד עבירה זו יעמוד על תשע שנות מאסר, עונש שהוא קל בצורה ניכרת מהעונש הקבוע היום בצד עבירת ההריגה. עונש מרבי זה עולה בקנה אחד עם הענישה שגוזרים בתי המשפט בעבירות </w:t>
      </w:r>
      <w:r w:rsidRPr="001A6EAE">
        <w:rPr>
          <w:rtl/>
        </w:rPr>
        <w:lastRenderedPageBreak/>
        <w:t>הריגה בנסיבות של תאונות דרכים – בהם מטבע הדברים היסוד הנפשי הוא ככלל קלות דעת - ומהווה מדרג ראוי בין עבירת ההמתה באחריות מופחתת ובין העבירה של גרימת מוות בהתרשלות רבתי.</w:t>
      </w:r>
    </w:p>
    <w:p w:rsidR="00FF2FDE" w:rsidRPr="001A6EAE" w:rsidRDefault="00FF2FDE" w:rsidP="00686772">
      <w:pPr>
        <w:pStyle w:val="Hesber"/>
        <w:spacing w:line="336" w:lineRule="auto"/>
        <w:rPr>
          <w:rtl/>
        </w:rPr>
      </w:pPr>
      <w:r w:rsidRPr="001A6EAE">
        <w:rPr>
          <w:rtl/>
        </w:rPr>
        <w:t>יש הצדקה עניינית לאבחנה בין יסוד נפשי של אדישות ליסוד נפשי של קלות דעת, וכן לכריכה של האדישות והכוונה יחד, תוך אבחנה ביניהן ובין קלות הדעת.</w:t>
      </w:r>
    </w:p>
    <w:p w:rsidR="00FF2FDE" w:rsidRPr="008F2B88" w:rsidRDefault="00FF2FDE" w:rsidP="00686772">
      <w:pPr>
        <w:pStyle w:val="Hesber"/>
        <w:spacing w:line="336" w:lineRule="auto"/>
        <w:rPr>
          <w:rtl/>
        </w:rPr>
      </w:pPr>
      <w:r w:rsidRPr="008F2B88">
        <w:rPr>
          <w:rtl/>
        </w:rPr>
        <w:t>המתה בעקבות בקשת הקורבן</w:t>
      </w:r>
      <w:r w:rsidR="00BD61E1" w:rsidRPr="008F2B88">
        <w:rPr>
          <w:rFonts w:hint="cs"/>
          <w:rtl/>
        </w:rPr>
        <w:t xml:space="preserve"> – סעיף </w:t>
      </w:r>
      <w:r w:rsidR="00BD61E1" w:rsidRPr="008F2B88">
        <w:rPr>
          <w:rtl/>
        </w:rPr>
        <w:t>301ד</w:t>
      </w:r>
      <w:r w:rsidR="00BD61E1" w:rsidRPr="008F2B88">
        <w:rPr>
          <w:rFonts w:hint="cs"/>
          <w:rtl/>
        </w:rPr>
        <w:t xml:space="preserve"> </w:t>
      </w:r>
      <w:r w:rsidR="00BD61E1" w:rsidRPr="008F2B88">
        <w:rPr>
          <w:rFonts w:hint="eastAsia"/>
          <w:rtl/>
        </w:rPr>
        <w:t>–</w:t>
      </w:r>
      <w:r w:rsidR="00F44BC9" w:rsidRPr="008F2B88">
        <w:rPr>
          <w:rFonts w:hint="cs"/>
          <w:rtl/>
        </w:rPr>
        <w:t xml:space="preserve"> </w:t>
      </w:r>
      <w:r w:rsidRPr="008F2B88">
        <w:rPr>
          <w:rtl/>
        </w:rPr>
        <w:t xml:space="preserve">מוצע להוסיף עבירה שאחריותה מופחתת, לאותם מקרים מוגדרים ומצומצמים, בהם העושה המית את הקרבן בעקבות בקשה מפורשת, חופשית ושקולה שלו, עקב מצב רפואי קשה, שלא ניתן להקלה באופן סביר. עבירה זו, נבדלת מהעבירה של סיוע להתאבדות, בכך שהפעולה הסופית לא מבוצעת על ידי הקורבן אלא על ידי הממית. כמו כן היא נבדלת מהאפשרות הקיימת על פי חוק החולה הנוטה למות, </w:t>
      </w:r>
      <w:proofErr w:type="spellStart"/>
      <w:r w:rsidRPr="008F2B88">
        <w:rPr>
          <w:rtl/>
        </w:rPr>
        <w:t>התשס"ו</w:t>
      </w:r>
      <w:proofErr w:type="spellEnd"/>
      <w:r w:rsidR="00BD61E1" w:rsidRPr="008F2B88">
        <w:rPr>
          <w:rFonts w:hint="cs"/>
          <w:rtl/>
        </w:rPr>
        <w:t>–</w:t>
      </w:r>
      <w:r w:rsidRPr="008F2B88">
        <w:rPr>
          <w:rtl/>
        </w:rPr>
        <w:t>2006 לכבד את רצונו של חולה הנוטה למות שלא לקבל טיפול רפואי שיאריך את חייו, משום שחוק החולה הנוטה למות מאפשר אך הי</w:t>
      </w:r>
      <w:r w:rsidR="00BD61E1" w:rsidRPr="008F2B88">
        <w:rPr>
          <w:rtl/>
        </w:rPr>
        <w:t xml:space="preserve">מנעות מטיפול ולא המתה אקטיבית. </w:t>
      </w:r>
      <w:r w:rsidRPr="008F2B88">
        <w:rPr>
          <w:rtl/>
        </w:rPr>
        <w:t xml:space="preserve">על אף שישנה הצדקה שלא לכלול מקרים אלו בגדר עבירת הרצח הבסיסית, אלא לקבוע עבירה מקלה, מוצע להגדיר את הקטגוריה כך שלא תפתח פתח למצבים של ניצול מצוקה ולחץ ושל המתה המונעת על ידי הרצון להשתחרר מטיפול בקורבן. על כן מוצע לכלול בהגדרת העבירה מניע של חמלה, כך שתחולתו של הסעיף תצומצם רק לאותם מקרים בהם ראוי מבחינה מוסרית להקל עם העושה. </w:t>
      </w:r>
    </w:p>
    <w:p w:rsidR="00FF2FDE" w:rsidRPr="008F2B88" w:rsidRDefault="00FF2FDE" w:rsidP="00686772">
      <w:pPr>
        <w:pStyle w:val="Hesber"/>
        <w:spacing w:line="336" w:lineRule="auto"/>
        <w:rPr>
          <w:rtl/>
        </w:rPr>
      </w:pPr>
      <w:r w:rsidRPr="008F2B88">
        <w:rPr>
          <w:rtl/>
        </w:rPr>
        <w:t>מוצע לקבוע את הסעיף בניסוח מצומצם ביחס לנהוג בעולם, לאור היחס המקפיד במיוחד כלפי הערך של חיי אדם, המתחייב מערכיה של מדינת ישראל. הניסוח כולל שילוב בין קריטריונים אובייקטיביים לקריטריון סובייקטיבי. חלק מהקריטריונים האובייקטיביים קשורים בבקשת הקורבן – נדרשת בקשה חופשית, מפורשת ושקולה. בקשה העומדת בקריטריונים אלה מצמצמת את האפשרות שבקשת המוות היא תוצאה של גחמה או דיכאון רגעי. כמו כן, היא מבטיחה כי האדם שקיבל את ההחלטה למות הוא אדם בגיר ובריא בנפשו, שיכול לבקש בקשה כזו. בקשה מצד קטין או מצד אדם הסובל מבעיות נפשיות, שכליות או התפתחותיות חמורות, לא תעמוד בדרישה זו.</w:t>
      </w:r>
    </w:p>
    <w:p w:rsidR="00FF2FDE" w:rsidRPr="008F2B88" w:rsidRDefault="00FF2FDE" w:rsidP="00686772">
      <w:pPr>
        <w:pStyle w:val="Hesber"/>
        <w:spacing w:line="336" w:lineRule="auto"/>
        <w:rPr>
          <w:rtl/>
        </w:rPr>
      </w:pPr>
      <w:r w:rsidRPr="008F2B88">
        <w:rPr>
          <w:rtl/>
        </w:rPr>
        <w:t>7. החלפת סעיף 302 לשידול או סיוע להתאבדות</w:t>
      </w:r>
      <w:r w:rsidR="00BD61E1" w:rsidRPr="008F2B88">
        <w:rPr>
          <w:rFonts w:hint="cs"/>
          <w:rtl/>
        </w:rPr>
        <w:t xml:space="preserve"> –</w:t>
      </w:r>
      <w:r w:rsidRPr="008F2B88">
        <w:rPr>
          <w:rtl/>
        </w:rPr>
        <w:t xml:space="preserve"> מוצע לשנות</w:t>
      </w:r>
      <w:r w:rsidR="00BD61E1" w:rsidRPr="008F2B88">
        <w:rPr>
          <w:rtl/>
        </w:rPr>
        <w:t xml:space="preserve"> את הנוסח המקורי מכיוון שנוסחו </w:t>
      </w:r>
      <w:r w:rsidRPr="008F2B88">
        <w:rPr>
          <w:rtl/>
        </w:rPr>
        <w:t>ארכאי,</w:t>
      </w:r>
      <w:r w:rsidR="00BD61E1" w:rsidRPr="008F2B88">
        <w:rPr>
          <w:rFonts w:hint="cs"/>
          <w:rtl/>
        </w:rPr>
        <w:t xml:space="preserve"> </w:t>
      </w:r>
      <w:r w:rsidRPr="008F2B88">
        <w:rPr>
          <w:rtl/>
        </w:rPr>
        <w:t>שאינו עולה בקנה אחד עם החלק הכללי של חוק העונשין. מוצע לפצל בין השידול להתאבדות לבין הסיוע להתאבדות, וזאת מפני שמצבים של שידול להתאבדות הינם חמורים יותר ממצבים של סיוע להתאבדות. לא בכדי, על פי הדין הכללי, העונש המרבי על שידול לעבירה הוא העונש בצד העבירה העיקרית, ואילו העונש המרבי על סיוע הוא מחצית העונש. רציונל זה</w:t>
      </w:r>
      <w:r w:rsidR="00BD61E1" w:rsidRPr="008F2B88">
        <w:rPr>
          <w:rFonts w:hint="cs"/>
          <w:rtl/>
        </w:rPr>
        <w:t>,</w:t>
      </w:r>
      <w:r w:rsidRPr="008F2B88">
        <w:rPr>
          <w:rtl/>
        </w:rPr>
        <w:t xml:space="preserve"> משליך גם על עבירות השידול והסיוע להתאבדות: אדם המשכנע או מתמרץ אדם אחר לשים קץ לחייו מבצע מעשה חמור, הפוגע פגיעה קשה יותר בערך של חיי אדם, מאשר זה המסייע לאדם, שגיבש את דעתו והחליט לשים קץ לחייו, להוציא את החלטתו לפועל. מוצע לקבוע עונש מאסר של ארבע-עשרה שנים בצד העבירה של שידול להתאבדות, עונש התואם את העונש המרבי הקיים במשפט האנגלי. </w:t>
      </w:r>
      <w:r w:rsidR="00BD61E1" w:rsidRPr="008F2B88">
        <w:rPr>
          <w:rFonts w:hint="cs"/>
          <w:rtl/>
        </w:rPr>
        <w:t xml:space="preserve">ולצד העבירה של סיוע להתאבדות, </w:t>
      </w:r>
      <w:r w:rsidRPr="008F2B88">
        <w:rPr>
          <w:rtl/>
        </w:rPr>
        <w:t>מוצע לקבוע שבע שנות מאסר, שכן עונש זה הוא מחצית מהעונש המוצע לעבירת השידול ותואם את העקרונות הכלליים של חוק העונשין. בנוסף, מוצע נוסח בהיר יותר לעבירות התואם את החלק הכללי של חוק העונשין.</w:t>
      </w:r>
    </w:p>
    <w:p w:rsidR="00FF2FDE" w:rsidRPr="008F2B88" w:rsidRDefault="00FF2FDE" w:rsidP="00686772">
      <w:pPr>
        <w:pStyle w:val="Hesber"/>
        <w:spacing w:line="336" w:lineRule="auto"/>
        <w:rPr>
          <w:rtl/>
        </w:rPr>
      </w:pPr>
      <w:r w:rsidRPr="008F2B88">
        <w:rPr>
          <w:rtl/>
        </w:rPr>
        <w:t xml:space="preserve">8. ביטול סעיף 303 </w:t>
      </w:r>
      <w:r w:rsidR="00BD61E1" w:rsidRPr="008F2B88">
        <w:rPr>
          <w:rFonts w:hint="cs"/>
          <w:rtl/>
        </w:rPr>
        <w:t>המתת</w:t>
      </w:r>
      <w:r w:rsidRPr="008F2B88">
        <w:rPr>
          <w:rtl/>
        </w:rPr>
        <w:t xml:space="preserve"> תינוק</w:t>
      </w:r>
      <w:r w:rsidR="00BD61E1" w:rsidRPr="008F2B88">
        <w:rPr>
          <w:rFonts w:hint="cs"/>
          <w:rtl/>
        </w:rPr>
        <w:t xml:space="preserve"> –</w:t>
      </w:r>
      <w:r w:rsidRPr="008F2B88">
        <w:rPr>
          <w:rtl/>
        </w:rPr>
        <w:t xml:space="preserve"> לאור שינוי המצב החברתי, בעיקר בנוגע לערך חייהם של תינוקות, והחומרה המיוחדת הנעוצה בגרימת מוות של תינוק חסר ישע שעל הוריו מוטלת האחריות לדאוג לצרכיו – ראוי לבטל את העבירה. בישראל, המקרים בהם נשים שהמיתו את תינוקותיהם הורשעו בעבירה זו, הנם ספורים. מקרים בהם תוכח הפרעה נפשית חמורה של האם ייכללו בעבירת ההמתה, שעונשה המרבי הוא עשרים שנות מאסר. במצבים חריפים פחות, </w:t>
      </w:r>
      <w:r w:rsidR="00BD61E1" w:rsidRPr="008F2B88">
        <w:rPr>
          <w:rFonts w:hint="cs"/>
          <w:rtl/>
        </w:rPr>
        <w:t xml:space="preserve">כמו </w:t>
      </w:r>
      <w:r w:rsidRPr="008F2B88">
        <w:rPr>
          <w:rtl/>
        </w:rPr>
        <w:t xml:space="preserve">הפרעה נפשית שאינה חמורה, אך שיש בה כדי להפחית משמעותית את האשמה שבמעשה, על אף התקיימות הנסיבות המחמירות יוכל בית המשפט </w:t>
      </w:r>
      <w:r w:rsidRPr="008F2B88">
        <w:rPr>
          <w:rtl/>
        </w:rPr>
        <w:lastRenderedPageBreak/>
        <w:t>להרשיע בעבירת הרצח הבסיסית, המאפשרת שיקול דעת לעניין העונש.</w:t>
      </w:r>
    </w:p>
    <w:p w:rsidR="00FF2FDE" w:rsidRPr="008F2B88" w:rsidRDefault="00BD61E1" w:rsidP="00686772">
      <w:pPr>
        <w:pStyle w:val="Hesber"/>
        <w:spacing w:line="336" w:lineRule="auto"/>
        <w:rPr>
          <w:rtl/>
        </w:rPr>
      </w:pPr>
      <w:r w:rsidRPr="008F2B88">
        <w:rPr>
          <w:rtl/>
        </w:rPr>
        <w:t>9. הוספת סעיף 304א</w:t>
      </w:r>
      <w:r w:rsidRPr="008F2B88">
        <w:rPr>
          <w:rFonts w:hint="cs"/>
          <w:rtl/>
        </w:rPr>
        <w:t xml:space="preserve"> – גרימת מוות בהתרשלות רבתי –</w:t>
      </w:r>
      <w:r w:rsidR="00FF2FDE" w:rsidRPr="008F2B88">
        <w:rPr>
          <w:rtl/>
        </w:rPr>
        <w:t xml:space="preserve"> </w:t>
      </w:r>
      <w:r w:rsidR="009E69ED" w:rsidRPr="008F2B88">
        <w:rPr>
          <w:rFonts w:hint="cs"/>
          <w:rtl/>
        </w:rPr>
        <w:t>מוצע לקבוע עבירה חדשה של גרימת מוות בהתרשלות רבתי, ש</w:t>
      </w:r>
      <w:r w:rsidR="00FF2FDE" w:rsidRPr="008F2B88">
        <w:rPr>
          <w:rtl/>
        </w:rPr>
        <w:t xml:space="preserve">תהווה מעין דרגת ביניים בין עבירת גרימת מוות ברשלנות לבין עבירה של המתה בקלות דעת. מדובר ביסוד נפשי של רשלנות כלפי התוצאה, אולם יסודותיה של העבירה יהיו חמורים יותר מאשר עבירת גרימת מוות ברשלנות בשני היבטים: האחד, היסוד העובדתי – נדרשת התנהגות אשר סוטה סטייה ניכרת מהתנהגות סבירה, המהווה כשלעצמה הפרה של הדין. כלומר, מדובר בהתנהגויות שהמחוקק הזהיר באופן ספציפי מפני עשייתן. השני, היסוד הנפשי – נדרשת מודעות לגבי ההתנהגות המסוכנת, ורק לגבי התוצאה הקטלנית די ביסוד נפשי של רשלנות. על אף שכאמור, נדרשת מודעות של העושה לטיב התנהגותו, הוא אינו צריך להיות מודע לדין האוסר את ההתנהגות ולכך שהוא סוטה במידה ניכרת מהתנהגות סבירה. העונש המרבי המוצע בצד העבירה הינו חמש שנות המאסר והוא מוצדק עקב השילוב של התנהגות מסוכנת במיוחדת מבחינה אובייקטיבית, המעידה על זלזול בוטה בחוק, יחד עם אשמה סובייקטיבית המתבטאת במודעות בפועל של העושה לטיב התנהגותו. הוא יוצר מדרג הולם בין העבירה החמורה יותר של המתה בקלות דעת, ובין העבירה הקלה יותר של גרימת מוות ברשלנות. </w:t>
      </w:r>
    </w:p>
    <w:p w:rsidR="00FF2FDE" w:rsidRPr="008F2B88" w:rsidRDefault="00FF2FDE" w:rsidP="00686772">
      <w:pPr>
        <w:pStyle w:val="Hesber"/>
        <w:spacing w:line="336" w:lineRule="auto"/>
        <w:rPr>
          <w:rtl/>
        </w:rPr>
      </w:pPr>
      <w:r w:rsidRPr="008F2B88">
        <w:rPr>
          <w:rtl/>
        </w:rPr>
        <w:t>10. החלפת סעיף 305 הנוגע לנ</w:t>
      </w:r>
      <w:r w:rsidR="009E69ED" w:rsidRPr="008F2B88">
        <w:rPr>
          <w:rFonts w:hint="cs"/>
          <w:rtl/>
        </w:rPr>
        <w:t>י</w:t>
      </w:r>
      <w:r w:rsidRPr="008F2B88">
        <w:rPr>
          <w:rtl/>
        </w:rPr>
        <w:t>סיון לרצח, בסעיפים המפורטים הבאים</w:t>
      </w:r>
      <w:r w:rsidR="009E69ED" w:rsidRPr="008F2B88">
        <w:rPr>
          <w:rFonts w:hint="cs"/>
          <w:rtl/>
        </w:rPr>
        <w:t>:</w:t>
      </w:r>
    </w:p>
    <w:p w:rsidR="00FF2FDE" w:rsidRPr="008F2B88" w:rsidRDefault="009E69ED" w:rsidP="00686772">
      <w:pPr>
        <w:pStyle w:val="Hesber"/>
        <w:spacing w:line="336" w:lineRule="auto"/>
        <w:rPr>
          <w:rtl/>
        </w:rPr>
      </w:pPr>
      <w:r w:rsidRPr="008F2B88">
        <w:rPr>
          <w:rtl/>
        </w:rPr>
        <w:t>הוספת סעיפים 305א - 305ג</w:t>
      </w:r>
      <w:r w:rsidRPr="008F2B88">
        <w:rPr>
          <w:rFonts w:hint="cs"/>
          <w:rtl/>
        </w:rPr>
        <w:t xml:space="preserve"> –</w:t>
      </w:r>
    </w:p>
    <w:p w:rsidR="00FF2FDE" w:rsidRPr="008F2B88" w:rsidRDefault="00FF2FDE" w:rsidP="00686772">
      <w:pPr>
        <w:pStyle w:val="Hesber"/>
        <w:spacing w:line="336" w:lineRule="auto"/>
        <w:rPr>
          <w:rtl/>
        </w:rPr>
      </w:pPr>
      <w:r w:rsidRPr="008F2B88">
        <w:rPr>
          <w:rtl/>
        </w:rPr>
        <w:t>שידול לרצח</w:t>
      </w:r>
      <w:r w:rsidR="009E69ED" w:rsidRPr="008F2B88">
        <w:rPr>
          <w:rFonts w:hint="cs"/>
          <w:rtl/>
        </w:rPr>
        <w:t xml:space="preserve"> – סעיף </w:t>
      </w:r>
      <w:r w:rsidR="009E69ED" w:rsidRPr="008F2B88">
        <w:rPr>
          <w:rtl/>
        </w:rPr>
        <w:t>305א</w:t>
      </w:r>
      <w:r w:rsidR="009E69ED" w:rsidRPr="008F2B88">
        <w:rPr>
          <w:rFonts w:hint="cs"/>
          <w:rtl/>
        </w:rPr>
        <w:t xml:space="preserve"> –</w:t>
      </w:r>
      <w:r w:rsidRPr="008F2B88">
        <w:rPr>
          <w:rtl/>
        </w:rPr>
        <w:t xml:space="preserve"> העונש על שידול לרצח, בהתאם לסעיף 34ד בחלק הכללי של חוק העונשין, הוא עונש מאסר עולם</w:t>
      </w:r>
      <w:r w:rsidRPr="001A6EAE">
        <w:rPr>
          <w:rtl/>
        </w:rPr>
        <w:t xml:space="preserve"> חובה. מוצע לקבוע עבירה מיוחדת של שידול לרצח בנסיבות מחמירות, שהעונש בצדה יעמוד על מאסר עולם כעונש מרבי, כך </w:t>
      </w:r>
      <w:r w:rsidR="009E69ED">
        <w:rPr>
          <w:rFonts w:hint="cs"/>
          <w:rtl/>
        </w:rPr>
        <w:t>שתתאפשר</w:t>
      </w:r>
      <w:r w:rsidRPr="001A6EAE">
        <w:rPr>
          <w:rtl/>
        </w:rPr>
        <w:t xml:space="preserve"> גמישות והתאמת הענישה למקרי שידול הנבדלים זה </w:t>
      </w:r>
      <w:r w:rsidRPr="008F2B88">
        <w:rPr>
          <w:rtl/>
        </w:rPr>
        <w:t>מזה בחומרתם. אשר לשידול לעבירת הרצח – מאחר שמוצע לקבוע בצד עבירה זו מאסר עולם כעונש מרבי, הרי שממילא נתונה הסמכות לבית המשפט להטיל עונש קל יותר.</w:t>
      </w:r>
    </w:p>
    <w:p w:rsidR="009E69ED" w:rsidRPr="008F2B88" w:rsidRDefault="00FF2FDE" w:rsidP="00686772">
      <w:pPr>
        <w:pStyle w:val="Hesber"/>
        <w:spacing w:line="336" w:lineRule="auto"/>
        <w:rPr>
          <w:rtl/>
        </w:rPr>
      </w:pPr>
      <w:proofErr w:type="spellStart"/>
      <w:r w:rsidRPr="008F2B88">
        <w:rPr>
          <w:rtl/>
        </w:rPr>
        <w:t>נסיון</w:t>
      </w:r>
      <w:proofErr w:type="spellEnd"/>
      <w:r w:rsidRPr="008F2B88">
        <w:rPr>
          <w:rtl/>
        </w:rPr>
        <w:t xml:space="preserve"> לרצח</w:t>
      </w:r>
      <w:r w:rsidR="009E69ED" w:rsidRPr="008F2B88">
        <w:rPr>
          <w:rFonts w:hint="cs"/>
          <w:rtl/>
        </w:rPr>
        <w:t xml:space="preserve"> – סעיף </w:t>
      </w:r>
      <w:r w:rsidR="009E69ED" w:rsidRPr="008F2B88">
        <w:rPr>
          <w:rtl/>
        </w:rPr>
        <w:t>305ב</w:t>
      </w:r>
      <w:r w:rsidR="009E69ED" w:rsidRPr="008F2B88">
        <w:rPr>
          <w:rFonts w:hint="cs"/>
          <w:rtl/>
        </w:rPr>
        <w:t xml:space="preserve"> –</w:t>
      </w:r>
      <w:r w:rsidRPr="008F2B88">
        <w:rPr>
          <w:rtl/>
        </w:rPr>
        <w:t xml:space="preserve"> יסודות עבירת </w:t>
      </w:r>
      <w:proofErr w:type="spellStart"/>
      <w:r w:rsidRPr="008F2B88">
        <w:rPr>
          <w:rtl/>
        </w:rPr>
        <w:t>הנסיון</w:t>
      </w:r>
      <w:proofErr w:type="spellEnd"/>
      <w:r w:rsidRPr="008F2B88">
        <w:rPr>
          <w:rtl/>
        </w:rPr>
        <w:t xml:space="preserve"> </w:t>
      </w:r>
      <w:r w:rsidR="009E69ED" w:rsidRPr="008F2B88">
        <w:rPr>
          <w:rtl/>
        </w:rPr>
        <w:t>לרצח מנוסחים בסגנון ארכאי, שאינ</w:t>
      </w:r>
      <w:r w:rsidR="009E69ED" w:rsidRPr="008F2B88">
        <w:rPr>
          <w:rFonts w:hint="cs"/>
          <w:rtl/>
        </w:rPr>
        <w:t>ם</w:t>
      </w:r>
      <w:r w:rsidR="009E69ED" w:rsidRPr="008F2B88">
        <w:rPr>
          <w:rtl/>
        </w:rPr>
        <w:t xml:space="preserve"> עול</w:t>
      </w:r>
      <w:r w:rsidR="009E69ED" w:rsidRPr="008F2B88">
        <w:rPr>
          <w:rFonts w:hint="cs"/>
          <w:rtl/>
        </w:rPr>
        <w:t>ים</w:t>
      </w:r>
      <w:r w:rsidRPr="008F2B88">
        <w:rPr>
          <w:rtl/>
        </w:rPr>
        <w:t xml:space="preserve"> בקנה אחד עם הגדרת יסודות העבירה בסעיף 35 לחלק הכללי של חוק העונשין, ובמיוחד עם הגדרת היסוד הנפשי בעבירות הניסיון. מוצע לבטל עבירה זו, כך שיחולו הוראות הדין הכללי. </w:t>
      </w:r>
      <w:r w:rsidR="009E69ED" w:rsidRPr="008F2B88">
        <w:rPr>
          <w:rFonts w:hint="cs"/>
          <w:rtl/>
        </w:rPr>
        <w:t xml:space="preserve">מוצע לקבוע </w:t>
      </w:r>
      <w:r w:rsidR="009E69ED" w:rsidRPr="008F2B88">
        <w:rPr>
          <w:rtl/>
        </w:rPr>
        <w:t>עונש של מאסר עולם כעונש מרבי</w:t>
      </w:r>
      <w:r w:rsidR="009E69ED" w:rsidRPr="008F2B88">
        <w:rPr>
          <w:rFonts w:hint="cs"/>
          <w:rtl/>
        </w:rPr>
        <w:t>,</w:t>
      </w:r>
      <w:r w:rsidRPr="008F2B88">
        <w:rPr>
          <w:rtl/>
        </w:rPr>
        <w:t xml:space="preserve"> בדומה לעונש שמוצע בגין שידול לעבירות הרצח. מבחינת אשמתו הסובייקטיבית של העושה ישנם מקרים בהם אין הניסיון נבדל מן העבירה המושלמת, ולפיכך אין בעונש של 20 שנות מאסר כדי </w:t>
      </w:r>
      <w:proofErr w:type="spellStart"/>
      <w:r w:rsidRPr="008F2B88">
        <w:rPr>
          <w:rtl/>
        </w:rPr>
        <w:t>ליתן</w:t>
      </w:r>
      <w:proofErr w:type="spellEnd"/>
      <w:r w:rsidRPr="008F2B88">
        <w:rPr>
          <w:rtl/>
        </w:rPr>
        <w:t xml:space="preserve"> ביטוי מתאים למשמעות זו.</w:t>
      </w:r>
      <w:r w:rsidR="009E69ED" w:rsidRPr="008F2B88">
        <w:rPr>
          <w:rtl/>
        </w:rPr>
        <w:t xml:space="preserve"> </w:t>
      </w:r>
    </w:p>
    <w:p w:rsidR="00FF2FDE" w:rsidRPr="008F2B88" w:rsidRDefault="00FF2FDE" w:rsidP="00686772">
      <w:pPr>
        <w:pStyle w:val="Hesber"/>
        <w:spacing w:line="336" w:lineRule="auto"/>
        <w:rPr>
          <w:rtl/>
        </w:rPr>
      </w:pPr>
      <w:r w:rsidRPr="008F2B88">
        <w:rPr>
          <w:rtl/>
        </w:rPr>
        <w:t xml:space="preserve"> </w:t>
      </w:r>
      <w:proofErr w:type="spellStart"/>
      <w:r w:rsidRPr="008F2B88">
        <w:rPr>
          <w:rtl/>
        </w:rPr>
        <w:t>נסיון</w:t>
      </w:r>
      <w:proofErr w:type="spellEnd"/>
      <w:r w:rsidRPr="008F2B88">
        <w:rPr>
          <w:rtl/>
        </w:rPr>
        <w:t xml:space="preserve"> לשידול לרצח</w:t>
      </w:r>
      <w:r w:rsidR="009E69ED" w:rsidRPr="008F2B88">
        <w:rPr>
          <w:rFonts w:hint="cs"/>
          <w:rtl/>
        </w:rPr>
        <w:t xml:space="preserve"> – סעיף </w:t>
      </w:r>
      <w:r w:rsidR="009E69ED" w:rsidRPr="008F2B88">
        <w:rPr>
          <w:rtl/>
        </w:rPr>
        <w:t>305ג</w:t>
      </w:r>
      <w:r w:rsidR="009E69ED" w:rsidRPr="008F2B88">
        <w:rPr>
          <w:rFonts w:hint="cs"/>
          <w:rtl/>
        </w:rPr>
        <w:t xml:space="preserve"> –</w:t>
      </w:r>
      <w:r w:rsidRPr="008F2B88">
        <w:rPr>
          <w:rtl/>
        </w:rPr>
        <w:t xml:space="preserve"> הכלל הנוגע לניסיון לשידול דומה לסיוע, והוא שניסיון לשדל אדם לביצוע עבירה עונשו מחצית </w:t>
      </w:r>
      <w:r w:rsidR="009E69ED" w:rsidRPr="008F2B88">
        <w:rPr>
          <w:rFonts w:hint="cs"/>
          <w:rtl/>
        </w:rPr>
        <w:t>מ</w:t>
      </w:r>
      <w:r w:rsidRPr="008F2B88">
        <w:rPr>
          <w:rtl/>
        </w:rPr>
        <w:t>העונש שנקבע</w:t>
      </w:r>
      <w:r w:rsidRPr="001A6EAE">
        <w:rPr>
          <w:rtl/>
        </w:rPr>
        <w:t xml:space="preserve"> לביצועה העיקרי. על כן, ובהתאמה לעבירת הסיוע לרצח,  מוצע לקבוע עבירה של ניסיון לשידול לרצח שעונשה חמש עשרה שנות מאסר. מוצע להותיר את הענישה בעבירה של ניסיון לשידול לרצח בנסיבות מחמירות בהתאם לחלק הכללי של חוק העונשין, כלומר העונש בצד </w:t>
      </w:r>
      <w:r w:rsidRPr="008F2B88">
        <w:rPr>
          <w:rtl/>
        </w:rPr>
        <w:t xml:space="preserve">עבירה זו יהיה עשרים שנות מאסר.   </w:t>
      </w:r>
    </w:p>
    <w:p w:rsidR="00FF2FDE" w:rsidRPr="008F2B88" w:rsidRDefault="00FF2FDE" w:rsidP="00686772">
      <w:pPr>
        <w:pStyle w:val="Hesber"/>
        <w:spacing w:line="336" w:lineRule="auto"/>
        <w:rPr>
          <w:rtl/>
        </w:rPr>
      </w:pPr>
      <w:r w:rsidRPr="008F2B88">
        <w:rPr>
          <w:rtl/>
        </w:rPr>
        <w:t>יצוין כי בעבירות ההמתה האחרות, לא מוצע לקבוע הסדר מיוחד ויחול ההסדר לפי החלק הכללי של חוק העונשין.</w:t>
      </w:r>
    </w:p>
    <w:p w:rsidR="00FF2FDE" w:rsidRPr="008F2B88" w:rsidRDefault="009E69ED" w:rsidP="00686772">
      <w:pPr>
        <w:pStyle w:val="Hesber"/>
        <w:spacing w:line="336" w:lineRule="auto"/>
        <w:rPr>
          <w:rtl/>
        </w:rPr>
      </w:pPr>
      <w:r w:rsidRPr="008F2B88">
        <w:rPr>
          <w:rtl/>
        </w:rPr>
        <w:t>1</w:t>
      </w:r>
      <w:r w:rsidRPr="008F2B88">
        <w:rPr>
          <w:rFonts w:hint="cs"/>
          <w:rtl/>
        </w:rPr>
        <w:t>1</w:t>
      </w:r>
      <w:r w:rsidR="00FF2FDE" w:rsidRPr="008F2B88">
        <w:rPr>
          <w:rtl/>
        </w:rPr>
        <w:t>. ביטול סעיף 307 איום בכתב לרצח</w:t>
      </w:r>
      <w:r w:rsidRPr="008F2B88">
        <w:rPr>
          <w:rFonts w:hint="cs"/>
          <w:rtl/>
        </w:rPr>
        <w:t xml:space="preserve"> –</w:t>
      </w:r>
      <w:r w:rsidR="00FF2FDE" w:rsidRPr="008F2B88">
        <w:rPr>
          <w:rtl/>
        </w:rPr>
        <w:t xml:space="preserve"> </w:t>
      </w:r>
      <w:r w:rsidRPr="008F2B88">
        <w:rPr>
          <w:rFonts w:hint="cs"/>
          <w:rtl/>
        </w:rPr>
        <w:t xml:space="preserve">מוצע לבטל את העבירה </w:t>
      </w:r>
      <w:r w:rsidR="00FF2FDE" w:rsidRPr="008F2B88">
        <w:rPr>
          <w:rtl/>
        </w:rPr>
        <w:t>מאחר שלמקרים הנכללים בה יש הסדר מספק במסגרת עבירת האיומים, לפי סעיף 192 לחוק העונשין, ודיני השותפות על-פי חלק הכללי של חוק העונשין, ומאחר שהעונש המוצע בצד העבירה גבוה מדי.</w:t>
      </w:r>
    </w:p>
    <w:p w:rsidR="009E69ED" w:rsidRPr="008F2B88" w:rsidRDefault="009E69ED" w:rsidP="00686772">
      <w:pPr>
        <w:pStyle w:val="Hesber"/>
        <w:spacing w:line="336" w:lineRule="auto"/>
        <w:rPr>
          <w:rtl/>
        </w:rPr>
      </w:pPr>
      <w:r w:rsidRPr="008F2B88">
        <w:rPr>
          <w:rFonts w:hint="cs"/>
          <w:rtl/>
        </w:rPr>
        <w:t>12</w:t>
      </w:r>
      <w:r w:rsidR="00FF2FDE" w:rsidRPr="008F2B88">
        <w:rPr>
          <w:rtl/>
        </w:rPr>
        <w:t>.</w:t>
      </w:r>
      <w:r w:rsidRPr="008F2B88">
        <w:rPr>
          <w:rFonts w:hint="cs"/>
          <w:rtl/>
        </w:rPr>
        <w:t xml:space="preserve"> תיקון</w:t>
      </w:r>
      <w:r w:rsidR="00FF2FDE" w:rsidRPr="008F2B88">
        <w:rPr>
          <w:rtl/>
        </w:rPr>
        <w:t xml:space="preserve"> סעיף 308</w:t>
      </w:r>
      <w:r w:rsidRPr="008F2B88">
        <w:rPr>
          <w:rFonts w:hint="cs"/>
          <w:rtl/>
        </w:rPr>
        <w:t xml:space="preserve"> –</w:t>
      </w:r>
      <w:r w:rsidR="00FF2FDE" w:rsidRPr="008F2B88">
        <w:rPr>
          <w:rtl/>
        </w:rPr>
        <w:t xml:space="preserve"> </w:t>
      </w:r>
      <w:r w:rsidRPr="008F2B88">
        <w:rPr>
          <w:rFonts w:hint="cs"/>
          <w:rtl/>
        </w:rPr>
        <w:t xml:space="preserve">מוצע לבטל את </w:t>
      </w:r>
      <w:proofErr w:type="spellStart"/>
      <w:r w:rsidRPr="008F2B88">
        <w:rPr>
          <w:rFonts w:hint="cs"/>
          <w:rtl/>
        </w:rPr>
        <w:t>הסיפה</w:t>
      </w:r>
      <w:proofErr w:type="spellEnd"/>
      <w:r w:rsidRPr="008F2B88">
        <w:rPr>
          <w:rFonts w:hint="cs"/>
          <w:rtl/>
        </w:rPr>
        <w:t xml:space="preserve"> של סעיף 308. </w:t>
      </w:r>
      <w:r w:rsidR="00FF2FDE" w:rsidRPr="008F2B88">
        <w:rPr>
          <w:rtl/>
        </w:rPr>
        <w:t xml:space="preserve">סעיף זה מגדיר מיהו אדם </w:t>
      </w:r>
      <w:proofErr w:type="spellStart"/>
      <w:r w:rsidR="00FF2FDE" w:rsidRPr="008F2B88">
        <w:rPr>
          <w:rtl/>
        </w:rPr>
        <w:t>לענין</w:t>
      </w:r>
      <w:proofErr w:type="spellEnd"/>
      <w:r w:rsidR="00FF2FDE" w:rsidRPr="008F2B88">
        <w:rPr>
          <w:rtl/>
        </w:rPr>
        <w:t xml:space="preserve"> סימן עבירות ההמתה</w:t>
      </w:r>
      <w:r w:rsidRPr="008F2B88">
        <w:rPr>
          <w:rFonts w:hint="cs"/>
          <w:rtl/>
        </w:rPr>
        <w:t>.</w:t>
      </w:r>
      <w:r w:rsidR="00FF2FDE" w:rsidRPr="008F2B88">
        <w:rPr>
          <w:rtl/>
        </w:rPr>
        <w:t xml:space="preserve"> </w:t>
      </w:r>
      <w:proofErr w:type="spellStart"/>
      <w:r w:rsidR="00FF2FDE" w:rsidRPr="008F2B88">
        <w:rPr>
          <w:rtl/>
        </w:rPr>
        <w:t>הסיפה</w:t>
      </w:r>
      <w:proofErr w:type="spellEnd"/>
      <w:r w:rsidR="00FF2FDE" w:rsidRPr="008F2B88">
        <w:rPr>
          <w:rtl/>
        </w:rPr>
        <w:t xml:space="preserve"> של סעיף ז</w:t>
      </w:r>
      <w:r w:rsidRPr="008F2B88">
        <w:rPr>
          <w:rtl/>
        </w:rPr>
        <w:t>ה, החל מהמילים "בין שנשם", כולל</w:t>
      </w:r>
      <w:r w:rsidR="00FF2FDE" w:rsidRPr="008F2B88">
        <w:rPr>
          <w:rtl/>
        </w:rPr>
        <w:t xml:space="preserve"> אבחנות, שלאור התפתחות המדע אין בהן כל צורך ול</w:t>
      </w:r>
      <w:r w:rsidRPr="008F2B88">
        <w:rPr>
          <w:rtl/>
        </w:rPr>
        <w:t>כן הן מיותרות, על כן מוצע למחקה</w:t>
      </w:r>
      <w:r w:rsidRPr="008F2B88">
        <w:rPr>
          <w:rFonts w:hint="cs"/>
          <w:rtl/>
        </w:rPr>
        <w:t>.</w:t>
      </w:r>
    </w:p>
    <w:p w:rsidR="00FF2FDE" w:rsidRPr="008F2B88" w:rsidRDefault="009E69ED" w:rsidP="00686772">
      <w:pPr>
        <w:pStyle w:val="Hesber"/>
        <w:spacing w:line="336" w:lineRule="auto"/>
        <w:rPr>
          <w:rtl/>
        </w:rPr>
      </w:pPr>
      <w:r w:rsidRPr="008F2B88">
        <w:rPr>
          <w:rFonts w:hint="cs"/>
          <w:rtl/>
        </w:rPr>
        <w:t>13</w:t>
      </w:r>
      <w:r w:rsidR="00FF2FDE" w:rsidRPr="008F2B88">
        <w:rPr>
          <w:rtl/>
        </w:rPr>
        <w:t>. ביטול סעיפים 309-311</w:t>
      </w:r>
      <w:r w:rsidRPr="008F2B88">
        <w:rPr>
          <w:rFonts w:hint="cs"/>
          <w:rtl/>
        </w:rPr>
        <w:t xml:space="preserve"> –</w:t>
      </w:r>
      <w:r w:rsidR="00FF2FDE" w:rsidRPr="008F2B88">
        <w:rPr>
          <w:rtl/>
        </w:rPr>
        <w:t xml:space="preserve"> </w:t>
      </w:r>
    </w:p>
    <w:p w:rsidR="00FF2FDE" w:rsidRPr="008F2B88" w:rsidRDefault="00FF2FDE" w:rsidP="00686772">
      <w:pPr>
        <w:pStyle w:val="Hesber"/>
        <w:spacing w:line="336" w:lineRule="auto"/>
        <w:rPr>
          <w:rtl/>
        </w:rPr>
      </w:pPr>
      <w:r w:rsidRPr="008F2B88">
        <w:rPr>
          <w:rtl/>
        </w:rPr>
        <w:lastRenderedPageBreak/>
        <w:t>גרימת מוות – מהי – סעיף</w:t>
      </w:r>
      <w:r w:rsidR="00DC0F7C" w:rsidRPr="008F2B88">
        <w:rPr>
          <w:rFonts w:hint="cs"/>
          <w:rtl/>
        </w:rPr>
        <w:t xml:space="preserve"> </w:t>
      </w:r>
      <w:r w:rsidR="00DC0F7C" w:rsidRPr="008F2B88">
        <w:rPr>
          <w:rtl/>
        </w:rPr>
        <w:t xml:space="preserve">309 – </w:t>
      </w:r>
      <w:r w:rsidRPr="008F2B88">
        <w:rPr>
          <w:rtl/>
        </w:rPr>
        <w:t xml:space="preserve"> </w:t>
      </w:r>
      <w:r w:rsidR="00DC0F7C" w:rsidRPr="008F2B88">
        <w:rPr>
          <w:rFonts w:hint="cs"/>
          <w:rtl/>
        </w:rPr>
        <w:t xml:space="preserve">סעיף זה </w:t>
      </w:r>
      <w:r w:rsidRPr="008F2B88">
        <w:rPr>
          <w:rtl/>
        </w:rPr>
        <w:t xml:space="preserve">קובע בסעיפי משנה שונים מצבים בהם מתקיים קשר סיבתי בין המעשה לתוצאת המוות. עם זאת, עולה מהפסיקה כי רשימה זו אינה רשימה סגורה אלא דוגמאות פרטניות למקרים בהם מתקיים קשר סיבתי, ובתיקי עבירות המתה יש להחיל גם את דיני הסיבתיות הכלליים. הטכניקה החקיקתית שעל בסיסה חוקק סעיף זה (רשימה </w:t>
      </w:r>
      <w:proofErr w:type="spellStart"/>
      <w:r w:rsidRPr="008F2B88">
        <w:rPr>
          <w:rtl/>
        </w:rPr>
        <w:t>קזואיסטית</w:t>
      </w:r>
      <w:proofErr w:type="spellEnd"/>
      <w:r w:rsidRPr="008F2B88">
        <w:rPr>
          <w:rtl/>
        </w:rPr>
        <w:t xml:space="preserve"> של מקרים), היא טכניקה מיושנת ואינה מתאימה ל</w:t>
      </w:r>
      <w:r w:rsidR="00DC0F7C" w:rsidRPr="008F2B88">
        <w:rPr>
          <w:rtl/>
        </w:rPr>
        <w:t>חקיקה מודרנית. מאחר שככל הנראה</w:t>
      </w:r>
      <w:r w:rsidR="00DC0F7C" w:rsidRPr="008F2B88">
        <w:rPr>
          <w:rFonts w:hint="cs"/>
          <w:rtl/>
        </w:rPr>
        <w:t>,</w:t>
      </w:r>
      <w:r w:rsidR="00DC0F7C" w:rsidRPr="008F2B88">
        <w:rPr>
          <w:rtl/>
        </w:rPr>
        <w:t xml:space="preserve"> </w:t>
      </w:r>
      <w:r w:rsidRPr="008F2B88">
        <w:rPr>
          <w:rtl/>
        </w:rPr>
        <w:t xml:space="preserve">המקרים הפרטניים הנמנים בסעיף נבלעים בדין הכללי, העוסק בקביעת קשר סיבתי בעבירות תוצאה, הסעיף לכאורה מיותר ואם כך מן הראוי למחקו. יודגש כי אין במחיקת הסעיף כדי לשנות את המצב המשפטי הקיים ואת כללי הקשר הסיבתי החלים לגבי עבירות ההמתה. </w:t>
      </w:r>
    </w:p>
    <w:p w:rsidR="00FF2FDE" w:rsidRPr="008F2B88" w:rsidRDefault="00FF2FDE" w:rsidP="00686772">
      <w:pPr>
        <w:pStyle w:val="Hesber"/>
        <w:spacing w:line="336" w:lineRule="auto"/>
        <w:rPr>
          <w:rtl/>
        </w:rPr>
      </w:pPr>
      <w:r w:rsidRPr="008F2B88">
        <w:rPr>
          <w:rtl/>
        </w:rPr>
        <w:t xml:space="preserve">העלמת לידה – </w:t>
      </w:r>
      <w:r w:rsidR="00DC0F7C" w:rsidRPr="008F2B88">
        <w:rPr>
          <w:rtl/>
        </w:rPr>
        <w:t>סעיף 311 –</w:t>
      </w:r>
      <w:r w:rsidR="00DC0F7C" w:rsidRPr="008F2B88">
        <w:rPr>
          <w:rFonts w:hint="cs"/>
          <w:rtl/>
        </w:rPr>
        <w:t xml:space="preserve"> </w:t>
      </w:r>
      <w:r w:rsidRPr="008F2B88">
        <w:rPr>
          <w:rtl/>
        </w:rPr>
        <w:t>סעיף זה, קובע עבירה שעונשה שנת מאסר, על מי שמשתדל להעלים דבר לידתו של ולד, בסלקו בחשאי את גוויית הולד, בין שמת לפני הלידה או בשעת הלידה ובין לאחריה. סעיף זה חוקק על רקע מציאות עובדתית שונה מהמציאות של ימינו, ואינו עוד רלוונטי. ככל שהסעיף נועד לתת מענה למקרים של סיוע לאחר מעשה לביצוע עבירה או לשיבוש הליכי משפט – יש לכך מענה בעבירות אלו.</w:t>
      </w:r>
    </w:p>
    <w:p w:rsidR="00A35827" w:rsidRPr="008F2B88" w:rsidRDefault="00FF2FDE" w:rsidP="00686772">
      <w:pPr>
        <w:pStyle w:val="Hesber"/>
        <w:spacing w:line="336" w:lineRule="auto"/>
      </w:pPr>
      <w:r w:rsidRPr="008F2B88">
        <w:rPr>
          <w:rtl/>
        </w:rPr>
        <w:t>הוספת סעיף 311א</w:t>
      </w:r>
      <w:r w:rsidR="00DC0F7C" w:rsidRPr="008F2B88">
        <w:rPr>
          <w:rFonts w:hint="cs"/>
          <w:rtl/>
        </w:rPr>
        <w:t xml:space="preserve"> </w:t>
      </w:r>
      <w:r w:rsidR="00DC0F7C" w:rsidRPr="008F2B88">
        <w:rPr>
          <w:rFonts w:hint="eastAsia"/>
          <w:rtl/>
        </w:rPr>
        <w:t>– מאסר עולם שאינו עונש חובה.</w:t>
      </w:r>
    </w:p>
    <w:p w:rsidR="00A35827" w:rsidRDefault="00A35827" w:rsidP="00686772">
      <w:pPr>
        <w:pStyle w:val="Hesber"/>
        <w:spacing w:line="336" w:lineRule="auto"/>
        <w:rPr>
          <w:rFonts w:hint="cs"/>
          <w:rtl/>
        </w:rPr>
      </w:pPr>
      <w:r w:rsidRPr="008F2B88">
        <w:rPr>
          <w:rtl/>
        </w:rPr>
        <w:t xml:space="preserve">הצעת חוק </w:t>
      </w:r>
      <w:r w:rsidR="008F2B88">
        <w:rPr>
          <w:rFonts w:hint="cs"/>
          <w:rtl/>
        </w:rPr>
        <w:t>זו</w:t>
      </w:r>
      <w:r w:rsidRPr="008F2B88">
        <w:rPr>
          <w:rtl/>
        </w:rPr>
        <w:t xml:space="preserve"> נכת</w:t>
      </w:r>
      <w:r w:rsidR="00DC0F7C" w:rsidRPr="008F2B88">
        <w:rPr>
          <w:rtl/>
        </w:rPr>
        <w:t>בה על בסיס תזכיר חוק ממשלתי</w:t>
      </w:r>
      <w:r w:rsidR="00DC0F7C" w:rsidRPr="008F2B88">
        <w:rPr>
          <w:rFonts w:hint="cs"/>
          <w:rtl/>
        </w:rPr>
        <w:t xml:space="preserve">, "חוק העונשין (תיקון – עבירות המתה ורשלנות), </w:t>
      </w:r>
      <w:proofErr w:type="spellStart"/>
      <w:r w:rsidR="00DC0F7C" w:rsidRPr="008F2B88">
        <w:rPr>
          <w:rFonts w:hint="cs"/>
          <w:rtl/>
        </w:rPr>
        <w:t>התשע"ב</w:t>
      </w:r>
      <w:proofErr w:type="spellEnd"/>
      <w:r w:rsidR="00DC0F7C" w:rsidRPr="008F2B88">
        <w:rPr>
          <w:rFonts w:hint="cs"/>
          <w:rtl/>
        </w:rPr>
        <w:t>–2012.</w:t>
      </w:r>
      <w:r w:rsidRPr="008F2B88">
        <w:rPr>
          <w:rtl/>
        </w:rPr>
        <w:t xml:space="preserve"> </w:t>
      </w:r>
      <w:r w:rsidR="00304A1D" w:rsidRPr="008F2B88">
        <w:rPr>
          <w:rtl/>
        </w:rPr>
        <w:t xml:space="preserve">בשנת 2007 שר המשפטים דאז, פרופ' דניאל פרידמן, </w:t>
      </w:r>
      <w:r w:rsidR="00E12BF2" w:rsidRPr="008F2B88">
        <w:rPr>
          <w:rFonts w:hint="cs"/>
          <w:rtl/>
        </w:rPr>
        <w:t xml:space="preserve">מינה </w:t>
      </w:r>
      <w:r w:rsidR="00304A1D" w:rsidRPr="008F2B88">
        <w:rPr>
          <w:rtl/>
        </w:rPr>
        <w:t xml:space="preserve">צוות לבדיקת הנושא (צוות </w:t>
      </w:r>
      <w:proofErr w:type="spellStart"/>
      <w:r w:rsidR="00304A1D" w:rsidRPr="008F2B88">
        <w:rPr>
          <w:rtl/>
        </w:rPr>
        <w:t>קרמניצר</w:t>
      </w:r>
      <w:proofErr w:type="spellEnd"/>
      <w:r w:rsidR="00304A1D" w:rsidRPr="008F2B88">
        <w:rPr>
          <w:rtl/>
        </w:rPr>
        <w:t>). בשנת 2009 הוסמך הצוות לבחון גם הסדר הנוגע לכלל עבירות הרשלנות. עבודת ה</w:t>
      </w:r>
      <w:r w:rsidR="008F2B88">
        <w:rPr>
          <w:rtl/>
        </w:rPr>
        <w:t>צוות הושלמה ודו</w:t>
      </w:r>
      <w:r w:rsidR="00304A1D" w:rsidRPr="008F2B88">
        <w:rPr>
          <w:rtl/>
        </w:rPr>
        <w:t>ח הצוות ה</w:t>
      </w:r>
      <w:r w:rsidR="00DC0F7C" w:rsidRPr="008F2B88">
        <w:rPr>
          <w:rtl/>
        </w:rPr>
        <w:t xml:space="preserve">וגש לשר המשפטים ביום </w:t>
      </w:r>
      <w:r w:rsidR="008F2B88">
        <w:rPr>
          <w:rFonts w:hint="cs"/>
          <w:rtl/>
        </w:rPr>
        <w:t>9 באוגוסט 2011</w:t>
      </w:r>
      <w:r w:rsidR="00DC0F7C" w:rsidRPr="008F2B88">
        <w:rPr>
          <w:rFonts w:hint="cs"/>
          <w:rtl/>
        </w:rPr>
        <w:t>,</w:t>
      </w:r>
      <w:r w:rsidR="00304A1D" w:rsidRPr="008F2B88">
        <w:rPr>
          <w:rtl/>
        </w:rPr>
        <w:t xml:space="preserve"> </w:t>
      </w:r>
      <w:r w:rsidR="00DC0F7C" w:rsidRPr="008F2B88">
        <w:rPr>
          <w:rFonts w:hint="cs"/>
          <w:rtl/>
        </w:rPr>
        <w:t>ו</w:t>
      </w:r>
      <w:r w:rsidR="00304A1D" w:rsidRPr="008F2B88">
        <w:rPr>
          <w:rtl/>
        </w:rPr>
        <w:t xml:space="preserve">תזכיר </w:t>
      </w:r>
      <w:r w:rsidR="008F2B88">
        <w:rPr>
          <w:rFonts w:hint="cs"/>
          <w:rtl/>
        </w:rPr>
        <w:t>ה</w:t>
      </w:r>
      <w:r w:rsidR="00304A1D" w:rsidRPr="008F2B88">
        <w:rPr>
          <w:rtl/>
        </w:rPr>
        <w:t>חוק מבוסס בעיקרו על עבודת הצוות ומסקנותיו</w:t>
      </w:r>
      <w:r w:rsidR="009D54DD" w:rsidRPr="008F2B88">
        <w:rPr>
          <w:rFonts w:hint="cs"/>
          <w:rtl/>
        </w:rPr>
        <w:t>.</w:t>
      </w:r>
    </w:p>
    <w:p w:rsidR="00D923E5" w:rsidRDefault="00D923E5" w:rsidP="00686772">
      <w:pPr>
        <w:pStyle w:val="Hesber"/>
        <w:spacing w:line="336" w:lineRule="auto"/>
        <w:rPr>
          <w:rFonts w:hint="cs"/>
          <w:rtl/>
        </w:rPr>
      </w:pPr>
    </w:p>
    <w:p w:rsidR="00D923E5" w:rsidRDefault="00D923E5" w:rsidP="00686772">
      <w:pPr>
        <w:pStyle w:val="Hesber"/>
        <w:spacing w:line="336" w:lineRule="auto"/>
        <w:rPr>
          <w:rFonts w:hint="cs"/>
          <w:rtl/>
        </w:rPr>
      </w:pPr>
    </w:p>
    <w:p w:rsidR="00D923E5" w:rsidRDefault="00D923E5" w:rsidP="00686772">
      <w:pPr>
        <w:pStyle w:val="Hesber"/>
        <w:spacing w:line="336" w:lineRule="auto"/>
        <w:rPr>
          <w:rFonts w:hint="cs"/>
          <w:rtl/>
        </w:rPr>
      </w:pPr>
    </w:p>
    <w:p w:rsidR="00D923E5" w:rsidRDefault="00D923E5" w:rsidP="00686772">
      <w:pPr>
        <w:pStyle w:val="Hesber"/>
        <w:spacing w:line="336" w:lineRule="auto"/>
        <w:rPr>
          <w:rFonts w:hint="cs"/>
          <w:rtl/>
        </w:rPr>
      </w:pPr>
    </w:p>
    <w:p w:rsidR="00D923E5" w:rsidRDefault="00D923E5" w:rsidP="00686772">
      <w:pPr>
        <w:pStyle w:val="Hesber"/>
        <w:spacing w:line="336" w:lineRule="auto"/>
        <w:rPr>
          <w:rtl/>
        </w:rPr>
      </w:pPr>
      <w:bookmarkStart w:id="8" w:name="_GoBack"/>
      <w:bookmarkEnd w:id="8"/>
    </w:p>
    <w:p w:rsidR="006C4D5A" w:rsidRDefault="006C4D5A" w:rsidP="006C4D5A">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rsidR="006C4D5A" w:rsidRDefault="006C4D5A" w:rsidP="006C4D5A">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6C4D5A" w:rsidRDefault="006C4D5A" w:rsidP="006C4D5A">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6C4D5A" w:rsidRDefault="006C4D5A" w:rsidP="006C4D5A">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 xml:space="preserve">כ"ד באב </w:t>
      </w:r>
      <w:proofErr w:type="spellStart"/>
      <w:r>
        <w:rPr>
          <w:rFonts w:ascii="Arial" w:eastAsia="Arial Unicode MS" w:hAnsi="Arial" w:cs="David" w:hint="cs"/>
          <w:snapToGrid w:val="0"/>
          <w:spacing w:val="0"/>
          <w:sz w:val="20"/>
          <w:szCs w:val="26"/>
          <w:rtl/>
        </w:rPr>
        <w:t>התשע"ג</w:t>
      </w:r>
      <w:proofErr w:type="spellEnd"/>
      <w:r>
        <w:rPr>
          <w:rFonts w:ascii="Arial" w:eastAsia="Arial Unicode MS" w:hAnsi="Arial" w:cs="David" w:hint="cs"/>
          <w:snapToGrid w:val="0"/>
          <w:spacing w:val="0"/>
          <w:sz w:val="20"/>
          <w:szCs w:val="26"/>
          <w:rtl/>
        </w:rPr>
        <w:t xml:space="preserve"> – 31.7.13</w:t>
      </w:r>
    </w:p>
    <w:p w:rsidR="006C4D5A" w:rsidRPr="008F2B88" w:rsidRDefault="006C4D5A" w:rsidP="00686772">
      <w:pPr>
        <w:pStyle w:val="Hesber"/>
        <w:spacing w:line="336" w:lineRule="auto"/>
        <w:rPr>
          <w:rtl/>
        </w:rPr>
      </w:pPr>
    </w:p>
    <w:sectPr w:rsidR="006C4D5A" w:rsidRPr="008F2B88"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8F" w:rsidRDefault="001D658F">
      <w:r>
        <w:separator/>
      </w:r>
    </w:p>
  </w:endnote>
  <w:endnote w:type="continuationSeparator" w:id="0">
    <w:p w:rsidR="001D658F" w:rsidRDefault="001D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923E5">
      <w:rPr>
        <w:rStyle w:val="ab"/>
        <w:noProof/>
        <w:rtl/>
      </w:rPr>
      <w:t>14</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8F" w:rsidRDefault="001D658F">
      <w:r>
        <w:separator/>
      </w:r>
    </w:p>
  </w:footnote>
  <w:footnote w:type="continuationSeparator" w:id="0">
    <w:p w:rsidR="001D658F" w:rsidRDefault="001D658F">
      <w:r>
        <w:continuationSeparator/>
      </w:r>
    </w:p>
  </w:footnote>
  <w:footnote w:type="continuationNotice" w:id="1">
    <w:p w:rsidR="001D658F" w:rsidRDefault="001D658F"/>
  </w:footnote>
  <w:footnote w:id="2">
    <w:p w:rsidR="0017165B" w:rsidRDefault="0017165B" w:rsidP="0017165B">
      <w:pPr>
        <w:pStyle w:val="a4"/>
      </w:pPr>
      <w:r>
        <w:rPr>
          <w:rStyle w:val="a6"/>
        </w:rPr>
        <w:footnoteRef/>
      </w:r>
      <w:r>
        <w:rPr>
          <w:rtl/>
        </w:rPr>
        <w:t xml:space="preserve"> </w:t>
      </w:r>
      <w:r>
        <w:rPr>
          <w:rFonts w:hint="cs"/>
          <w:rtl/>
        </w:rPr>
        <w:t xml:space="preserve">ס"ח </w:t>
      </w:r>
      <w:proofErr w:type="spellStart"/>
      <w:r>
        <w:rPr>
          <w:rFonts w:hint="cs"/>
          <w:rtl/>
        </w:rPr>
        <w:t>התשל"ז</w:t>
      </w:r>
      <w:proofErr w:type="spellEnd"/>
      <w:r>
        <w:rPr>
          <w:rFonts w:hint="cs"/>
          <w:rtl/>
        </w:rPr>
        <w:t>, עמ' 227.</w:t>
      </w:r>
    </w:p>
  </w:footnote>
  <w:footnote w:id="3">
    <w:p w:rsidR="0017165B" w:rsidRDefault="0017165B" w:rsidP="0017165B">
      <w:pPr>
        <w:pStyle w:val="a4"/>
      </w:pPr>
      <w:r>
        <w:rPr>
          <w:rStyle w:val="a6"/>
        </w:rPr>
        <w:footnoteRef/>
      </w:r>
      <w:r>
        <w:rPr>
          <w:rtl/>
        </w:rPr>
        <w:t xml:space="preserve"> </w:t>
      </w:r>
      <w:r>
        <w:rPr>
          <w:rFonts w:hint="cs"/>
          <w:rtl/>
        </w:rPr>
        <w:t xml:space="preserve">ס"ח </w:t>
      </w:r>
      <w:proofErr w:type="spellStart"/>
      <w:r>
        <w:rPr>
          <w:rFonts w:hint="cs"/>
          <w:rtl/>
        </w:rPr>
        <w:t>התשס"ג</w:t>
      </w:r>
      <w:proofErr w:type="spellEnd"/>
      <w:r>
        <w:rPr>
          <w:rFonts w:hint="cs"/>
          <w:rtl/>
        </w:rPr>
        <w:t>, עמ' 502.</w:t>
      </w:r>
    </w:p>
  </w:footnote>
  <w:footnote w:id="4">
    <w:p w:rsidR="0017165B" w:rsidRDefault="0017165B" w:rsidP="0017165B">
      <w:pPr>
        <w:pStyle w:val="a4"/>
      </w:pPr>
      <w:r>
        <w:rPr>
          <w:rStyle w:val="a6"/>
        </w:rPr>
        <w:footnoteRef/>
      </w:r>
      <w:r>
        <w:rPr>
          <w:rtl/>
        </w:rPr>
        <w:t xml:space="preserve"> </w:t>
      </w:r>
      <w:r>
        <w:rPr>
          <w:rFonts w:hint="cs"/>
          <w:rtl/>
        </w:rPr>
        <w:t xml:space="preserve">ס"ח </w:t>
      </w:r>
      <w:proofErr w:type="spellStart"/>
      <w:r>
        <w:rPr>
          <w:rFonts w:hint="cs"/>
          <w:rtl/>
        </w:rPr>
        <w:t>התשס"ה</w:t>
      </w:r>
      <w:proofErr w:type="spellEnd"/>
      <w:r>
        <w:rPr>
          <w:rFonts w:hint="cs"/>
          <w:rtl/>
        </w:rPr>
        <w:t>, עמ' 76.</w:t>
      </w:r>
    </w:p>
  </w:footnote>
  <w:footnote w:id="5">
    <w:p w:rsidR="0017165B" w:rsidRDefault="0017165B" w:rsidP="0017165B">
      <w:pPr>
        <w:pStyle w:val="a4"/>
        <w:rPr>
          <w:rtl/>
        </w:rPr>
      </w:pPr>
      <w:r>
        <w:rPr>
          <w:rStyle w:val="a6"/>
        </w:rPr>
        <w:footnoteRef/>
      </w:r>
      <w:r>
        <w:rPr>
          <w:rtl/>
        </w:rPr>
        <w:t xml:space="preserve"> </w:t>
      </w:r>
      <w:r>
        <w:rPr>
          <w:rFonts w:hint="cs"/>
          <w:rtl/>
        </w:rPr>
        <w:t xml:space="preserve">ס"ח </w:t>
      </w:r>
      <w:proofErr w:type="spellStart"/>
      <w:r>
        <w:rPr>
          <w:rFonts w:hint="cs"/>
          <w:rtl/>
        </w:rPr>
        <w:t>התשס"א</w:t>
      </w:r>
      <w:proofErr w:type="spellEnd"/>
      <w:r>
        <w:rPr>
          <w:rFonts w:hint="cs"/>
          <w:rtl/>
        </w:rPr>
        <w:t>, עמ' 410.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03894FB2"/>
    <w:multiLevelType w:val="hybridMultilevel"/>
    <w:tmpl w:val="2898DCA0"/>
    <w:lvl w:ilvl="0" w:tplc="E830F87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051A82"/>
    <w:multiLevelType w:val="hybridMultilevel"/>
    <w:tmpl w:val="B0C29C4A"/>
    <w:lvl w:ilvl="0" w:tplc="3E746E0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FB38E3"/>
    <w:multiLevelType w:val="hybridMultilevel"/>
    <w:tmpl w:val="507AC384"/>
    <w:lvl w:ilvl="0" w:tplc="6058A07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DB53B9"/>
    <w:multiLevelType w:val="hybridMultilevel"/>
    <w:tmpl w:val="424A7C38"/>
    <w:lvl w:ilvl="0" w:tplc="49546E9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8B29E1"/>
    <w:multiLevelType w:val="hybridMultilevel"/>
    <w:tmpl w:val="C2F4AC24"/>
    <w:lvl w:ilvl="0" w:tplc="6DC8EE5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845175"/>
    <w:multiLevelType w:val="hybridMultilevel"/>
    <w:tmpl w:val="6C50A7E6"/>
    <w:lvl w:ilvl="0" w:tplc="19E8265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C70419"/>
    <w:multiLevelType w:val="hybridMultilevel"/>
    <w:tmpl w:val="AFDE588E"/>
    <w:lvl w:ilvl="0" w:tplc="C7A0BA0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CD1384"/>
    <w:multiLevelType w:val="hybridMultilevel"/>
    <w:tmpl w:val="C22246C0"/>
    <w:lvl w:ilvl="0" w:tplc="7F0A034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F2037B"/>
    <w:multiLevelType w:val="hybridMultilevel"/>
    <w:tmpl w:val="5E88E0C8"/>
    <w:lvl w:ilvl="0" w:tplc="1384FE9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10"/>
  </w:num>
  <w:num w:numId="14">
    <w:abstractNumId w:val="18"/>
  </w:num>
  <w:num w:numId="15">
    <w:abstractNumId w:val="12"/>
  </w:num>
  <w:num w:numId="16">
    <w:abstractNumId w:val="11"/>
  </w:num>
  <w:num w:numId="17">
    <w:abstractNumId w:val="14"/>
  </w:num>
  <w:num w:numId="18">
    <w:abstractNumId w:val="22"/>
  </w:num>
  <w:num w:numId="19">
    <w:abstractNumId w:val="13"/>
  </w:num>
  <w:num w:numId="20">
    <w:abstractNumId w:val="17"/>
  </w:num>
  <w:num w:numId="21">
    <w:abstractNumId w:val="19"/>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7033lsCopyOriginal.docx"/>
    <w:docVar w:name="StartMode" w:val="3"/>
  </w:docVars>
  <w:rsids>
    <w:rsidRoot w:val="00DB7060"/>
    <w:rsid w:val="0000521C"/>
    <w:rsid w:val="00015B27"/>
    <w:rsid w:val="0009054C"/>
    <w:rsid w:val="000A542E"/>
    <w:rsid w:val="001207F8"/>
    <w:rsid w:val="00121924"/>
    <w:rsid w:val="001279A8"/>
    <w:rsid w:val="0014195F"/>
    <w:rsid w:val="00152609"/>
    <w:rsid w:val="00153E1B"/>
    <w:rsid w:val="0017165B"/>
    <w:rsid w:val="001A0623"/>
    <w:rsid w:val="001A6EAE"/>
    <w:rsid w:val="001B73B5"/>
    <w:rsid w:val="001C23B0"/>
    <w:rsid w:val="001D658F"/>
    <w:rsid w:val="00203A7F"/>
    <w:rsid w:val="002200A1"/>
    <w:rsid w:val="002362BF"/>
    <w:rsid w:val="00241B97"/>
    <w:rsid w:val="00254605"/>
    <w:rsid w:val="002728B4"/>
    <w:rsid w:val="00292712"/>
    <w:rsid w:val="002C2E29"/>
    <w:rsid w:val="00304A1D"/>
    <w:rsid w:val="003232A2"/>
    <w:rsid w:val="003710F6"/>
    <w:rsid w:val="00383A34"/>
    <w:rsid w:val="00386E88"/>
    <w:rsid w:val="003D74A0"/>
    <w:rsid w:val="003E74CE"/>
    <w:rsid w:val="004033D8"/>
    <w:rsid w:val="004764EE"/>
    <w:rsid w:val="004D3876"/>
    <w:rsid w:val="004D6450"/>
    <w:rsid w:val="004E4552"/>
    <w:rsid w:val="0054322D"/>
    <w:rsid w:val="00553C9D"/>
    <w:rsid w:val="005B064E"/>
    <w:rsid w:val="005D51AE"/>
    <w:rsid w:val="00644940"/>
    <w:rsid w:val="006818A9"/>
    <w:rsid w:val="00686772"/>
    <w:rsid w:val="006C1D0D"/>
    <w:rsid w:val="006C4D5A"/>
    <w:rsid w:val="0070601E"/>
    <w:rsid w:val="00765F66"/>
    <w:rsid w:val="007D5A12"/>
    <w:rsid w:val="007E59F9"/>
    <w:rsid w:val="007E77EA"/>
    <w:rsid w:val="00810BCD"/>
    <w:rsid w:val="00812C98"/>
    <w:rsid w:val="00814D92"/>
    <w:rsid w:val="00852FC5"/>
    <w:rsid w:val="00892135"/>
    <w:rsid w:val="00895449"/>
    <w:rsid w:val="00897879"/>
    <w:rsid w:val="008C2DDC"/>
    <w:rsid w:val="008E7411"/>
    <w:rsid w:val="008F0D63"/>
    <w:rsid w:val="008F2B88"/>
    <w:rsid w:val="008F2C35"/>
    <w:rsid w:val="0091204F"/>
    <w:rsid w:val="009203DB"/>
    <w:rsid w:val="00943386"/>
    <w:rsid w:val="00957589"/>
    <w:rsid w:val="00982412"/>
    <w:rsid w:val="009C1404"/>
    <w:rsid w:val="009D54DD"/>
    <w:rsid w:val="009E69ED"/>
    <w:rsid w:val="00A26BD6"/>
    <w:rsid w:val="00A35827"/>
    <w:rsid w:val="00A45272"/>
    <w:rsid w:val="00A82CB7"/>
    <w:rsid w:val="00AC36F7"/>
    <w:rsid w:val="00AC63B1"/>
    <w:rsid w:val="00AE2B91"/>
    <w:rsid w:val="00B35784"/>
    <w:rsid w:val="00BC45FB"/>
    <w:rsid w:val="00BD61E1"/>
    <w:rsid w:val="00BD65C5"/>
    <w:rsid w:val="00C15B94"/>
    <w:rsid w:val="00C852A1"/>
    <w:rsid w:val="00C9176A"/>
    <w:rsid w:val="00D60572"/>
    <w:rsid w:val="00D867D7"/>
    <w:rsid w:val="00D923E5"/>
    <w:rsid w:val="00DB7060"/>
    <w:rsid w:val="00DC0F7C"/>
    <w:rsid w:val="00DE3153"/>
    <w:rsid w:val="00E12BF2"/>
    <w:rsid w:val="00E13C27"/>
    <w:rsid w:val="00E33BBD"/>
    <w:rsid w:val="00E45103"/>
    <w:rsid w:val="00E665B9"/>
    <w:rsid w:val="00EA01E6"/>
    <w:rsid w:val="00EA758F"/>
    <w:rsid w:val="00ED4A6F"/>
    <w:rsid w:val="00EF3A3A"/>
    <w:rsid w:val="00F44BC9"/>
    <w:rsid w:val="00FC43E0"/>
    <w:rsid w:val="00FC6E84"/>
    <w:rsid w:val="00FF2F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AE"/>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A6EAE"/>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1A6EAE"/>
    <w:rPr>
      <w:sz w:val="36"/>
      <w:szCs w:val="52"/>
    </w:rPr>
  </w:style>
  <w:style w:type="paragraph" w:customStyle="1" w:styleId="Cover3-Haknesset">
    <w:name w:val="Cover 3-Haknesset"/>
    <w:basedOn w:val="Cover1-Reshumot"/>
    <w:rsid w:val="001A6EAE"/>
    <w:rPr>
      <w:b/>
      <w:bCs/>
      <w:spacing w:val="60"/>
    </w:rPr>
  </w:style>
  <w:style w:type="paragraph" w:customStyle="1" w:styleId="Cover4-Date">
    <w:name w:val="Cover 4-Date"/>
    <w:basedOn w:val="a"/>
    <w:rsid w:val="001A6EAE"/>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A6EAE"/>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1A6EAE"/>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1A6EAE"/>
    <w:pPr>
      <w:spacing w:before="120" w:after="120"/>
    </w:pPr>
    <w:rPr>
      <w:color w:val="FF0000"/>
      <w:w w:val="80"/>
    </w:rPr>
  </w:style>
  <w:style w:type="paragraph" w:styleId="a3">
    <w:name w:val="endnote text"/>
    <w:basedOn w:val="a"/>
    <w:semiHidden/>
    <w:rsid w:val="001A6EAE"/>
    <w:pPr>
      <w:ind w:left="227" w:hanging="227"/>
    </w:pPr>
    <w:rPr>
      <w:sz w:val="14"/>
      <w:szCs w:val="22"/>
    </w:rPr>
  </w:style>
  <w:style w:type="paragraph" w:customStyle="1" w:styleId="TableText">
    <w:name w:val="Table Text"/>
    <w:basedOn w:val="a"/>
    <w:link w:val="TableText0"/>
    <w:rsid w:val="001A6EAE"/>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1A6EAE"/>
  </w:style>
  <w:style w:type="paragraph" w:customStyle="1" w:styleId="TableBlock">
    <w:name w:val="Table Block"/>
    <w:basedOn w:val="TableText"/>
    <w:link w:val="TableBlock0"/>
    <w:rsid w:val="001A6EAE"/>
    <w:pPr>
      <w:ind w:right="0"/>
      <w:jc w:val="both"/>
    </w:pPr>
  </w:style>
  <w:style w:type="paragraph" w:customStyle="1" w:styleId="TableHead">
    <w:name w:val="Table Head"/>
    <w:basedOn w:val="TableText"/>
    <w:rsid w:val="001A6EAE"/>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A6EAE"/>
  </w:style>
  <w:style w:type="paragraph" w:customStyle="1" w:styleId="Hesber">
    <w:name w:val="Hesber"/>
    <w:basedOn w:val="a"/>
    <w:rsid w:val="001A6EAE"/>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1A6EAE"/>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1A6EAE"/>
    <w:rPr>
      <w:vertAlign w:val="superscript"/>
    </w:rPr>
  </w:style>
  <w:style w:type="paragraph" w:customStyle="1" w:styleId="HesberHeading">
    <w:name w:val="Hesber Heading"/>
    <w:basedOn w:val="Hesber"/>
    <w:rsid w:val="001A6EAE"/>
    <w:pPr>
      <w:tabs>
        <w:tab w:val="left" w:pos="624"/>
        <w:tab w:val="left" w:pos="1247"/>
      </w:tabs>
      <w:ind w:firstLine="0"/>
    </w:pPr>
    <w:rPr>
      <w:b/>
      <w:bCs/>
    </w:rPr>
  </w:style>
  <w:style w:type="paragraph" w:customStyle="1" w:styleId="HesberWriters">
    <w:name w:val="Hesber Writers"/>
    <w:basedOn w:val="Hesber"/>
    <w:rsid w:val="001A6EAE"/>
    <w:pPr>
      <w:spacing w:before="120" w:after="6000"/>
      <w:ind w:left="1418" w:firstLine="0"/>
      <w:jc w:val="right"/>
    </w:pPr>
    <w:rPr>
      <w:b/>
      <w:bCs/>
    </w:rPr>
  </w:style>
  <w:style w:type="paragraph" w:customStyle="1" w:styleId="Hesber1st">
    <w:name w:val="Hesber 1st"/>
    <w:basedOn w:val="Hesber"/>
    <w:rsid w:val="001A6EAE"/>
    <w:pPr>
      <w:tabs>
        <w:tab w:val="left" w:pos="680"/>
        <w:tab w:val="left" w:pos="1020"/>
      </w:tabs>
      <w:ind w:firstLine="0"/>
    </w:pPr>
  </w:style>
  <w:style w:type="character" w:styleId="a7">
    <w:name w:val="endnote reference"/>
    <w:basedOn w:val="a0"/>
    <w:semiHidden/>
    <w:rsid w:val="001A6EAE"/>
    <w:rPr>
      <w:vertAlign w:val="superscript"/>
    </w:rPr>
  </w:style>
  <w:style w:type="paragraph" w:customStyle="1" w:styleId="TableBlockOutdent">
    <w:name w:val="Table BlockOutdent"/>
    <w:basedOn w:val="TableBlock"/>
    <w:rsid w:val="001A6EAE"/>
    <w:pPr>
      <w:ind w:left="624" w:hanging="624"/>
    </w:pPr>
  </w:style>
  <w:style w:type="paragraph" w:styleId="a8">
    <w:name w:val="header"/>
    <w:basedOn w:val="a"/>
    <w:rsid w:val="001A6EAE"/>
    <w:pPr>
      <w:tabs>
        <w:tab w:val="center" w:pos="4153"/>
        <w:tab w:val="right" w:pos="8306"/>
      </w:tabs>
    </w:pPr>
  </w:style>
  <w:style w:type="paragraph" w:styleId="a9">
    <w:name w:val="footer"/>
    <w:basedOn w:val="a"/>
    <w:rsid w:val="001A6EAE"/>
    <w:pPr>
      <w:tabs>
        <w:tab w:val="center" w:pos="4153"/>
        <w:tab w:val="right" w:pos="8306"/>
      </w:tabs>
    </w:pPr>
  </w:style>
  <w:style w:type="paragraph" w:customStyle="1" w:styleId="HeadDivreiHesber">
    <w:name w:val="Head DivreiHesber"/>
    <w:basedOn w:val="a"/>
    <w:rsid w:val="001A6EAE"/>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1A6EAE"/>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A6EAE"/>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TableText0">
    <w:name w:val="Table Text תו"/>
    <w:link w:val="TableText"/>
    <w:rsid w:val="00FC6E84"/>
    <w:rPr>
      <w:rFonts w:ascii="Arial" w:eastAsia="Arial Unicode MS" w:hAnsi="Arial" w:cs="David"/>
      <w:snapToGrid w:val="0"/>
      <w:color w:val="000000"/>
      <w:szCs w:val="26"/>
      <w:lang w:eastAsia="ja-JP"/>
    </w:rPr>
  </w:style>
  <w:style w:type="character" w:customStyle="1" w:styleId="TableBlock0">
    <w:name w:val="Table Block תו"/>
    <w:basedOn w:val="TableText0"/>
    <w:link w:val="TableBlock"/>
    <w:rsid w:val="00FC6E84"/>
    <w:rPr>
      <w:rFonts w:ascii="Arial" w:eastAsia="Arial Unicode MS" w:hAnsi="Arial" w:cs="David"/>
      <w:snapToGrid w:val="0"/>
      <w:color w:val="000000"/>
      <w:szCs w:val="26"/>
      <w:lang w:eastAsia="ja-JP"/>
    </w:rPr>
  </w:style>
  <w:style w:type="paragraph" w:styleId="ac">
    <w:name w:val="List Paragraph"/>
    <w:basedOn w:val="a"/>
    <w:uiPriority w:val="34"/>
    <w:qFormat/>
    <w:rsid w:val="00A35827"/>
    <w:pPr>
      <w:ind w:left="720"/>
      <w:contextualSpacing/>
    </w:pPr>
  </w:style>
  <w:style w:type="character" w:customStyle="1" w:styleId="a5">
    <w:name w:val="טקסט הערת שוליים תו"/>
    <w:basedOn w:val="a0"/>
    <w:link w:val="a4"/>
    <w:semiHidden/>
    <w:rsid w:val="0017165B"/>
    <w:rPr>
      <w:rFonts w:ascii="Arial" w:eastAsia="Arial Unicode MS" w:hAnsi="Arial" w:cs="David"/>
      <w:snapToGrid w:val="0"/>
      <w:color w:val="000000"/>
      <w:sz w:val="14"/>
      <w:lang w:eastAsia="ja-JP"/>
    </w:rPr>
  </w:style>
  <w:style w:type="paragraph" w:styleId="ad">
    <w:name w:val="Balloon Text"/>
    <w:basedOn w:val="a"/>
    <w:link w:val="ae"/>
    <w:semiHidden/>
    <w:unhideWhenUsed/>
    <w:rsid w:val="001B73B5"/>
    <w:pPr>
      <w:spacing w:before="0" w:line="240" w:lineRule="auto"/>
    </w:pPr>
    <w:rPr>
      <w:rFonts w:ascii="Tahoma" w:hAnsi="Tahoma" w:cs="Tahoma"/>
      <w:sz w:val="16"/>
      <w:szCs w:val="16"/>
    </w:rPr>
  </w:style>
  <w:style w:type="character" w:customStyle="1" w:styleId="ae">
    <w:name w:val="טקסט בלונים תו"/>
    <w:basedOn w:val="a0"/>
    <w:link w:val="ad"/>
    <w:semiHidden/>
    <w:rsid w:val="001B73B5"/>
    <w:rPr>
      <w:rFonts w:ascii="Tahoma" w:hAnsi="Tahoma" w:cs="Tahoma"/>
      <w:color w:val="000000"/>
      <w:spacing w:val="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AE"/>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A6EAE"/>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1A6EAE"/>
    <w:rPr>
      <w:sz w:val="36"/>
      <w:szCs w:val="52"/>
    </w:rPr>
  </w:style>
  <w:style w:type="paragraph" w:customStyle="1" w:styleId="Cover3-Haknesset">
    <w:name w:val="Cover 3-Haknesset"/>
    <w:basedOn w:val="Cover1-Reshumot"/>
    <w:rsid w:val="001A6EAE"/>
    <w:rPr>
      <w:b/>
      <w:bCs/>
      <w:spacing w:val="60"/>
    </w:rPr>
  </w:style>
  <w:style w:type="paragraph" w:customStyle="1" w:styleId="Cover4-Date">
    <w:name w:val="Cover 4-Date"/>
    <w:basedOn w:val="a"/>
    <w:rsid w:val="001A6EAE"/>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A6EAE"/>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1A6EAE"/>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1A6EAE"/>
    <w:pPr>
      <w:spacing w:before="120" w:after="120"/>
    </w:pPr>
    <w:rPr>
      <w:color w:val="FF0000"/>
      <w:w w:val="80"/>
    </w:rPr>
  </w:style>
  <w:style w:type="paragraph" w:styleId="a3">
    <w:name w:val="endnote text"/>
    <w:basedOn w:val="a"/>
    <w:semiHidden/>
    <w:rsid w:val="001A6EAE"/>
    <w:pPr>
      <w:ind w:left="227" w:hanging="227"/>
    </w:pPr>
    <w:rPr>
      <w:sz w:val="14"/>
      <w:szCs w:val="22"/>
    </w:rPr>
  </w:style>
  <w:style w:type="paragraph" w:customStyle="1" w:styleId="TableText">
    <w:name w:val="Table Text"/>
    <w:basedOn w:val="a"/>
    <w:link w:val="TableText0"/>
    <w:rsid w:val="001A6EAE"/>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1A6EAE"/>
  </w:style>
  <w:style w:type="paragraph" w:customStyle="1" w:styleId="TableBlock">
    <w:name w:val="Table Block"/>
    <w:basedOn w:val="TableText"/>
    <w:link w:val="TableBlock0"/>
    <w:rsid w:val="001A6EAE"/>
    <w:pPr>
      <w:ind w:right="0"/>
      <w:jc w:val="both"/>
    </w:pPr>
  </w:style>
  <w:style w:type="paragraph" w:customStyle="1" w:styleId="TableHead">
    <w:name w:val="Table Head"/>
    <w:basedOn w:val="TableText"/>
    <w:rsid w:val="001A6EAE"/>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A6EAE"/>
  </w:style>
  <w:style w:type="paragraph" w:customStyle="1" w:styleId="Hesber">
    <w:name w:val="Hesber"/>
    <w:basedOn w:val="a"/>
    <w:rsid w:val="001A6EAE"/>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1A6EAE"/>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1A6EAE"/>
    <w:rPr>
      <w:vertAlign w:val="superscript"/>
    </w:rPr>
  </w:style>
  <w:style w:type="paragraph" w:customStyle="1" w:styleId="HesberHeading">
    <w:name w:val="Hesber Heading"/>
    <w:basedOn w:val="Hesber"/>
    <w:rsid w:val="001A6EAE"/>
    <w:pPr>
      <w:tabs>
        <w:tab w:val="left" w:pos="624"/>
        <w:tab w:val="left" w:pos="1247"/>
      </w:tabs>
      <w:ind w:firstLine="0"/>
    </w:pPr>
    <w:rPr>
      <w:b/>
      <w:bCs/>
    </w:rPr>
  </w:style>
  <w:style w:type="paragraph" w:customStyle="1" w:styleId="HesberWriters">
    <w:name w:val="Hesber Writers"/>
    <w:basedOn w:val="Hesber"/>
    <w:rsid w:val="001A6EAE"/>
    <w:pPr>
      <w:spacing w:before="120" w:after="6000"/>
      <w:ind w:left="1418" w:firstLine="0"/>
      <w:jc w:val="right"/>
    </w:pPr>
    <w:rPr>
      <w:b/>
      <w:bCs/>
    </w:rPr>
  </w:style>
  <w:style w:type="paragraph" w:customStyle="1" w:styleId="Hesber1st">
    <w:name w:val="Hesber 1st"/>
    <w:basedOn w:val="Hesber"/>
    <w:rsid w:val="001A6EAE"/>
    <w:pPr>
      <w:tabs>
        <w:tab w:val="left" w:pos="680"/>
        <w:tab w:val="left" w:pos="1020"/>
      </w:tabs>
      <w:ind w:firstLine="0"/>
    </w:pPr>
  </w:style>
  <w:style w:type="character" w:styleId="a7">
    <w:name w:val="endnote reference"/>
    <w:basedOn w:val="a0"/>
    <w:semiHidden/>
    <w:rsid w:val="001A6EAE"/>
    <w:rPr>
      <w:vertAlign w:val="superscript"/>
    </w:rPr>
  </w:style>
  <w:style w:type="paragraph" w:customStyle="1" w:styleId="TableBlockOutdent">
    <w:name w:val="Table BlockOutdent"/>
    <w:basedOn w:val="TableBlock"/>
    <w:rsid w:val="001A6EAE"/>
    <w:pPr>
      <w:ind w:left="624" w:hanging="624"/>
    </w:pPr>
  </w:style>
  <w:style w:type="paragraph" w:styleId="a8">
    <w:name w:val="header"/>
    <w:basedOn w:val="a"/>
    <w:rsid w:val="001A6EAE"/>
    <w:pPr>
      <w:tabs>
        <w:tab w:val="center" w:pos="4153"/>
        <w:tab w:val="right" w:pos="8306"/>
      </w:tabs>
    </w:pPr>
  </w:style>
  <w:style w:type="paragraph" w:styleId="a9">
    <w:name w:val="footer"/>
    <w:basedOn w:val="a"/>
    <w:rsid w:val="001A6EAE"/>
    <w:pPr>
      <w:tabs>
        <w:tab w:val="center" w:pos="4153"/>
        <w:tab w:val="right" w:pos="8306"/>
      </w:tabs>
    </w:pPr>
  </w:style>
  <w:style w:type="paragraph" w:customStyle="1" w:styleId="HeadDivreiHesber">
    <w:name w:val="Head DivreiHesber"/>
    <w:basedOn w:val="a"/>
    <w:rsid w:val="001A6EAE"/>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1A6EAE"/>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A6EAE"/>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TableText0">
    <w:name w:val="Table Text תו"/>
    <w:link w:val="TableText"/>
    <w:rsid w:val="00FC6E84"/>
    <w:rPr>
      <w:rFonts w:ascii="Arial" w:eastAsia="Arial Unicode MS" w:hAnsi="Arial" w:cs="David"/>
      <w:snapToGrid w:val="0"/>
      <w:color w:val="000000"/>
      <w:szCs w:val="26"/>
      <w:lang w:eastAsia="ja-JP"/>
    </w:rPr>
  </w:style>
  <w:style w:type="character" w:customStyle="1" w:styleId="TableBlock0">
    <w:name w:val="Table Block תו"/>
    <w:basedOn w:val="TableText0"/>
    <w:link w:val="TableBlock"/>
    <w:rsid w:val="00FC6E84"/>
    <w:rPr>
      <w:rFonts w:ascii="Arial" w:eastAsia="Arial Unicode MS" w:hAnsi="Arial" w:cs="David"/>
      <w:snapToGrid w:val="0"/>
      <w:color w:val="000000"/>
      <w:szCs w:val="26"/>
      <w:lang w:eastAsia="ja-JP"/>
    </w:rPr>
  </w:style>
  <w:style w:type="paragraph" w:styleId="ac">
    <w:name w:val="List Paragraph"/>
    <w:basedOn w:val="a"/>
    <w:uiPriority w:val="34"/>
    <w:qFormat/>
    <w:rsid w:val="00A35827"/>
    <w:pPr>
      <w:ind w:left="720"/>
      <w:contextualSpacing/>
    </w:pPr>
  </w:style>
  <w:style w:type="character" w:customStyle="1" w:styleId="a5">
    <w:name w:val="טקסט הערת שוליים תו"/>
    <w:basedOn w:val="a0"/>
    <w:link w:val="a4"/>
    <w:semiHidden/>
    <w:rsid w:val="0017165B"/>
    <w:rPr>
      <w:rFonts w:ascii="Arial" w:eastAsia="Arial Unicode MS" w:hAnsi="Arial" w:cs="David"/>
      <w:snapToGrid w:val="0"/>
      <w:color w:val="000000"/>
      <w:sz w:val="14"/>
      <w:lang w:eastAsia="ja-JP"/>
    </w:rPr>
  </w:style>
  <w:style w:type="paragraph" w:styleId="ad">
    <w:name w:val="Balloon Text"/>
    <w:basedOn w:val="a"/>
    <w:link w:val="ae"/>
    <w:semiHidden/>
    <w:unhideWhenUsed/>
    <w:rsid w:val="001B73B5"/>
    <w:pPr>
      <w:spacing w:before="0" w:line="240" w:lineRule="auto"/>
    </w:pPr>
    <w:rPr>
      <w:rFonts w:ascii="Tahoma" w:hAnsi="Tahoma" w:cs="Tahoma"/>
      <w:sz w:val="16"/>
      <w:szCs w:val="16"/>
    </w:rPr>
  </w:style>
  <w:style w:type="character" w:customStyle="1" w:styleId="ae">
    <w:name w:val="טקסט בלונים תו"/>
    <w:basedOn w:val="a0"/>
    <w:link w:val="ad"/>
    <w:semiHidden/>
    <w:rsid w:val="001B73B5"/>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E05A3-DD18-4EAC-A54D-D182265D8859}"/>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customXml/itemProps4.xml><?xml version="1.0" encoding="utf-8"?>
<ds:datastoreItem xmlns:ds="http://schemas.openxmlformats.org/officeDocument/2006/customXml" ds:itemID="{23A16844-927E-4995-BFBE-E80CC484A24F}"/>
</file>

<file path=docProps/app.xml><?xml version="1.0" encoding="utf-8"?>
<Properties xmlns="http://schemas.openxmlformats.org/officeDocument/2006/extended-properties" xmlns:vt="http://schemas.openxmlformats.org/officeDocument/2006/docPropsVTypes">
  <Template>Normal.dotm</Template>
  <TotalTime>0</TotalTime>
  <Pages>14</Pages>
  <Words>5134</Words>
  <Characters>25670</Characters>
  <Application>Microsoft Office Word</Application>
  <DocSecurity>0</DocSecurity>
  <Lines>213</Lines>
  <Paragraphs>61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30743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אסף גולדפרב</dc:creator>
  <cp:keywords/>
  <dc:description/>
  <cp:lastModifiedBy>לילך יעיש</cp:lastModifiedBy>
  <cp:revision>2</cp:revision>
  <cp:lastPrinted>2013-07-30T08:55:00Z</cp:lastPrinted>
  <dcterms:created xsi:type="dcterms:W3CDTF">2013-07-30T08:55:00Z</dcterms:created>
  <dcterms:modified xsi:type="dcterms:W3CDTF">2013-07-30T08:55:00Z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