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B4" w:rsidRPr="00BB509F" w:rsidRDefault="00D42AB4" w:rsidP="00BB509F">
      <w:pPr>
        <w:pStyle w:val="HeadHatzaotHok"/>
        <w:jc w:val="right"/>
        <w:rPr>
          <w:b w:val="0"/>
          <w:bCs w:val="0"/>
          <w:szCs w:val="20"/>
        </w:rPr>
      </w:pPr>
      <w:r w:rsidRPr="00BB509F">
        <w:rPr>
          <w:rFonts w:hint="cs"/>
          <w:b w:val="0"/>
          <w:bCs w:val="0"/>
          <w:szCs w:val="20"/>
          <w:rtl/>
        </w:rPr>
        <w:t xml:space="preserve">מספר פנימי: </w:t>
      </w:r>
      <w:bookmarkStart w:id="0" w:name="ItemID"/>
      <w:r w:rsidRPr="00BB509F">
        <w:rPr>
          <w:b w:val="0"/>
          <w:bCs w:val="0"/>
          <w:szCs w:val="20"/>
          <w:rtl/>
        </w:rPr>
        <w:t>485743</w:t>
      </w:r>
      <w:bookmarkEnd w:id="0"/>
    </w:p>
    <w:p w:rsidR="00D42AB4" w:rsidRPr="00DB7060" w:rsidRDefault="00D42AB4" w:rsidP="00D42AB4">
      <w:pPr>
        <w:pStyle w:val="HeadHatzaotHok"/>
        <w:rPr>
          <w:sz w:val="28"/>
          <w:szCs w:val="28"/>
          <w:rtl/>
        </w:rPr>
      </w:pPr>
      <w:r w:rsidRPr="00DB7060">
        <w:rPr>
          <w:rFonts w:hint="cs"/>
          <w:sz w:val="28"/>
          <w:szCs w:val="28"/>
          <w:rtl/>
        </w:rPr>
        <w:t xml:space="preserve">הכנסת </w:t>
      </w:r>
      <w:bookmarkStart w:id="1" w:name="KnessetNum"/>
      <w:r w:rsidRPr="009656F3">
        <w:rPr>
          <w:sz w:val="28"/>
          <w:szCs w:val="28"/>
          <w:rtl/>
        </w:rPr>
        <w:t>התשע-עשרה</w:t>
      </w:r>
      <w:bookmarkEnd w:id="1"/>
    </w:p>
    <w:p w:rsidR="00D42AB4" w:rsidRDefault="00D42AB4" w:rsidP="00D42AB4">
      <w:pPr>
        <w:rPr>
          <w:rFonts w:cs="David"/>
          <w:sz w:val="26"/>
          <w:szCs w:val="26"/>
          <w:rtl/>
        </w:rPr>
      </w:pPr>
    </w:p>
    <w:p w:rsidR="00D42AB4" w:rsidRDefault="00F96492" w:rsidP="00D42AB4">
      <w:pPr>
        <w:pStyle w:val="David"/>
        <w:ind w:left="2880" w:firstLine="663"/>
        <w:rPr>
          <w:b/>
          <w:bCs/>
          <w:rtl/>
        </w:rPr>
      </w:pPr>
      <w:bookmarkStart w:id="2" w:name="MKsSingleOrMulti"/>
      <w:r w:rsidRPr="006C53D5">
        <w:rPr>
          <w:b/>
          <w:bCs/>
          <w:rtl/>
        </w:rPr>
        <w:t>יוזמים:      חברי הכנסת</w:t>
      </w:r>
      <w:bookmarkEnd w:id="2"/>
      <w:r w:rsidR="00D42AB4">
        <w:tab/>
      </w:r>
      <w:bookmarkStart w:id="3" w:name="MKs"/>
      <w:r w:rsidR="00D42AB4" w:rsidRPr="009656F3">
        <w:rPr>
          <w:b/>
          <w:bCs/>
          <w:rtl/>
        </w:rPr>
        <w:t>אורית סטרוק</w:t>
      </w:r>
      <w:bookmarkEnd w:id="3"/>
    </w:p>
    <w:p w:rsidR="006C53D5" w:rsidRPr="006C53D5" w:rsidRDefault="006C53D5" w:rsidP="006C53D5">
      <w:pPr>
        <w:pStyle w:val="David"/>
        <w:ind w:left="5760" w:firstLine="663"/>
        <w:rPr>
          <w:b/>
          <w:bCs/>
          <w:rtl/>
        </w:rPr>
      </w:pPr>
      <w:r w:rsidRPr="006C53D5">
        <w:rPr>
          <w:b/>
          <w:bCs/>
          <w:rtl/>
        </w:rPr>
        <w:t xml:space="preserve">  דב ליפמן </w:t>
      </w:r>
    </w:p>
    <w:p w:rsidR="006C53D5" w:rsidRPr="006C53D5" w:rsidRDefault="006C53D5" w:rsidP="006C53D5">
      <w:pPr>
        <w:pStyle w:val="David"/>
        <w:ind w:left="5760" w:firstLine="663"/>
        <w:rPr>
          <w:b/>
          <w:bCs/>
          <w:rtl/>
        </w:rPr>
      </w:pPr>
      <w:r w:rsidRPr="006C53D5">
        <w:rPr>
          <w:b/>
          <w:bCs/>
          <w:rtl/>
        </w:rPr>
        <w:t xml:space="preserve">  אברהם מיכאלי </w:t>
      </w:r>
    </w:p>
    <w:p w:rsidR="006C53D5" w:rsidRPr="006C53D5" w:rsidRDefault="006C53D5" w:rsidP="006C53D5">
      <w:pPr>
        <w:pStyle w:val="David"/>
        <w:ind w:left="5760" w:firstLine="663"/>
        <w:rPr>
          <w:b/>
          <w:bCs/>
          <w:rtl/>
        </w:rPr>
      </w:pPr>
      <w:r w:rsidRPr="006C53D5">
        <w:rPr>
          <w:b/>
          <w:bCs/>
          <w:rtl/>
        </w:rPr>
        <w:t xml:space="preserve">  דוד רותם </w:t>
      </w:r>
    </w:p>
    <w:p w:rsidR="006C53D5" w:rsidRPr="006C53D5" w:rsidRDefault="006C53D5" w:rsidP="006C53D5">
      <w:pPr>
        <w:pStyle w:val="David"/>
        <w:ind w:left="5760" w:firstLine="663"/>
        <w:rPr>
          <w:b/>
          <w:bCs/>
          <w:rtl/>
        </w:rPr>
      </w:pPr>
      <w:r w:rsidRPr="006C53D5">
        <w:rPr>
          <w:b/>
          <w:bCs/>
          <w:rtl/>
        </w:rPr>
        <w:t xml:space="preserve">  מירי רגב </w:t>
      </w:r>
    </w:p>
    <w:p w:rsidR="006C53D5" w:rsidRPr="006C53D5" w:rsidRDefault="006C53D5" w:rsidP="006C53D5">
      <w:pPr>
        <w:pStyle w:val="David"/>
        <w:ind w:left="5760" w:firstLine="663"/>
        <w:rPr>
          <w:b/>
          <w:bCs/>
          <w:rtl/>
        </w:rPr>
      </w:pPr>
      <w:r w:rsidRPr="006C53D5">
        <w:rPr>
          <w:b/>
          <w:bCs/>
          <w:rtl/>
        </w:rPr>
        <w:t xml:space="preserve">  שולי מועלם-רפאלי </w:t>
      </w:r>
    </w:p>
    <w:p w:rsidR="006C53D5" w:rsidRPr="006C53D5" w:rsidRDefault="006C53D5" w:rsidP="006C53D5">
      <w:pPr>
        <w:pStyle w:val="David"/>
        <w:ind w:left="5760" w:firstLine="663"/>
        <w:rPr>
          <w:b/>
          <w:bCs/>
          <w:rtl/>
        </w:rPr>
      </w:pPr>
      <w:r w:rsidRPr="006C53D5">
        <w:rPr>
          <w:b/>
          <w:bCs/>
          <w:rtl/>
        </w:rPr>
        <w:t xml:space="preserve">  יוני שטבון </w:t>
      </w:r>
    </w:p>
    <w:p w:rsidR="006C53D5" w:rsidRPr="006C53D5" w:rsidRDefault="006C53D5" w:rsidP="006C53D5">
      <w:pPr>
        <w:pStyle w:val="David"/>
        <w:ind w:left="5760" w:firstLine="663"/>
        <w:rPr>
          <w:b/>
          <w:bCs/>
          <w:rtl/>
        </w:rPr>
      </w:pPr>
      <w:r w:rsidRPr="006C53D5">
        <w:rPr>
          <w:b/>
          <w:bCs/>
          <w:rtl/>
        </w:rPr>
        <w:t xml:space="preserve">  עדי קול </w:t>
      </w:r>
    </w:p>
    <w:p w:rsidR="006C53D5" w:rsidRPr="006C53D5" w:rsidRDefault="006C53D5" w:rsidP="006C53D5">
      <w:pPr>
        <w:pStyle w:val="David"/>
        <w:ind w:left="5760" w:firstLine="663"/>
        <w:rPr>
          <w:b/>
          <w:bCs/>
          <w:rtl/>
        </w:rPr>
      </w:pPr>
      <w:r w:rsidRPr="006C53D5">
        <w:rPr>
          <w:b/>
          <w:bCs/>
          <w:rtl/>
        </w:rPr>
        <w:t xml:space="preserve">  נחמן שי </w:t>
      </w:r>
    </w:p>
    <w:p w:rsidR="00A96CD7" w:rsidRDefault="006C53D5" w:rsidP="006C53D5">
      <w:pPr>
        <w:pStyle w:val="David"/>
        <w:ind w:left="5760" w:firstLine="663"/>
        <w:rPr>
          <w:b/>
          <w:bCs/>
          <w:rtl/>
        </w:rPr>
      </w:pPr>
      <w:r w:rsidRPr="006C53D5">
        <w:rPr>
          <w:b/>
          <w:bCs/>
          <w:rtl/>
        </w:rPr>
        <w:t xml:space="preserve">  שמעון אוחיון </w:t>
      </w:r>
    </w:p>
    <w:p w:rsidR="00D42AB4" w:rsidRPr="006C53D5" w:rsidRDefault="00D42AB4" w:rsidP="006C53D5">
      <w:pPr>
        <w:pStyle w:val="David"/>
        <w:ind w:left="5760" w:firstLine="663"/>
        <w:rPr>
          <w:b/>
          <w:bCs/>
          <w:rtl/>
        </w:rPr>
      </w:pPr>
      <w:r>
        <w:rPr>
          <w:noProof/>
          <w:rtl/>
          <w:lang w:eastAsia="en-US"/>
        </w:rPr>
        <mc:AlternateContent>
          <mc:Choice Requires="wps">
            <w:drawing>
              <wp:anchor distT="0" distB="0" distL="114300" distR="114300" simplePos="0" relativeHeight="251660288" behindDoc="0" locked="0" layoutInCell="1" allowOverlap="1" wp14:anchorId="6E488008" wp14:editId="6E64AB2A">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Start w:id="5" w:name="MKs1"/>
      <w:bookmarkEnd w:id="4"/>
      <w:bookmarkEnd w:id="5"/>
    </w:p>
    <w:p w:rsidR="00D42AB4" w:rsidRDefault="00D42AB4" w:rsidP="00D42AB4">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2F048094" wp14:editId="5AC57446">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E57840" w:rsidRPr="00E57840">
        <w:rPr>
          <w:rFonts w:cs="David"/>
          <w:sz w:val="26"/>
          <w:szCs w:val="26"/>
          <w:rtl/>
        </w:rPr>
        <w:t>פ/1566/19</w:t>
      </w:r>
      <w:bookmarkEnd w:id="6"/>
      <w:r>
        <w:rPr>
          <w:rFonts w:cs="David" w:hint="cs"/>
          <w:sz w:val="26"/>
          <w:szCs w:val="26"/>
          <w:rtl/>
        </w:rPr>
        <w:tab/>
      </w:r>
      <w:r>
        <w:rPr>
          <w:rFonts w:cs="David" w:hint="cs"/>
          <w:sz w:val="26"/>
          <w:szCs w:val="26"/>
          <w:rtl/>
        </w:rPr>
        <w:tab/>
      </w:r>
      <w:r>
        <w:rPr>
          <w:rFonts w:cs="David" w:hint="cs"/>
          <w:sz w:val="26"/>
          <w:szCs w:val="26"/>
          <w:rtl/>
        </w:rPr>
        <w:tab/>
      </w:r>
    </w:p>
    <w:p w:rsidR="00D42AB4" w:rsidRDefault="00D42AB4" w:rsidP="00D42AB4">
      <w:pPr>
        <w:spacing w:before="0" w:line="360" w:lineRule="auto"/>
        <w:ind w:left="2880" w:firstLine="720"/>
        <w:rPr>
          <w:rFonts w:cs="David"/>
          <w:sz w:val="26"/>
          <w:szCs w:val="26"/>
          <w:rtl/>
        </w:rPr>
      </w:pPr>
    </w:p>
    <w:p w:rsidR="00D42AB4" w:rsidRDefault="0006574B" w:rsidP="00B66860">
      <w:pPr>
        <w:pStyle w:val="HeadHatzaotHok"/>
        <w:tabs>
          <w:tab w:val="left" w:pos="4071"/>
          <w:tab w:val="center" w:pos="4819"/>
        </w:tabs>
        <w:spacing w:before="0"/>
        <w:rPr>
          <w:sz w:val="26"/>
          <w:rtl/>
        </w:rPr>
      </w:pPr>
      <w:bookmarkStart w:id="7" w:name="Title"/>
      <w:bookmarkStart w:id="8" w:name="_GoBack"/>
      <w:bookmarkEnd w:id="8"/>
      <w:r w:rsidRPr="0006574B">
        <w:rPr>
          <w:sz w:val="26"/>
          <w:rtl/>
        </w:rPr>
        <w:t>חוק עבודת נשים (תיקון מס' 51), התשע"ד-2014</w:t>
      </w:r>
      <w:bookmarkEnd w:id="7"/>
    </w:p>
    <w:p w:rsidR="00A96CD7" w:rsidRDefault="00A96CD7" w:rsidP="00B66860">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D42AB4" w:rsidTr="00275443">
        <w:trPr>
          <w:cantSplit/>
          <w:trHeight w:val="60"/>
        </w:trPr>
        <w:tc>
          <w:tcPr>
            <w:tcW w:w="1871" w:type="dxa"/>
          </w:tcPr>
          <w:p w:rsidR="00D42AB4" w:rsidRDefault="00BB509F" w:rsidP="00275443">
            <w:pPr>
              <w:pStyle w:val="TableSideHeading"/>
              <w:keepLines w:val="0"/>
            </w:pPr>
            <w:r>
              <w:rPr>
                <w:rFonts w:hint="cs"/>
                <w:rtl/>
              </w:rPr>
              <w:t xml:space="preserve">תיקון סעיף 9 </w:t>
            </w:r>
          </w:p>
        </w:tc>
        <w:tc>
          <w:tcPr>
            <w:tcW w:w="624" w:type="dxa"/>
          </w:tcPr>
          <w:p w:rsidR="00D42AB4" w:rsidRDefault="00D42AB4" w:rsidP="00275443">
            <w:pPr>
              <w:pStyle w:val="TableText"/>
              <w:keepLines w:val="0"/>
            </w:pPr>
            <w:r>
              <w:rPr>
                <w:rFonts w:hint="cs"/>
                <w:rtl/>
              </w:rPr>
              <w:t>1.</w:t>
            </w:r>
          </w:p>
        </w:tc>
        <w:tc>
          <w:tcPr>
            <w:tcW w:w="7146" w:type="dxa"/>
          </w:tcPr>
          <w:p w:rsidR="00D42AB4" w:rsidRPr="006C53D5" w:rsidRDefault="00D42AB4" w:rsidP="00A96CD7">
            <w:pPr>
              <w:pStyle w:val="TableBlock"/>
            </w:pPr>
            <w:r w:rsidRPr="006C53D5">
              <w:rPr>
                <w:rFonts w:hint="cs"/>
                <w:rtl/>
              </w:rPr>
              <w:t>בחוק עבודת נשים</w:t>
            </w:r>
            <w:r w:rsidR="00D06101">
              <w:rPr>
                <w:rFonts w:hint="cs"/>
                <w:rtl/>
              </w:rPr>
              <w:t xml:space="preserve">, </w:t>
            </w:r>
            <w:proofErr w:type="spellStart"/>
            <w:r w:rsidR="00D06101">
              <w:rPr>
                <w:rFonts w:hint="cs"/>
                <w:rtl/>
              </w:rPr>
              <w:t>התשי"ד</w:t>
            </w:r>
            <w:proofErr w:type="spellEnd"/>
            <w:r w:rsidR="00D06101">
              <w:rPr>
                <w:rFonts w:hint="cs"/>
                <w:rtl/>
              </w:rPr>
              <w:t>–1954</w:t>
            </w:r>
            <w:r w:rsidRPr="006C53D5">
              <w:rPr>
                <w:vertAlign w:val="superscript"/>
                <w:rtl/>
              </w:rPr>
              <w:footnoteReference w:id="2"/>
            </w:r>
            <w:r w:rsidRPr="006C53D5">
              <w:rPr>
                <w:rFonts w:hint="cs"/>
                <w:rtl/>
              </w:rPr>
              <w:t>, בסעיף 9(ה)(1), המי</w:t>
            </w:r>
            <w:r w:rsidR="00A96CD7">
              <w:rPr>
                <w:rFonts w:hint="cs"/>
                <w:rtl/>
              </w:rPr>
              <w:t xml:space="preserve">לים "לקראת ילדם הראשון או השני", </w:t>
            </w:r>
            <w:proofErr w:type="spellStart"/>
            <w:r w:rsidR="0007347A" w:rsidRPr="006C53D5">
              <w:rPr>
                <w:rtl/>
              </w:rPr>
              <w:t>והסיפ</w:t>
            </w:r>
            <w:r w:rsidR="00D06101">
              <w:rPr>
                <w:rFonts w:hint="cs"/>
                <w:rtl/>
              </w:rPr>
              <w:t>ה</w:t>
            </w:r>
            <w:proofErr w:type="spellEnd"/>
            <w:r w:rsidRPr="006C53D5">
              <w:rPr>
                <w:rtl/>
              </w:rPr>
              <w:t xml:space="preserve"> החל במילים "הוראת סעיף קטן זה" – </w:t>
            </w:r>
            <w:r w:rsidR="00BB509F">
              <w:rPr>
                <w:rFonts w:hint="cs"/>
                <w:rtl/>
              </w:rPr>
              <w:t>י</w:t>
            </w:r>
            <w:r w:rsidRPr="006C53D5">
              <w:rPr>
                <w:rtl/>
              </w:rPr>
              <w:t>ימחק</w:t>
            </w:r>
            <w:r w:rsidR="00A96CD7">
              <w:rPr>
                <w:rFonts w:hint="cs"/>
                <w:rtl/>
              </w:rPr>
              <w:t>ו</w:t>
            </w:r>
            <w:r w:rsidR="00D06101">
              <w:rPr>
                <w:rFonts w:hint="cs"/>
                <w:rtl/>
              </w:rPr>
              <w:t>.</w:t>
            </w:r>
          </w:p>
        </w:tc>
      </w:tr>
    </w:tbl>
    <w:p w:rsidR="00D42AB4" w:rsidRPr="00D06101" w:rsidRDefault="00D42AB4" w:rsidP="00D06101">
      <w:pPr>
        <w:pStyle w:val="HeadDivreiHesber"/>
        <w:rPr>
          <w:sz w:val="28"/>
          <w:szCs w:val="28"/>
          <w:rtl/>
        </w:rPr>
      </w:pPr>
      <w:r w:rsidRPr="00D06101">
        <w:rPr>
          <w:rFonts w:hint="cs"/>
          <w:sz w:val="28"/>
          <w:szCs w:val="28"/>
          <w:rtl/>
        </w:rPr>
        <w:t>דברי הסבר</w:t>
      </w:r>
    </w:p>
    <w:p w:rsidR="00D42AB4" w:rsidRDefault="00D42AB4" w:rsidP="00BB509F">
      <w:pPr>
        <w:pStyle w:val="Hesber"/>
        <w:rPr>
          <w:rtl/>
        </w:rPr>
      </w:pPr>
      <w:r w:rsidRPr="001B388E">
        <w:rPr>
          <w:rtl/>
        </w:rPr>
        <w:t xml:space="preserve">חוק עבודת נשים, </w:t>
      </w:r>
      <w:proofErr w:type="spellStart"/>
      <w:r w:rsidR="007A53B8">
        <w:rPr>
          <w:rFonts w:hint="cs"/>
          <w:rtl/>
        </w:rPr>
        <w:t>ה</w:t>
      </w:r>
      <w:r w:rsidRPr="001B388E">
        <w:rPr>
          <w:rtl/>
        </w:rPr>
        <w:t>תשי"ד</w:t>
      </w:r>
      <w:proofErr w:type="spellEnd"/>
      <w:r w:rsidR="00D06101">
        <w:rPr>
          <w:rFonts w:hint="cs"/>
          <w:rtl/>
        </w:rPr>
        <w:t>–</w:t>
      </w:r>
      <w:r w:rsidRPr="001B388E">
        <w:rPr>
          <w:rtl/>
        </w:rPr>
        <w:t>1954</w:t>
      </w:r>
      <w:r w:rsidR="00D06101">
        <w:rPr>
          <w:rFonts w:hint="cs"/>
          <w:rtl/>
        </w:rPr>
        <w:t>,</w:t>
      </w:r>
      <w:r w:rsidR="007A53B8">
        <w:rPr>
          <w:rFonts w:hint="cs"/>
          <w:rtl/>
        </w:rPr>
        <w:t xml:space="preserve"> מ</w:t>
      </w:r>
      <w:r>
        <w:rPr>
          <w:rFonts w:hint="cs"/>
          <w:rtl/>
        </w:rPr>
        <w:t xml:space="preserve">כיר בימים בהם נעדרת עובדת ממקום עבודתה בשל טיפולי הפוריות כימי מחלה. בשנת 2001 תוקן החוק כך שבנוסף להכרה בטיפולי הפוריות כימי מחלה </w:t>
      </w:r>
      <w:r w:rsidR="00BB509F">
        <w:rPr>
          <w:rFonts w:hint="eastAsia"/>
          <w:rtl/>
        </w:rPr>
        <w:t>–</w:t>
      </w:r>
      <w:r w:rsidR="007A53B8">
        <w:rPr>
          <w:rFonts w:hint="cs"/>
          <w:rtl/>
        </w:rPr>
        <w:t xml:space="preserve"> </w:t>
      </w:r>
      <w:r w:rsidR="00A96CD7">
        <w:rPr>
          <w:rFonts w:hint="cs"/>
          <w:rtl/>
        </w:rPr>
        <w:t xml:space="preserve"> </w:t>
      </w:r>
      <w:r>
        <w:rPr>
          <w:rFonts w:hint="cs"/>
          <w:rtl/>
        </w:rPr>
        <w:t>נוספה בו קביעה לפיה עוב</w:t>
      </w:r>
      <w:r w:rsidR="007A53B8">
        <w:rPr>
          <w:rFonts w:hint="cs"/>
          <w:rtl/>
        </w:rPr>
        <w:t>דת העוברת טיפולים מסוג זה תזכה</w:t>
      </w:r>
      <w:r w:rsidR="006A02D0">
        <w:rPr>
          <w:rFonts w:hint="cs"/>
          <w:rtl/>
        </w:rPr>
        <w:t xml:space="preserve"> </w:t>
      </w:r>
      <w:r w:rsidR="007A53B8">
        <w:rPr>
          <w:rFonts w:hint="cs"/>
          <w:rtl/>
        </w:rPr>
        <w:t>ל</w:t>
      </w:r>
      <w:r>
        <w:rPr>
          <w:rFonts w:hint="cs"/>
          <w:rtl/>
        </w:rPr>
        <w:t xml:space="preserve">הגנה מפני פיטורין בתקופת הטיפולים. אלא שהחוק אינו מספק הגנה מלאה לנשים ולמשפחות המעוניינות לעשות שימוש בטיפולי פוריות והוא מבחין בין ילדם </w:t>
      </w:r>
      <w:r w:rsidR="007A53B8">
        <w:rPr>
          <w:rFonts w:hint="cs"/>
          <w:rtl/>
        </w:rPr>
        <w:t>הראשון והשני של בני הזוג לילדים</w:t>
      </w:r>
      <w:r>
        <w:rPr>
          <w:rFonts w:hint="cs"/>
          <w:rtl/>
        </w:rPr>
        <w:t xml:space="preserve"> הבאים</w:t>
      </w:r>
      <w:r w:rsidR="007A53B8">
        <w:rPr>
          <w:rFonts w:hint="cs"/>
          <w:rtl/>
        </w:rPr>
        <w:t xml:space="preserve"> אחריהם</w:t>
      </w:r>
      <w:r>
        <w:rPr>
          <w:rFonts w:hint="cs"/>
          <w:rtl/>
        </w:rPr>
        <w:t xml:space="preserve">. </w:t>
      </w:r>
    </w:p>
    <w:p w:rsidR="00D42AB4" w:rsidRDefault="00D42AB4" w:rsidP="00D42AB4">
      <w:pPr>
        <w:pStyle w:val="Hesber"/>
        <w:rPr>
          <w:rtl/>
        </w:rPr>
      </w:pPr>
      <w:r>
        <w:rPr>
          <w:rFonts w:hint="cs"/>
          <w:rtl/>
        </w:rPr>
        <w:t xml:space="preserve">על </w:t>
      </w:r>
      <w:r w:rsidR="007A53B8">
        <w:rPr>
          <w:rFonts w:hint="cs"/>
          <w:rtl/>
        </w:rPr>
        <w:t>פי החוק הקיים, עובדת זכאית</w:t>
      </w:r>
      <w:r>
        <w:rPr>
          <w:rFonts w:hint="cs"/>
          <w:rtl/>
        </w:rPr>
        <w:t xml:space="preserve"> לעשות שימוש בימי מחלה בתקופת טיפולי הפוריות ביחס לכל אחד מילדיה, אלא שרק ביחס לשניים הראשונים תזכה להגנה מפני פיטורין</w:t>
      </w:r>
      <w:r w:rsidR="007A53B8">
        <w:rPr>
          <w:rFonts w:hint="cs"/>
          <w:rtl/>
        </w:rPr>
        <w:t xml:space="preserve"> במהלך הטיפולים</w:t>
      </w:r>
      <w:r>
        <w:rPr>
          <w:rFonts w:hint="cs"/>
          <w:rtl/>
        </w:rPr>
        <w:t>, ואילו ביחס לילדיה הנוספים</w:t>
      </w:r>
      <w:r w:rsidR="007A53B8">
        <w:rPr>
          <w:rFonts w:hint="cs"/>
          <w:rtl/>
        </w:rPr>
        <w:t>,</w:t>
      </w:r>
      <w:r>
        <w:rPr>
          <w:rFonts w:hint="cs"/>
          <w:rtl/>
        </w:rPr>
        <w:t xml:space="preserve"> אותם תבקש להביא לעולם</w:t>
      </w:r>
      <w:r w:rsidR="007A53B8">
        <w:rPr>
          <w:rFonts w:hint="cs"/>
          <w:rtl/>
        </w:rPr>
        <w:t>,</w:t>
      </w:r>
      <w:r>
        <w:rPr>
          <w:rFonts w:hint="cs"/>
          <w:rtl/>
        </w:rPr>
        <w:t xml:space="preserve"> היא מסתכנת בפיטורין עקב היעדרותה ממקום עבודתה הנגרמת כתוצאה מהטיפולים.</w:t>
      </w:r>
    </w:p>
    <w:p w:rsidR="007A53B8" w:rsidRDefault="00D42AB4" w:rsidP="00D42AB4">
      <w:pPr>
        <w:pStyle w:val="Hesber"/>
        <w:rPr>
          <w:rtl/>
        </w:rPr>
      </w:pPr>
      <w:r>
        <w:rPr>
          <w:rFonts w:hint="cs"/>
          <w:rtl/>
        </w:rPr>
        <w:t>בדיוני הוועדה שקדמו לתיקון החוק נאמר, כבדרך אגב, כי יש לקבוע רף של שני ילדים בלבד בהם זכאית אישה להגנה מפני פיטורין בזמן טיפולי הפוריות בדומה להגבלה הקיימת בחוק ביטוח בריאות הקובע מימון של המדינה לטיפולי פוריות ביחס לשני ילדים בלבד.</w:t>
      </w:r>
      <w:r w:rsidR="007A53B8">
        <w:rPr>
          <w:rFonts w:hint="cs"/>
          <w:rtl/>
        </w:rPr>
        <w:t xml:space="preserve"> השוואה זו בין שני החוקים, שאין </w:t>
      </w:r>
      <w:r w:rsidR="007A53B8">
        <w:rPr>
          <w:rFonts w:hint="cs"/>
          <w:rtl/>
        </w:rPr>
        <w:lastRenderedPageBreak/>
        <w:t xml:space="preserve">ביניהם כל קשר, היא עירוב מין </w:t>
      </w:r>
      <w:proofErr w:type="spellStart"/>
      <w:r w:rsidR="007A53B8">
        <w:rPr>
          <w:rFonts w:hint="cs"/>
          <w:rtl/>
        </w:rPr>
        <w:t>בשאינו</w:t>
      </w:r>
      <w:proofErr w:type="spellEnd"/>
      <w:r w:rsidR="007A53B8">
        <w:rPr>
          <w:rFonts w:hint="cs"/>
          <w:rtl/>
        </w:rPr>
        <w:t xml:space="preserve"> מינו.</w:t>
      </w:r>
      <w:r>
        <w:rPr>
          <w:rFonts w:hint="cs"/>
          <w:rtl/>
        </w:rPr>
        <w:t xml:space="preserve"> </w:t>
      </w:r>
    </w:p>
    <w:p w:rsidR="00D42AB4" w:rsidRDefault="00D42AB4" w:rsidP="00D42AB4">
      <w:pPr>
        <w:pStyle w:val="Hesber"/>
        <w:rPr>
          <w:rtl/>
        </w:rPr>
      </w:pPr>
      <w:r>
        <w:rPr>
          <w:rFonts w:hint="cs"/>
          <w:rtl/>
        </w:rPr>
        <w:t xml:space="preserve">הצעת החוק מבקשת להסיר את מגבלת שני הילדים השרירותית ולקבוע כי עובדת זכאית להגנה מפני פיטורין בשעה שהיא עוברת טיפולי פוריות ביחס לכל אחד ואחד מילדיה. בכך מבקשת ההצעה לנתק את הקשר התמוה שנקשר בטעות בין סוגיית מימון הטיפולים לסוגיית ההגנה מפני פיטורין. </w:t>
      </w:r>
    </w:p>
    <w:p w:rsidR="00D42AB4" w:rsidRDefault="00D42AB4" w:rsidP="00D42AB4">
      <w:pPr>
        <w:pStyle w:val="Hesber"/>
        <w:rPr>
          <w:rtl/>
        </w:rPr>
      </w:pPr>
      <w:r>
        <w:rPr>
          <w:rFonts w:hint="cs"/>
          <w:rtl/>
        </w:rPr>
        <w:t>יש לציין כי בתחומים אחרים, החוק אינו מבחין, לצורך הגנה מפני פיטורין, בין שני הילדים הראשונים לאלה הבאים אחריהם. כך הוא הדבר בנוגע להגנה מפני פיטורין ביחס למאמצים ילד מחו"ל אשר זוכים להגנה מפני פיטורין ללא קשר למספר הילדים שכבר יש להם. עניין זה מדגיש את שרירותה של המגבלה הקיימת ביחס לטיפולי פוריות שמן הדין לבטלה.</w:t>
      </w:r>
    </w:p>
    <w:p w:rsidR="00A96CD7" w:rsidRDefault="00A96CD7" w:rsidP="00D42AB4">
      <w:pPr>
        <w:pStyle w:val="Hesber"/>
        <w:rPr>
          <w:rtl/>
        </w:rPr>
      </w:pPr>
    </w:p>
    <w:p w:rsidR="00A96CD7" w:rsidRDefault="00A96CD7" w:rsidP="00D42AB4">
      <w:pPr>
        <w:pStyle w:val="Hesber"/>
        <w:rPr>
          <w:rtl/>
        </w:rPr>
      </w:pPr>
    </w:p>
    <w:p w:rsidR="00A96CD7" w:rsidRDefault="00A96CD7" w:rsidP="00D42AB4">
      <w:pPr>
        <w:pStyle w:val="Hesber"/>
        <w:rPr>
          <w:rtl/>
        </w:rPr>
      </w:pPr>
    </w:p>
    <w:p w:rsidR="00A96CD7" w:rsidRDefault="00A96CD7" w:rsidP="00D42AB4">
      <w:pPr>
        <w:pStyle w:val="Hesber"/>
        <w:rPr>
          <w:rtl/>
        </w:rPr>
      </w:pPr>
    </w:p>
    <w:p w:rsidR="00A96CD7" w:rsidRDefault="00A96CD7" w:rsidP="00D42AB4">
      <w:pPr>
        <w:pStyle w:val="Hesber"/>
        <w:rPr>
          <w:rtl/>
        </w:rPr>
      </w:pPr>
    </w:p>
    <w:p w:rsidR="00A96CD7" w:rsidRDefault="00A96CD7" w:rsidP="00D42AB4">
      <w:pPr>
        <w:pStyle w:val="Hesber"/>
        <w:rPr>
          <w:rtl/>
        </w:rPr>
      </w:pPr>
    </w:p>
    <w:p w:rsidR="00BB509F" w:rsidRDefault="00BB509F" w:rsidP="00BB509F">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BB509F" w:rsidRDefault="00BB509F" w:rsidP="00BB509F">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BB509F" w:rsidRDefault="00BB509F" w:rsidP="00BB509F">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BB509F" w:rsidRDefault="00BB509F" w:rsidP="00BB509F">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כ"ב באב </w:t>
      </w:r>
      <w:proofErr w:type="spellStart"/>
      <w:r>
        <w:rPr>
          <w:rFonts w:ascii="Arial" w:eastAsia="Arial Unicode MS" w:hAnsi="Arial" w:cs="David" w:hint="cs"/>
          <w:snapToGrid w:val="0"/>
          <w:spacing w:val="0"/>
          <w:sz w:val="20"/>
          <w:szCs w:val="26"/>
          <w:rtl/>
        </w:rPr>
        <w:t>התשע"ג</w:t>
      </w:r>
      <w:proofErr w:type="spellEnd"/>
      <w:r>
        <w:rPr>
          <w:rFonts w:ascii="Arial" w:eastAsia="Arial Unicode MS" w:hAnsi="Arial" w:cs="David" w:hint="cs"/>
          <w:snapToGrid w:val="0"/>
          <w:spacing w:val="0"/>
          <w:sz w:val="20"/>
          <w:szCs w:val="26"/>
          <w:rtl/>
        </w:rPr>
        <w:t xml:space="preserve"> – 29.7.13</w:t>
      </w:r>
    </w:p>
    <w:p w:rsidR="00BB509F" w:rsidRDefault="00BB509F" w:rsidP="00BB509F">
      <w:pPr>
        <w:ind w:left="340" w:firstLine="0"/>
        <w:rPr>
          <w:rFonts w:ascii="Arial" w:eastAsia="Arial Unicode MS" w:hAnsi="Arial" w:cs="David"/>
          <w:snapToGrid w:val="0"/>
          <w:spacing w:val="0"/>
          <w:sz w:val="20"/>
          <w:szCs w:val="26"/>
        </w:rPr>
      </w:pPr>
    </w:p>
    <w:p w:rsidR="00E13C27" w:rsidRPr="00BB509F" w:rsidRDefault="00E13C27" w:rsidP="00D42AB4">
      <w:pPr>
        <w:rPr>
          <w:rtl/>
        </w:rPr>
      </w:pPr>
    </w:p>
    <w:sectPr w:rsidR="00E13C27" w:rsidRPr="00BB509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17" w:rsidRDefault="00392517">
      <w:r>
        <w:separator/>
      </w:r>
    </w:p>
  </w:endnote>
  <w:endnote w:type="continuationSeparator" w:id="0">
    <w:p w:rsidR="00392517" w:rsidRDefault="0039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96CD7">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17" w:rsidRDefault="00392517">
      <w:r>
        <w:separator/>
      </w:r>
    </w:p>
  </w:footnote>
  <w:footnote w:type="continuationSeparator" w:id="0">
    <w:p w:rsidR="00392517" w:rsidRDefault="00392517">
      <w:r>
        <w:continuationSeparator/>
      </w:r>
    </w:p>
  </w:footnote>
  <w:footnote w:type="continuationNotice" w:id="1">
    <w:p w:rsidR="00392517" w:rsidRDefault="00392517"/>
  </w:footnote>
  <w:footnote w:id="2">
    <w:p w:rsidR="00D42AB4" w:rsidRDefault="00D42AB4" w:rsidP="00D42AB4">
      <w:pPr>
        <w:pStyle w:val="a4"/>
      </w:pPr>
      <w:r>
        <w:rPr>
          <w:rStyle w:val="a5"/>
        </w:rPr>
        <w:footnoteRef/>
      </w:r>
      <w:r>
        <w:rPr>
          <w:rtl/>
        </w:rPr>
        <w:t xml:space="preserve"> </w:t>
      </w:r>
      <w:r w:rsidRPr="00D06101">
        <w:rPr>
          <w:rFonts w:hint="cs"/>
          <w:rtl/>
        </w:rPr>
        <w:t xml:space="preserve">ס"ח </w:t>
      </w:r>
      <w:proofErr w:type="spellStart"/>
      <w:r w:rsidR="00D06101">
        <w:rPr>
          <w:rFonts w:hint="cs"/>
          <w:rtl/>
        </w:rPr>
        <w:t>ה</w:t>
      </w:r>
      <w:r w:rsidRPr="00D06101">
        <w:rPr>
          <w:rFonts w:hint="cs"/>
          <w:rtl/>
        </w:rPr>
        <w:t>תשי"ד</w:t>
      </w:r>
      <w:proofErr w:type="spellEnd"/>
      <w:r w:rsidRPr="00D06101">
        <w:rPr>
          <w:rFonts w:hint="cs"/>
          <w:rtl/>
        </w:rPr>
        <w:t>, עמ' 154</w:t>
      </w:r>
      <w:r w:rsidR="00D06101">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5743lsCopyOriginal.docx"/>
    <w:docVar w:name="StartMode" w:val="3"/>
  </w:docVars>
  <w:rsids>
    <w:rsidRoot w:val="00DB7060"/>
    <w:rsid w:val="00015B27"/>
    <w:rsid w:val="0006574B"/>
    <w:rsid w:val="0007347A"/>
    <w:rsid w:val="000A542E"/>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C2E29"/>
    <w:rsid w:val="002F1680"/>
    <w:rsid w:val="003232A2"/>
    <w:rsid w:val="003710F6"/>
    <w:rsid w:val="00386E88"/>
    <w:rsid w:val="00392517"/>
    <w:rsid w:val="003D74A0"/>
    <w:rsid w:val="004033D8"/>
    <w:rsid w:val="004D3876"/>
    <w:rsid w:val="004E4552"/>
    <w:rsid w:val="00553C9D"/>
    <w:rsid w:val="005B064E"/>
    <w:rsid w:val="005D51AE"/>
    <w:rsid w:val="00644940"/>
    <w:rsid w:val="006818A9"/>
    <w:rsid w:val="006A02D0"/>
    <w:rsid w:val="006A7F04"/>
    <w:rsid w:val="006C1D0D"/>
    <w:rsid w:val="006C53D5"/>
    <w:rsid w:val="0070601E"/>
    <w:rsid w:val="00765F66"/>
    <w:rsid w:val="007A53B8"/>
    <w:rsid w:val="007D5A12"/>
    <w:rsid w:val="007E59F9"/>
    <w:rsid w:val="00810BCD"/>
    <w:rsid w:val="00812C98"/>
    <w:rsid w:val="00814D92"/>
    <w:rsid w:val="00892135"/>
    <w:rsid w:val="00895449"/>
    <w:rsid w:val="00897879"/>
    <w:rsid w:val="008C2DDC"/>
    <w:rsid w:val="008F0D63"/>
    <w:rsid w:val="008F2C35"/>
    <w:rsid w:val="0091204F"/>
    <w:rsid w:val="009203DB"/>
    <w:rsid w:val="00943386"/>
    <w:rsid w:val="00957589"/>
    <w:rsid w:val="009656F3"/>
    <w:rsid w:val="00982412"/>
    <w:rsid w:val="00A26BD6"/>
    <w:rsid w:val="00A82CB7"/>
    <w:rsid w:val="00A96CD7"/>
    <w:rsid w:val="00AC36F7"/>
    <w:rsid w:val="00B35784"/>
    <w:rsid w:val="00B66860"/>
    <w:rsid w:val="00BB509F"/>
    <w:rsid w:val="00BC45FB"/>
    <w:rsid w:val="00C9176A"/>
    <w:rsid w:val="00D06101"/>
    <w:rsid w:val="00D42AB4"/>
    <w:rsid w:val="00D867D7"/>
    <w:rsid w:val="00DB7060"/>
    <w:rsid w:val="00DE3153"/>
    <w:rsid w:val="00E13C27"/>
    <w:rsid w:val="00E33BBD"/>
    <w:rsid w:val="00E45103"/>
    <w:rsid w:val="00E57840"/>
    <w:rsid w:val="00E665B9"/>
    <w:rsid w:val="00EA01E6"/>
    <w:rsid w:val="00EA758F"/>
    <w:rsid w:val="00ED4A6F"/>
    <w:rsid w:val="00EF3A3A"/>
    <w:rsid w:val="00F964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styleId="ab">
    <w:name w:val="annotation reference"/>
    <w:basedOn w:val="a0"/>
    <w:semiHidden/>
    <w:unhideWhenUsed/>
    <w:rsid w:val="00D06101"/>
    <w:rPr>
      <w:sz w:val="16"/>
      <w:szCs w:val="16"/>
    </w:rPr>
  </w:style>
  <w:style w:type="paragraph" w:styleId="ac">
    <w:name w:val="annotation text"/>
    <w:basedOn w:val="a"/>
    <w:link w:val="ad"/>
    <w:semiHidden/>
    <w:unhideWhenUsed/>
    <w:rsid w:val="00D06101"/>
    <w:pPr>
      <w:spacing w:line="240" w:lineRule="auto"/>
    </w:pPr>
    <w:rPr>
      <w:sz w:val="20"/>
      <w:szCs w:val="20"/>
    </w:rPr>
  </w:style>
  <w:style w:type="character" w:customStyle="1" w:styleId="ad">
    <w:name w:val="טקסט הערה תו"/>
    <w:basedOn w:val="a0"/>
    <w:link w:val="ac"/>
    <w:semiHidden/>
    <w:rsid w:val="00D06101"/>
    <w:rPr>
      <w:rFonts w:ascii="Hadasa Roso SL" w:hAnsi="Hadasa Roso SL" w:cs="Hadasa Roso SL"/>
      <w:color w:val="000000"/>
      <w:spacing w:val="1"/>
      <w:lang w:eastAsia="ja-JP"/>
    </w:rPr>
  </w:style>
  <w:style w:type="paragraph" w:styleId="ae">
    <w:name w:val="annotation subject"/>
    <w:basedOn w:val="ac"/>
    <w:next w:val="ac"/>
    <w:link w:val="af"/>
    <w:semiHidden/>
    <w:unhideWhenUsed/>
    <w:rsid w:val="00D06101"/>
    <w:rPr>
      <w:b/>
      <w:bCs/>
    </w:rPr>
  </w:style>
  <w:style w:type="character" w:customStyle="1" w:styleId="af">
    <w:name w:val="נושא הערה תו"/>
    <w:basedOn w:val="ad"/>
    <w:link w:val="ae"/>
    <w:semiHidden/>
    <w:rsid w:val="00D06101"/>
    <w:rPr>
      <w:rFonts w:ascii="Hadasa Roso SL" w:hAnsi="Hadasa Roso SL" w:cs="Hadasa Roso SL"/>
      <w:b/>
      <w:bCs/>
      <w:color w:val="000000"/>
      <w:spacing w:val="1"/>
      <w:lang w:eastAsia="ja-JP"/>
    </w:rPr>
  </w:style>
  <w:style w:type="paragraph" w:styleId="af0">
    <w:name w:val="Balloon Text"/>
    <w:basedOn w:val="a"/>
    <w:link w:val="af1"/>
    <w:semiHidden/>
    <w:unhideWhenUsed/>
    <w:rsid w:val="00D06101"/>
    <w:pPr>
      <w:spacing w:before="0" w:line="240" w:lineRule="auto"/>
    </w:pPr>
    <w:rPr>
      <w:rFonts w:ascii="Tahoma" w:hAnsi="Tahoma" w:cs="Tahoma"/>
      <w:sz w:val="16"/>
      <w:szCs w:val="16"/>
    </w:rPr>
  </w:style>
  <w:style w:type="character" w:customStyle="1" w:styleId="af1">
    <w:name w:val="טקסט בלונים תו"/>
    <w:basedOn w:val="a0"/>
    <w:link w:val="af0"/>
    <w:semiHidden/>
    <w:rsid w:val="00D06101"/>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styleId="ab">
    <w:name w:val="annotation reference"/>
    <w:basedOn w:val="a0"/>
    <w:semiHidden/>
    <w:unhideWhenUsed/>
    <w:rsid w:val="00D06101"/>
    <w:rPr>
      <w:sz w:val="16"/>
      <w:szCs w:val="16"/>
    </w:rPr>
  </w:style>
  <w:style w:type="paragraph" w:styleId="ac">
    <w:name w:val="annotation text"/>
    <w:basedOn w:val="a"/>
    <w:link w:val="ad"/>
    <w:semiHidden/>
    <w:unhideWhenUsed/>
    <w:rsid w:val="00D06101"/>
    <w:pPr>
      <w:spacing w:line="240" w:lineRule="auto"/>
    </w:pPr>
    <w:rPr>
      <w:sz w:val="20"/>
      <w:szCs w:val="20"/>
    </w:rPr>
  </w:style>
  <w:style w:type="character" w:customStyle="1" w:styleId="ad">
    <w:name w:val="טקסט הערה תו"/>
    <w:basedOn w:val="a0"/>
    <w:link w:val="ac"/>
    <w:semiHidden/>
    <w:rsid w:val="00D06101"/>
    <w:rPr>
      <w:rFonts w:ascii="Hadasa Roso SL" w:hAnsi="Hadasa Roso SL" w:cs="Hadasa Roso SL"/>
      <w:color w:val="000000"/>
      <w:spacing w:val="1"/>
      <w:lang w:eastAsia="ja-JP"/>
    </w:rPr>
  </w:style>
  <w:style w:type="paragraph" w:styleId="ae">
    <w:name w:val="annotation subject"/>
    <w:basedOn w:val="ac"/>
    <w:next w:val="ac"/>
    <w:link w:val="af"/>
    <w:semiHidden/>
    <w:unhideWhenUsed/>
    <w:rsid w:val="00D06101"/>
    <w:rPr>
      <w:b/>
      <w:bCs/>
    </w:rPr>
  </w:style>
  <w:style w:type="character" w:customStyle="1" w:styleId="af">
    <w:name w:val="נושא הערה תו"/>
    <w:basedOn w:val="ad"/>
    <w:link w:val="ae"/>
    <w:semiHidden/>
    <w:rsid w:val="00D06101"/>
    <w:rPr>
      <w:rFonts w:ascii="Hadasa Roso SL" w:hAnsi="Hadasa Roso SL" w:cs="Hadasa Roso SL"/>
      <w:b/>
      <w:bCs/>
      <w:color w:val="000000"/>
      <w:spacing w:val="1"/>
      <w:lang w:eastAsia="ja-JP"/>
    </w:rPr>
  </w:style>
  <w:style w:type="paragraph" w:styleId="af0">
    <w:name w:val="Balloon Text"/>
    <w:basedOn w:val="a"/>
    <w:link w:val="af1"/>
    <w:semiHidden/>
    <w:unhideWhenUsed/>
    <w:rsid w:val="00D06101"/>
    <w:pPr>
      <w:spacing w:before="0" w:line="240" w:lineRule="auto"/>
    </w:pPr>
    <w:rPr>
      <w:rFonts w:ascii="Tahoma" w:hAnsi="Tahoma" w:cs="Tahoma"/>
      <w:sz w:val="16"/>
      <w:szCs w:val="16"/>
    </w:rPr>
  </w:style>
  <w:style w:type="character" w:customStyle="1" w:styleId="af1">
    <w:name w:val="טקסט בלונים תו"/>
    <w:basedOn w:val="a0"/>
    <w:link w:val="af0"/>
    <w:semiHidden/>
    <w:rsid w:val="00D06101"/>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DAD395E2A6D6D4C9FB26CDE0AA91C01" ma:contentTypeVersion="0" ma:contentTypeDescription="צור מסמך חדש." ma:contentTypeScope="" ma:versionID="29bc9772be30ed4a85734c784303f201">
  <xsd:schema xmlns:xsd="http://www.w3.org/2001/XMLSchema" xmlns:xs="http://www.w3.org/2001/XMLSchema" xmlns:p="http://schemas.microsoft.com/office/2006/metadata/properties" targetNamespace="http://schemas.microsoft.com/office/2006/metadata/properties" ma:root="true" ma:fieldsID="fc839a7feb2e5d9e784d85bb08110b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46C3C-3C74-4BA1-8949-32E4C8200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1750</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גיל ברינגר</dc:creator>
  <cp:keywords/>
  <dc:description/>
  <cp:lastModifiedBy>יוסי דולב</cp:lastModifiedBy>
  <cp:revision>3</cp:revision>
  <cp:lastPrinted>2013-07-25T08:05:00Z</cp:lastPrinted>
  <dcterms:created xsi:type="dcterms:W3CDTF">2013-07-25T08:06:00Z</dcterms:created>
  <dcterms:modified xsi:type="dcterms:W3CDTF">2014-03-09T06:02:00Z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0x0101001DAD395E2A6D6D4C9FB26CDE0AA91C01</vt:lpwstr>
  </property>
</Properties>
</file>