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29" w:rsidRPr="00283411" w:rsidRDefault="004033D8" w:rsidP="00283411">
      <w:pPr>
        <w:pStyle w:val="HeadHatzaotHok"/>
        <w:jc w:val="right"/>
        <w:rPr>
          <w:b w:val="0"/>
          <w:bCs w:val="0"/>
          <w:szCs w:val="20"/>
        </w:rPr>
      </w:pPr>
      <w:r w:rsidRPr="00283411">
        <w:rPr>
          <w:rFonts w:hint="cs"/>
          <w:b w:val="0"/>
          <w:bCs w:val="0"/>
          <w:szCs w:val="20"/>
          <w:rtl/>
        </w:rPr>
        <w:t xml:space="preserve">מספר פנימי: </w:t>
      </w:r>
      <w:bookmarkStart w:id="0" w:name="ItemID"/>
      <w:r w:rsidR="00E92657" w:rsidRPr="00283411">
        <w:rPr>
          <w:b w:val="0"/>
          <w:bCs w:val="0"/>
          <w:szCs w:val="20"/>
          <w:rtl/>
        </w:rPr>
        <w:t>483086</w:t>
      </w:r>
      <w:bookmarkEnd w:id="0"/>
    </w:p>
    <w:p w:rsidR="00E13C27" w:rsidRPr="00AC73B6" w:rsidRDefault="00E13C27" w:rsidP="00E13C27">
      <w:pPr>
        <w:pStyle w:val="HeadHatzaotHok"/>
        <w:rPr>
          <w:sz w:val="28"/>
          <w:szCs w:val="28"/>
          <w:rtl/>
        </w:rPr>
      </w:pPr>
      <w:r w:rsidRPr="00AC73B6">
        <w:rPr>
          <w:rFonts w:hint="cs"/>
          <w:sz w:val="28"/>
          <w:szCs w:val="28"/>
          <w:rtl/>
        </w:rPr>
        <w:t xml:space="preserve">הכנסת </w:t>
      </w:r>
      <w:bookmarkStart w:id="1" w:name="KnessetNum"/>
      <w:r w:rsidR="00E92657" w:rsidRPr="00AC73B6">
        <w:rPr>
          <w:sz w:val="28"/>
          <w:szCs w:val="28"/>
          <w:rtl/>
        </w:rPr>
        <w:t>התשע-עשרה</w:t>
      </w:r>
      <w:bookmarkEnd w:id="1"/>
    </w:p>
    <w:p w:rsidR="00E13C27" w:rsidRPr="00AC73B6" w:rsidRDefault="00E13C27" w:rsidP="00E13C27">
      <w:pPr>
        <w:rPr>
          <w:rFonts w:cs="David"/>
          <w:b/>
          <w:bCs/>
          <w:sz w:val="26"/>
          <w:szCs w:val="26"/>
          <w:rtl/>
        </w:rPr>
      </w:pPr>
    </w:p>
    <w:p w:rsidR="001C2E90" w:rsidRPr="001C2E90" w:rsidRDefault="00D67D5A" w:rsidP="0091204F">
      <w:pPr>
        <w:pStyle w:val="David"/>
        <w:ind w:left="2880" w:firstLine="663"/>
        <w:rPr>
          <w:b/>
          <w:bCs/>
        </w:rPr>
      </w:pPr>
      <w:bookmarkStart w:id="2" w:name="MKsSingleOrMulti"/>
      <w:r w:rsidRPr="00D67D5A">
        <w:rPr>
          <w:b/>
          <w:bCs/>
          <w:rtl/>
        </w:rPr>
        <w:t>יוזמים:      חברי הכנסת</w:t>
      </w:r>
      <w:bookmarkEnd w:id="2"/>
      <w:r w:rsidR="00B35784" w:rsidRPr="00AC73B6">
        <w:rPr>
          <w:b/>
          <w:bCs/>
        </w:rPr>
        <w:tab/>
      </w:r>
      <w:bookmarkStart w:id="3" w:name="MKs"/>
      <w:r w:rsidR="001C2E90" w:rsidRPr="001C2E90">
        <w:rPr>
          <w:b/>
          <w:bCs/>
          <w:rtl/>
        </w:rPr>
        <w:t>שמעון אוחיון</w:t>
      </w:r>
    </w:p>
    <w:p w:rsidR="001C2E90" w:rsidRPr="001C2E90" w:rsidRDefault="001C2E90" w:rsidP="0091204F">
      <w:pPr>
        <w:pStyle w:val="David"/>
        <w:ind w:left="2880" w:firstLine="663"/>
        <w:rPr>
          <w:b/>
          <w:bCs/>
        </w:rPr>
      </w:pPr>
      <w:r w:rsidRPr="001C2E90">
        <w:rPr>
          <w:b/>
          <w:bCs/>
        </w:rPr>
        <w:tab/>
      </w:r>
      <w:r w:rsidRPr="001C2E90">
        <w:rPr>
          <w:b/>
          <w:bCs/>
        </w:rPr>
        <w:tab/>
      </w:r>
      <w:r w:rsidRPr="001C2E90">
        <w:rPr>
          <w:b/>
          <w:bCs/>
        </w:rPr>
        <w:tab/>
      </w:r>
      <w:r w:rsidRPr="001C2E90">
        <w:rPr>
          <w:b/>
          <w:bCs/>
        </w:rPr>
        <w:tab/>
      </w:r>
      <w:r w:rsidRPr="001C2E90">
        <w:rPr>
          <w:b/>
          <w:bCs/>
        </w:rPr>
        <w:tab/>
      </w:r>
      <w:r w:rsidRPr="001C2E90">
        <w:rPr>
          <w:b/>
          <w:bCs/>
          <w:rtl/>
        </w:rPr>
        <w:t>חמד עמאר</w:t>
      </w:r>
    </w:p>
    <w:p w:rsidR="001C2E90" w:rsidRPr="001C2E90" w:rsidRDefault="001C2E90" w:rsidP="0091204F">
      <w:pPr>
        <w:pStyle w:val="David"/>
        <w:ind w:left="2880" w:firstLine="663"/>
        <w:rPr>
          <w:b/>
          <w:bCs/>
        </w:rPr>
      </w:pPr>
      <w:r w:rsidRPr="001C2E90">
        <w:rPr>
          <w:b/>
          <w:bCs/>
        </w:rPr>
        <w:tab/>
      </w:r>
      <w:r w:rsidRPr="001C2E90">
        <w:rPr>
          <w:b/>
          <w:bCs/>
        </w:rPr>
        <w:tab/>
      </w:r>
      <w:r w:rsidRPr="001C2E90">
        <w:rPr>
          <w:b/>
          <w:bCs/>
        </w:rPr>
        <w:tab/>
      </w:r>
      <w:r w:rsidRPr="001C2E90">
        <w:rPr>
          <w:b/>
          <w:bCs/>
        </w:rPr>
        <w:tab/>
      </w:r>
      <w:r w:rsidRPr="001C2E90">
        <w:rPr>
          <w:b/>
          <w:bCs/>
        </w:rPr>
        <w:tab/>
      </w:r>
      <w:r w:rsidRPr="001C2E90">
        <w:rPr>
          <w:b/>
          <w:bCs/>
          <w:rtl/>
        </w:rPr>
        <w:t>דוד רותם</w:t>
      </w:r>
    </w:p>
    <w:p w:rsidR="001C2E90" w:rsidRPr="001C2E90" w:rsidRDefault="001C2E90" w:rsidP="0091204F">
      <w:pPr>
        <w:pStyle w:val="David"/>
        <w:ind w:left="2880" w:firstLine="663"/>
        <w:rPr>
          <w:b/>
          <w:bCs/>
        </w:rPr>
      </w:pPr>
      <w:r w:rsidRPr="001C2E90">
        <w:rPr>
          <w:b/>
          <w:bCs/>
        </w:rPr>
        <w:tab/>
      </w:r>
      <w:r w:rsidRPr="001C2E90">
        <w:rPr>
          <w:b/>
          <w:bCs/>
        </w:rPr>
        <w:tab/>
      </w:r>
      <w:r w:rsidRPr="001C2E90">
        <w:rPr>
          <w:b/>
          <w:bCs/>
        </w:rPr>
        <w:tab/>
      </w:r>
      <w:r w:rsidRPr="001C2E90">
        <w:rPr>
          <w:b/>
          <w:bCs/>
        </w:rPr>
        <w:tab/>
      </w:r>
      <w:r w:rsidRPr="001C2E90">
        <w:rPr>
          <w:b/>
          <w:bCs/>
        </w:rPr>
        <w:tab/>
      </w:r>
      <w:r w:rsidRPr="001C2E90">
        <w:rPr>
          <w:b/>
          <w:bCs/>
          <w:rtl/>
        </w:rPr>
        <w:t>דב ליפמן</w:t>
      </w:r>
    </w:p>
    <w:p w:rsidR="001C2E90" w:rsidRPr="001C2E90" w:rsidRDefault="001C2E90" w:rsidP="0091204F">
      <w:pPr>
        <w:pStyle w:val="David"/>
        <w:ind w:left="2880" w:firstLine="663"/>
        <w:rPr>
          <w:b/>
          <w:bCs/>
        </w:rPr>
      </w:pPr>
      <w:r w:rsidRPr="001C2E90">
        <w:rPr>
          <w:b/>
          <w:bCs/>
        </w:rPr>
        <w:tab/>
      </w:r>
      <w:r w:rsidRPr="001C2E90">
        <w:rPr>
          <w:b/>
          <w:bCs/>
        </w:rPr>
        <w:tab/>
      </w:r>
      <w:r w:rsidRPr="001C2E90">
        <w:rPr>
          <w:b/>
          <w:bCs/>
        </w:rPr>
        <w:tab/>
      </w:r>
      <w:r w:rsidRPr="001C2E90">
        <w:rPr>
          <w:b/>
          <w:bCs/>
        </w:rPr>
        <w:tab/>
      </w:r>
      <w:r w:rsidRPr="001C2E90">
        <w:rPr>
          <w:b/>
          <w:bCs/>
        </w:rPr>
        <w:tab/>
      </w:r>
      <w:r w:rsidRPr="001C2E90">
        <w:rPr>
          <w:b/>
          <w:bCs/>
          <w:rtl/>
        </w:rPr>
        <w:t>עליזה לביא</w:t>
      </w:r>
    </w:p>
    <w:p w:rsidR="001C2E90" w:rsidRPr="001C2E90" w:rsidRDefault="001C2E90" w:rsidP="0091204F">
      <w:pPr>
        <w:pStyle w:val="David"/>
        <w:ind w:left="2880" w:firstLine="663"/>
        <w:rPr>
          <w:b/>
          <w:bCs/>
        </w:rPr>
      </w:pPr>
      <w:r w:rsidRPr="001C2E90">
        <w:rPr>
          <w:b/>
          <w:bCs/>
        </w:rPr>
        <w:tab/>
      </w:r>
      <w:r w:rsidRPr="001C2E90">
        <w:rPr>
          <w:b/>
          <w:bCs/>
        </w:rPr>
        <w:tab/>
      </w:r>
      <w:r w:rsidRPr="001C2E90">
        <w:rPr>
          <w:b/>
          <w:bCs/>
        </w:rPr>
        <w:tab/>
      </w:r>
      <w:r w:rsidRPr="001C2E90">
        <w:rPr>
          <w:b/>
          <w:bCs/>
        </w:rPr>
        <w:tab/>
      </w:r>
      <w:r w:rsidRPr="001C2E90">
        <w:rPr>
          <w:b/>
          <w:bCs/>
        </w:rPr>
        <w:tab/>
      </w:r>
      <w:r w:rsidRPr="001C2E90">
        <w:rPr>
          <w:b/>
          <w:bCs/>
          <w:rtl/>
        </w:rPr>
        <w:t xml:space="preserve">יחיאל </w:t>
      </w:r>
      <w:proofErr w:type="spellStart"/>
      <w:r w:rsidRPr="001C2E90">
        <w:rPr>
          <w:b/>
          <w:bCs/>
          <w:rtl/>
        </w:rPr>
        <w:t>חיליק</w:t>
      </w:r>
      <w:proofErr w:type="spellEnd"/>
      <w:r w:rsidRPr="001C2E90">
        <w:rPr>
          <w:b/>
          <w:bCs/>
          <w:rtl/>
        </w:rPr>
        <w:t xml:space="preserve"> בר</w:t>
      </w:r>
    </w:p>
    <w:p w:rsidR="00E13C27" w:rsidRPr="00AC73B6" w:rsidRDefault="001C2E90" w:rsidP="0091204F">
      <w:pPr>
        <w:pStyle w:val="David"/>
        <w:ind w:left="2880" w:firstLine="663"/>
        <w:rPr>
          <w:b/>
          <w:bCs/>
          <w:rtl/>
        </w:rPr>
      </w:pPr>
      <w:r w:rsidRPr="001C2E90">
        <w:rPr>
          <w:b/>
          <w:bCs/>
        </w:rPr>
        <w:tab/>
      </w:r>
      <w:r w:rsidRPr="001C2E90">
        <w:rPr>
          <w:b/>
          <w:bCs/>
        </w:rPr>
        <w:tab/>
      </w:r>
      <w:r w:rsidRPr="001C2E90">
        <w:rPr>
          <w:b/>
          <w:bCs/>
        </w:rPr>
        <w:tab/>
      </w:r>
      <w:r w:rsidRPr="001C2E90">
        <w:rPr>
          <w:b/>
          <w:bCs/>
        </w:rPr>
        <w:tab/>
      </w:r>
      <w:r w:rsidRPr="001C2E90">
        <w:rPr>
          <w:b/>
          <w:bCs/>
        </w:rPr>
        <w:tab/>
      </w:r>
      <w:r w:rsidRPr="001C2E90">
        <w:rPr>
          <w:b/>
          <w:bCs/>
          <w:rtl/>
        </w:rPr>
        <w:t>דוד צור</w:t>
      </w:r>
      <w:bookmarkEnd w:id="3"/>
    </w:p>
    <w:p w:rsidR="00E13C27" w:rsidRDefault="0014195F" w:rsidP="00B35784">
      <w:pPr>
        <w:ind w:firstLine="3543"/>
        <w:rPr>
          <w:rFonts w:cs="David"/>
          <w:sz w:val="26"/>
          <w:szCs w:val="26"/>
          <w:rtl/>
        </w:rPr>
      </w:pPr>
      <w:r>
        <w:rPr>
          <w:noProof/>
          <w:rtl/>
          <w:lang w:eastAsia="en-US"/>
        </w:rPr>
        <mc:AlternateContent>
          <mc:Choice Requires="wps">
            <w:drawing>
              <wp:anchor distT="0" distB="0" distL="114300" distR="114300" simplePos="0" relativeHeight="251658240" behindDoc="0" locked="0" layoutInCell="1" allowOverlap="1" wp14:anchorId="25EA197B" wp14:editId="5CE95B32">
                <wp:simplePos x="0" y="0"/>
                <wp:positionH relativeFrom="column">
                  <wp:posOffset>1270</wp:posOffset>
                </wp:positionH>
                <wp:positionV relativeFrom="paragraph">
                  <wp:posOffset>48895</wp:posOffset>
                </wp:positionV>
                <wp:extent cx="3869690" cy="15875"/>
                <wp:effectExtent l="0" t="38100" r="0" b="4127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noFill/>
                          <a:round/>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4.8pt,3.8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Q4NAMAAGMHAAAOAAAAZHJzL2Uyb0RvYy54bWysVW1vmzAQ/j5p/8Hyx0mUl0ASopKqDWGa&#10;1G2Vmv0AB0xAA5vZTkg37b/vbAghrapN2/iAztxx9zz32Ofrm2NdoQMVsuQswu6VgxFlKc9Ktovw&#10;l01izTGSirCMVJzRCD9RiW+Wb99ct82CerzgVUYFgiRMLtomwoVSzcK2ZVrQmsgr3lAGzpyLmihY&#10;ip2dCdJC9rqyPceZ2i0XWSN4SqWEr3HnxEuTP89pqj7nuaQKVREGbMq8hXlv9dteXpPFTpCmKNMe&#10;BvkLFDUpGRQdUsVEEbQX5YtUdZkKLnmurlJe2zzPy5QaDsDGdZ6xeSxIQw0XaI5shjbJ/5c2/XR4&#10;EKjMIuxhxEgNEiWCUt1wNNfdaRu5gKDH5kFofrK55+lXCQ77wqMXEmLQtv3IM8hC9oqbjhxzUes/&#10;gSs6msY/DY2nR4VS+DiZT8NpCPqk4HOD+SzQpW2yOP2c7qV6T7lJRA73UnW6ZWCZrmc99g3kyOsK&#10;JHxnIwe1aOqEfi/yEOOOYrwAFcgz5UC8IQSaMaTRKV7JNBmFOUMiwL07ISPFCWx6ZD1asBDR58Mx&#10;DWq41I3R0IH9xu2pQ5Sm9kowANTBk3Ew1D0XEbD1n296gRFs+m3Xj4YojU3X0CZqI2yahQrYC4FB&#10;VvMD3XAToc7add2CYmd3xcZhXZqTyhDYucHQhYyuQ3GNeaQt40lZVUbcimlIYdBjGXkE37PMxBSU&#10;ZOveVqSsOttU1Khhe/UM9UYzx/FH6ITr+XruW743XVu+E8fWbbLyrWnizoJ4Eq9WsftTs3f9RVFm&#10;GWUa0Wk0uP6fHb1+SHWHehgOkldlptNpcFLstqtKoAOB0ZSYpxdzFGZfwjC9Ay49uRMl1/OdOy+0&#10;kul8ZvmJH1jhzJlbjhvehVPHD/04uaR0XzL675Qu9BmBfsbNMc9LbmTxeyEHETTiM3tQ+KStGUN6&#10;8nSjasuzJ5hCgneTHm4mMAouvmPUwpSPsPy2J4JiVH1gMEZD1/f1tWAWfjDzYCHGnu3YQ1gKqSKs&#10;MJxfba5Ud5XsG1HuCqjkmnPD+C1Mv7zUU8rg61D1C5jkhkl/6+irYrw2Uee7cfkLAAD//wMAUEsD&#10;BBQABgAIAAAAIQDEaxlz3AAAAAUBAAAPAAAAZHJzL2Rvd25yZXYueG1sTI7BSsNAFEX3Qv9heAV3&#10;dsYIaY2ZFBEqiBttC8XdNPNMYjNv0sw0iX/vc6XLyz3ce/L15FoxYB8aTxpuFwoEUultQ5WG/W5z&#10;swIRoiFrWk+o4RsDrIvZVW4y60d6x2EbK8EjFDKjoY6xy6QMZY3OhIXvkLj79L0zkWNfSdubkcdd&#10;KxOlUulMQ/xQmw6faixP24vTkHZnNZzeqs3u9fk8Bvly+Np/3Gl9PZ8eH0BEnOIfDL/6rA4FOx39&#10;hWwQrYaEOQ3LJQguU3WfgjgypRKQRS7/2xc/AAAA//8DAFBLAQItABQABgAIAAAAIQC2gziS/gAA&#10;AOEBAAATAAAAAAAAAAAAAAAAAAAAAABbQ29udGVudF9UeXBlc10ueG1sUEsBAi0AFAAGAAgAAAAh&#10;ADj9If/WAAAAlAEAAAsAAAAAAAAAAAAAAAAALwEAAF9yZWxzLy5yZWxzUEsBAi0AFAAGAAgAAAAh&#10;AKw4dDg0AwAAYwcAAA4AAAAAAAAAAAAAAAAALgIAAGRycy9lMm9Eb2MueG1sUEsBAi0AFAAGAAgA&#10;AAAhAMRrGXPcAAAABQEAAA8AAAAAAAAAAAAAAAAAjgUAAGRycy9kb3ducmV2LnhtbFBLBQYAAAAA&#10;BAAEAPMAAACXBgAAAAA=&#10;" filled="f" stroked="f">
                <v:path arrowok="t" o:connecttype="custom" o:connectlocs="0,15875;3869690,0" o:connectangles="0,0"/>
              </v:polyline>
            </w:pict>
          </mc:Fallback>
        </mc:AlternateContent>
      </w:r>
      <w:bookmarkStart w:id="4" w:name="MKsSingleOrMulti1"/>
      <w:bookmarkEnd w:id="4"/>
      <w:r w:rsidR="002200A1">
        <w:rPr>
          <w:rFonts w:cs="David" w:hint="cs"/>
          <w:sz w:val="26"/>
          <w:szCs w:val="26"/>
          <w:rtl/>
        </w:rPr>
        <w:tab/>
      </w:r>
      <w:bookmarkStart w:id="5" w:name="MKs1"/>
      <w:bookmarkEnd w:id="5"/>
    </w:p>
    <w:p w:rsidR="00E13C27" w:rsidRPr="00AC73B6" w:rsidRDefault="0014195F" w:rsidP="00AC73B6">
      <w:pPr>
        <w:ind w:left="2919" w:firstLine="720"/>
        <w:rPr>
          <w:rFonts w:cs="David"/>
          <w:sz w:val="26"/>
          <w:szCs w:val="26"/>
          <w:rtl/>
        </w:rPr>
      </w:pPr>
      <w:r>
        <w:rPr>
          <w:rFonts w:cs="David"/>
          <w:noProof/>
          <w:sz w:val="26"/>
          <w:szCs w:val="26"/>
          <w:rtl/>
          <w:lang w:eastAsia="en-US"/>
        </w:rPr>
        <mc:AlternateContent>
          <mc:Choice Requires="wps">
            <w:drawing>
              <wp:anchor distT="0" distB="0" distL="114300" distR="114300" simplePos="0" relativeHeight="251657216" behindDoc="0" locked="0" layoutInCell="1" allowOverlap="1" wp14:anchorId="57C3771A" wp14:editId="00BD0E38">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E13C27">
        <w:rPr>
          <w:rFonts w:cs="David" w:hint="cs"/>
          <w:sz w:val="26"/>
          <w:szCs w:val="26"/>
          <w:rtl/>
        </w:rPr>
        <w:tab/>
      </w:r>
      <w:r w:rsidR="00E13C27">
        <w:rPr>
          <w:rFonts w:cs="David" w:hint="cs"/>
          <w:sz w:val="26"/>
          <w:szCs w:val="26"/>
          <w:rtl/>
        </w:rPr>
        <w:tab/>
      </w:r>
      <w:r w:rsidR="00E13C27">
        <w:rPr>
          <w:rFonts w:cs="David" w:hint="cs"/>
          <w:sz w:val="26"/>
          <w:szCs w:val="26"/>
          <w:rtl/>
        </w:rPr>
        <w:tab/>
      </w:r>
      <w:r w:rsidR="00E13C27">
        <w:rPr>
          <w:rFonts w:cs="David" w:hint="cs"/>
          <w:sz w:val="26"/>
          <w:szCs w:val="26"/>
          <w:rtl/>
        </w:rPr>
        <w:tab/>
      </w:r>
      <w:bookmarkStart w:id="6" w:name="LawNum"/>
      <w:r w:rsidR="00B802CB" w:rsidRPr="00B802CB">
        <w:rPr>
          <w:rFonts w:cs="David"/>
          <w:sz w:val="26"/>
          <w:szCs w:val="26"/>
          <w:rtl/>
        </w:rPr>
        <w:t>פ/1508/19</w:t>
      </w:r>
      <w:bookmarkEnd w:id="6"/>
      <w:r w:rsidR="00E13C27">
        <w:rPr>
          <w:rFonts w:cs="David" w:hint="cs"/>
          <w:sz w:val="26"/>
          <w:szCs w:val="26"/>
          <w:rtl/>
        </w:rPr>
        <w:tab/>
      </w:r>
      <w:r w:rsidR="00E13C27">
        <w:rPr>
          <w:rFonts w:cs="David" w:hint="cs"/>
          <w:sz w:val="26"/>
          <w:szCs w:val="26"/>
          <w:rtl/>
        </w:rPr>
        <w:tab/>
      </w:r>
      <w:r w:rsidR="00E13C27">
        <w:rPr>
          <w:rFonts w:cs="David" w:hint="cs"/>
          <w:sz w:val="26"/>
          <w:szCs w:val="26"/>
          <w:rtl/>
        </w:rPr>
        <w:tab/>
      </w:r>
    </w:p>
    <w:p w:rsidR="008A4C66" w:rsidRDefault="008A4C66" w:rsidP="008A4C66">
      <w:pPr>
        <w:pStyle w:val="HeadHatzaotHok"/>
        <w:spacing w:before="0" w:line="240" w:lineRule="auto"/>
        <w:rPr>
          <w:rFonts w:hint="cs"/>
          <w:rtl/>
        </w:rPr>
      </w:pPr>
      <w:bookmarkStart w:id="7" w:name="Title"/>
    </w:p>
    <w:p w:rsidR="00E13C27" w:rsidRDefault="00E92657" w:rsidP="008A4C66">
      <w:pPr>
        <w:pStyle w:val="HeadHatzaotHok"/>
        <w:spacing w:before="0" w:line="240" w:lineRule="auto"/>
        <w:rPr>
          <w:rFonts w:hint="cs"/>
          <w:rtl/>
        </w:rPr>
      </w:pPr>
      <w:r w:rsidRPr="00AC73B6">
        <w:rPr>
          <w:rtl/>
        </w:rPr>
        <w:t xml:space="preserve">הצעת חוק לעידוד מקצוע ההוראה, </w:t>
      </w:r>
      <w:proofErr w:type="spellStart"/>
      <w:r w:rsidRPr="00AC73B6">
        <w:rPr>
          <w:rtl/>
        </w:rPr>
        <w:t>התשע"ג</w:t>
      </w:r>
      <w:proofErr w:type="spellEnd"/>
      <w:r w:rsidR="00AC73B6" w:rsidRPr="00AC73B6">
        <w:rPr>
          <w:rFonts w:hint="cs"/>
          <w:rtl/>
        </w:rPr>
        <w:t>–</w:t>
      </w:r>
      <w:r w:rsidRPr="00AC73B6">
        <w:rPr>
          <w:rtl/>
        </w:rPr>
        <w:t xml:space="preserve">2013 </w:t>
      </w:r>
      <w:bookmarkEnd w:id="7"/>
    </w:p>
    <w:p w:rsidR="008A4C66" w:rsidRDefault="008A4C66" w:rsidP="008A4C66">
      <w:pPr>
        <w:pStyle w:val="HeadHatzaotHok"/>
        <w:spacing w:before="0" w:line="240" w:lineRule="auto"/>
        <w:rPr>
          <w:rtl/>
        </w:rPr>
      </w:pPr>
    </w:p>
    <w:tbl>
      <w:tblPr>
        <w:bidiVisual/>
        <w:tblW w:w="9645" w:type="dxa"/>
        <w:tblLayout w:type="fixed"/>
        <w:tblCellMar>
          <w:top w:w="57" w:type="dxa"/>
          <w:left w:w="0" w:type="dxa"/>
          <w:bottom w:w="57" w:type="dxa"/>
          <w:right w:w="0" w:type="dxa"/>
        </w:tblCellMar>
        <w:tblLook w:val="01E0" w:firstRow="1" w:lastRow="1" w:firstColumn="1" w:lastColumn="1" w:noHBand="0" w:noVBand="0"/>
      </w:tblPr>
      <w:tblGrid>
        <w:gridCol w:w="1873"/>
        <w:gridCol w:w="624"/>
        <w:gridCol w:w="7148"/>
      </w:tblGrid>
      <w:tr w:rsidR="00BB70A4" w:rsidTr="00BB70A4">
        <w:trPr>
          <w:cantSplit/>
          <w:trHeight w:val="60"/>
        </w:trPr>
        <w:tc>
          <w:tcPr>
            <w:tcW w:w="1873" w:type="dxa"/>
          </w:tcPr>
          <w:p w:rsidR="00BB70A4" w:rsidRDefault="00B46FA9">
            <w:pPr>
              <w:pStyle w:val="TableSideHeading"/>
              <w:keepLines w:val="0"/>
            </w:pPr>
            <w:r>
              <w:rPr>
                <w:rFonts w:hint="cs"/>
                <w:rtl/>
              </w:rPr>
              <w:t>הגדרות</w:t>
            </w:r>
          </w:p>
        </w:tc>
        <w:tc>
          <w:tcPr>
            <w:tcW w:w="624" w:type="dxa"/>
          </w:tcPr>
          <w:p w:rsidR="00BB70A4" w:rsidRDefault="002259B0">
            <w:pPr>
              <w:pStyle w:val="TableText"/>
              <w:keepLines w:val="0"/>
            </w:pPr>
            <w:r>
              <w:rPr>
                <w:rFonts w:hint="cs"/>
                <w:rtl/>
              </w:rPr>
              <w:t>1</w:t>
            </w:r>
            <w:r w:rsidR="00AC73B6">
              <w:rPr>
                <w:rFonts w:hint="cs"/>
                <w:rtl/>
              </w:rPr>
              <w:t>.</w:t>
            </w:r>
          </w:p>
        </w:tc>
        <w:tc>
          <w:tcPr>
            <w:tcW w:w="7148" w:type="dxa"/>
            <w:hideMark/>
          </w:tcPr>
          <w:p w:rsidR="00BB70A4" w:rsidRDefault="00B46FA9" w:rsidP="00D93D35">
            <w:pPr>
              <w:pStyle w:val="TableBlock"/>
              <w:keepLines w:val="0"/>
            </w:pPr>
            <w:r>
              <w:rPr>
                <w:rFonts w:hint="cs"/>
                <w:rtl/>
              </w:rPr>
              <w:t>בחוק זה –</w:t>
            </w:r>
          </w:p>
        </w:tc>
      </w:tr>
      <w:tr w:rsidR="00B46FA9" w:rsidTr="00BB70A4">
        <w:trPr>
          <w:cantSplit/>
          <w:trHeight w:val="60"/>
        </w:trPr>
        <w:tc>
          <w:tcPr>
            <w:tcW w:w="1873" w:type="dxa"/>
          </w:tcPr>
          <w:p w:rsidR="00B46FA9" w:rsidRDefault="00B46FA9">
            <w:pPr>
              <w:pStyle w:val="TableSideHeading"/>
              <w:keepLines w:val="0"/>
              <w:rPr>
                <w:rtl/>
              </w:rPr>
            </w:pPr>
          </w:p>
        </w:tc>
        <w:tc>
          <w:tcPr>
            <w:tcW w:w="624" w:type="dxa"/>
          </w:tcPr>
          <w:p w:rsidR="00B46FA9" w:rsidRPr="00B52BCF" w:rsidRDefault="00B46FA9" w:rsidP="00B46FA9">
            <w:pPr>
              <w:pStyle w:val="TableText"/>
              <w:rPr>
                <w:rtl/>
              </w:rPr>
            </w:pPr>
          </w:p>
        </w:tc>
        <w:tc>
          <w:tcPr>
            <w:tcW w:w="7148" w:type="dxa"/>
          </w:tcPr>
          <w:p w:rsidR="00B46FA9" w:rsidRPr="00283411" w:rsidRDefault="00B46FA9" w:rsidP="00283411">
            <w:pPr>
              <w:pStyle w:val="TableBlockOutdent"/>
              <w:rPr>
                <w:rtl/>
              </w:rPr>
            </w:pPr>
            <w:r w:rsidRPr="00283411">
              <w:rPr>
                <w:rFonts w:hint="cs"/>
                <w:rtl/>
              </w:rPr>
              <w:t xml:space="preserve">"ארגוני המורים" – </w:t>
            </w:r>
            <w:r w:rsidR="00B52BCF" w:rsidRPr="00283411">
              <w:rPr>
                <w:rFonts w:hint="cs"/>
                <w:rtl/>
              </w:rPr>
              <w:t>שני ארגוני עובדי הוראה שעם חבריהם נמנה המספר הרב ביותר של עובדי ההוראה המאוגדים בישראל</w:t>
            </w:r>
            <w:r w:rsidR="00267729" w:rsidRPr="00283411">
              <w:rPr>
                <w:rFonts w:hint="cs"/>
                <w:rtl/>
              </w:rPr>
              <w:t>;</w:t>
            </w:r>
          </w:p>
        </w:tc>
      </w:tr>
      <w:tr w:rsidR="00E67244" w:rsidTr="00BB70A4">
        <w:trPr>
          <w:cantSplit/>
          <w:trHeight w:val="60"/>
        </w:trPr>
        <w:tc>
          <w:tcPr>
            <w:tcW w:w="1873" w:type="dxa"/>
          </w:tcPr>
          <w:p w:rsidR="00E67244" w:rsidRDefault="00E67244">
            <w:pPr>
              <w:pStyle w:val="TableSideHeading"/>
              <w:keepLines w:val="0"/>
              <w:rPr>
                <w:rtl/>
              </w:rPr>
            </w:pPr>
          </w:p>
        </w:tc>
        <w:tc>
          <w:tcPr>
            <w:tcW w:w="624" w:type="dxa"/>
          </w:tcPr>
          <w:p w:rsidR="00E67244" w:rsidRPr="00B52BCF" w:rsidRDefault="00E67244" w:rsidP="00E67244">
            <w:pPr>
              <w:pStyle w:val="TableText"/>
              <w:rPr>
                <w:rtl/>
              </w:rPr>
            </w:pPr>
          </w:p>
        </w:tc>
        <w:tc>
          <w:tcPr>
            <w:tcW w:w="7148" w:type="dxa"/>
          </w:tcPr>
          <w:p w:rsidR="00E67244" w:rsidRPr="00283411" w:rsidRDefault="00E67244" w:rsidP="00283411">
            <w:pPr>
              <w:pStyle w:val="TableBlockOutdent"/>
              <w:rPr>
                <w:rtl/>
              </w:rPr>
            </w:pPr>
            <w:r w:rsidRPr="00283411">
              <w:rPr>
                <w:rFonts w:hint="cs"/>
                <w:rtl/>
              </w:rPr>
              <w:t>"הוועדה" – ועדת החינוך, התרבות והספורט של הכנסת;</w:t>
            </w:r>
          </w:p>
        </w:tc>
      </w:tr>
      <w:tr w:rsidR="00B46FA9" w:rsidTr="00BB70A4">
        <w:trPr>
          <w:cantSplit/>
          <w:trHeight w:val="60"/>
        </w:trPr>
        <w:tc>
          <w:tcPr>
            <w:tcW w:w="1873" w:type="dxa"/>
          </w:tcPr>
          <w:p w:rsidR="00B46FA9" w:rsidRDefault="00B46FA9">
            <w:pPr>
              <w:pStyle w:val="TableSideHeading"/>
              <w:keepLines w:val="0"/>
              <w:rPr>
                <w:rtl/>
              </w:rPr>
            </w:pPr>
          </w:p>
        </w:tc>
        <w:tc>
          <w:tcPr>
            <w:tcW w:w="624" w:type="dxa"/>
          </w:tcPr>
          <w:p w:rsidR="00B46FA9" w:rsidRDefault="00B46FA9" w:rsidP="00B46FA9">
            <w:pPr>
              <w:pStyle w:val="TableText"/>
              <w:rPr>
                <w:rtl/>
              </w:rPr>
            </w:pPr>
          </w:p>
        </w:tc>
        <w:tc>
          <w:tcPr>
            <w:tcW w:w="7148" w:type="dxa"/>
          </w:tcPr>
          <w:p w:rsidR="00B46FA9" w:rsidRPr="00283411" w:rsidRDefault="00B46FA9" w:rsidP="00283411">
            <w:pPr>
              <w:pStyle w:val="TableBlockOutdent"/>
              <w:rPr>
                <w:rtl/>
              </w:rPr>
            </w:pPr>
            <w:r w:rsidRPr="00283411">
              <w:rPr>
                <w:rFonts w:hint="cs"/>
                <w:rtl/>
              </w:rPr>
              <w:t>"המשרד" –</w:t>
            </w:r>
            <w:r w:rsidRPr="00283411">
              <w:t xml:space="preserve"> </w:t>
            </w:r>
            <w:r w:rsidRPr="00283411">
              <w:rPr>
                <w:rFonts w:hint="cs"/>
                <w:rtl/>
              </w:rPr>
              <w:t>משרד החינוך;</w:t>
            </w:r>
          </w:p>
        </w:tc>
      </w:tr>
      <w:tr w:rsidR="00B46FA9" w:rsidTr="00BB70A4">
        <w:trPr>
          <w:cantSplit/>
          <w:trHeight w:val="60"/>
        </w:trPr>
        <w:tc>
          <w:tcPr>
            <w:tcW w:w="1873" w:type="dxa"/>
          </w:tcPr>
          <w:p w:rsidR="00B46FA9" w:rsidRDefault="00B46FA9">
            <w:pPr>
              <w:pStyle w:val="TableSideHeading"/>
              <w:keepLines w:val="0"/>
              <w:rPr>
                <w:rtl/>
              </w:rPr>
            </w:pPr>
          </w:p>
        </w:tc>
        <w:tc>
          <w:tcPr>
            <w:tcW w:w="624" w:type="dxa"/>
          </w:tcPr>
          <w:p w:rsidR="00B46FA9" w:rsidRDefault="00B46FA9" w:rsidP="00B46FA9">
            <w:pPr>
              <w:pStyle w:val="TableText"/>
              <w:rPr>
                <w:rtl/>
              </w:rPr>
            </w:pPr>
          </w:p>
        </w:tc>
        <w:tc>
          <w:tcPr>
            <w:tcW w:w="7148" w:type="dxa"/>
          </w:tcPr>
          <w:p w:rsidR="00B46FA9" w:rsidRPr="00283411" w:rsidRDefault="00B46FA9" w:rsidP="00283411">
            <w:pPr>
              <w:pStyle w:val="TableBlockOutdent"/>
            </w:pPr>
            <w:r w:rsidRPr="00283411">
              <w:rPr>
                <w:rFonts w:hint="cs"/>
                <w:rtl/>
              </w:rPr>
              <w:t xml:space="preserve">"מורה" – מי שעיקר עיסוקו הוא בהוראה או בחינוך במוסד </w:t>
            </w:r>
            <w:r w:rsidR="00B52BCF" w:rsidRPr="00283411">
              <w:rPr>
                <w:rFonts w:hint="cs"/>
                <w:rtl/>
              </w:rPr>
              <w:t>חינוך</w:t>
            </w:r>
            <w:r w:rsidR="00E67244" w:rsidRPr="00283411">
              <w:rPr>
                <w:rFonts w:hint="cs"/>
                <w:rtl/>
              </w:rPr>
              <w:t>;</w:t>
            </w:r>
          </w:p>
        </w:tc>
      </w:tr>
      <w:tr w:rsidR="00BB70A4" w:rsidTr="00BB70A4">
        <w:trPr>
          <w:cantSplit/>
          <w:trHeight w:val="60"/>
        </w:trPr>
        <w:tc>
          <w:tcPr>
            <w:tcW w:w="1873" w:type="dxa"/>
          </w:tcPr>
          <w:p w:rsidR="00BB70A4" w:rsidRDefault="00BB70A4">
            <w:pPr>
              <w:pStyle w:val="TableSideHeading"/>
              <w:keepLines w:val="0"/>
            </w:pPr>
          </w:p>
        </w:tc>
        <w:tc>
          <w:tcPr>
            <w:tcW w:w="624" w:type="dxa"/>
          </w:tcPr>
          <w:p w:rsidR="00BB70A4" w:rsidRDefault="00BB70A4">
            <w:pPr>
              <w:pStyle w:val="TableText"/>
              <w:keepLines w:val="0"/>
            </w:pPr>
          </w:p>
        </w:tc>
        <w:tc>
          <w:tcPr>
            <w:tcW w:w="7148" w:type="dxa"/>
            <w:hideMark/>
          </w:tcPr>
          <w:p w:rsidR="00BB70A4" w:rsidRPr="00283411" w:rsidRDefault="00BB70A4" w:rsidP="00283411">
            <w:pPr>
              <w:pStyle w:val="TableBlockOutdent"/>
            </w:pPr>
            <w:r w:rsidRPr="00283411">
              <w:rPr>
                <w:rFonts w:hint="cs"/>
                <w:rtl/>
              </w:rPr>
              <w:t>"השר" – שר החינוך.</w:t>
            </w:r>
          </w:p>
        </w:tc>
      </w:tr>
      <w:tr w:rsidR="00BB70A4" w:rsidTr="00BB70A4">
        <w:trPr>
          <w:cantSplit/>
          <w:trHeight w:val="60"/>
        </w:trPr>
        <w:tc>
          <w:tcPr>
            <w:tcW w:w="1873" w:type="dxa"/>
            <w:hideMark/>
          </w:tcPr>
          <w:p w:rsidR="00BB70A4" w:rsidRDefault="00BB70A4">
            <w:pPr>
              <w:pStyle w:val="TableSideHeading"/>
              <w:keepLines w:val="0"/>
            </w:pPr>
            <w:r>
              <w:rPr>
                <w:rFonts w:hint="cs"/>
                <w:rtl/>
              </w:rPr>
              <w:t>עידוד מועמד להוראה</w:t>
            </w:r>
          </w:p>
        </w:tc>
        <w:tc>
          <w:tcPr>
            <w:tcW w:w="624" w:type="dxa"/>
            <w:hideMark/>
          </w:tcPr>
          <w:p w:rsidR="00BB70A4" w:rsidRDefault="002259B0">
            <w:pPr>
              <w:pStyle w:val="TableText"/>
              <w:keepLines w:val="0"/>
            </w:pPr>
            <w:r>
              <w:rPr>
                <w:rFonts w:hint="cs"/>
                <w:rtl/>
              </w:rPr>
              <w:t>2</w:t>
            </w:r>
            <w:r w:rsidR="00BB70A4">
              <w:rPr>
                <w:rFonts w:hint="cs"/>
                <w:rtl/>
              </w:rPr>
              <w:t>.</w:t>
            </w:r>
          </w:p>
        </w:tc>
        <w:tc>
          <w:tcPr>
            <w:tcW w:w="7148" w:type="dxa"/>
            <w:hideMark/>
          </w:tcPr>
          <w:p w:rsidR="00BB70A4" w:rsidRDefault="00BB70A4" w:rsidP="00B52BCF">
            <w:pPr>
              <w:pStyle w:val="TableBlock"/>
              <w:keepLines w:val="0"/>
            </w:pPr>
            <w:r>
              <w:rPr>
                <w:rFonts w:hint="cs"/>
                <w:rtl/>
              </w:rPr>
              <w:t xml:space="preserve">השר, באישור הוועדה, </w:t>
            </w:r>
            <w:r w:rsidR="00E140C6">
              <w:rPr>
                <w:rFonts w:hint="cs"/>
                <w:rtl/>
              </w:rPr>
              <w:t xml:space="preserve">יקבע </w:t>
            </w:r>
            <w:r>
              <w:rPr>
                <w:rFonts w:hint="cs"/>
                <w:rtl/>
              </w:rPr>
              <w:t>תכניות הכשרה מיוחדות למועמדים לעסוק במקצוע ההוראה</w:t>
            </w:r>
            <w:r w:rsidR="00267729">
              <w:rPr>
                <w:rFonts w:hint="cs"/>
                <w:rtl/>
              </w:rPr>
              <w:t>,</w:t>
            </w:r>
            <w:r>
              <w:rPr>
                <w:rFonts w:hint="cs"/>
                <w:rtl/>
              </w:rPr>
              <w:t xml:space="preserve"> </w:t>
            </w:r>
            <w:r w:rsidR="00B52BCF">
              <w:rPr>
                <w:rFonts w:hint="cs"/>
                <w:rtl/>
              </w:rPr>
              <w:t xml:space="preserve">שהם </w:t>
            </w:r>
            <w:r>
              <w:rPr>
                <w:rFonts w:hint="cs"/>
                <w:rtl/>
              </w:rPr>
              <w:t>בעלי יכול</w:t>
            </w:r>
            <w:r w:rsidR="00E140C6">
              <w:rPr>
                <w:rFonts w:hint="cs"/>
                <w:rtl/>
              </w:rPr>
              <w:t>ו</w:t>
            </w:r>
            <w:r w:rsidR="00B46FA9">
              <w:rPr>
                <w:rFonts w:hint="cs"/>
                <w:rtl/>
              </w:rPr>
              <w:t xml:space="preserve">ת ונתונים גבוהים; בוגרי התכניות </w:t>
            </w:r>
            <w:r>
              <w:rPr>
                <w:rFonts w:hint="cs"/>
                <w:rtl/>
              </w:rPr>
              <w:t>ישולבו בהוראה ובפרויקטים ייחודיים נלווים, בעלי גמול מיוחד בצדם, כפי שיקבע השר</w:t>
            </w:r>
            <w:r w:rsidR="00B52BCF">
              <w:rPr>
                <w:rFonts w:hint="cs"/>
                <w:rtl/>
              </w:rPr>
              <w:t>;</w:t>
            </w:r>
            <w:r w:rsidR="00D93D35">
              <w:rPr>
                <w:rFonts w:hint="cs"/>
                <w:rtl/>
              </w:rPr>
              <w:t xml:space="preserve"> </w:t>
            </w:r>
            <w:r w:rsidR="00B46FA9">
              <w:rPr>
                <w:rFonts w:hint="cs"/>
                <w:rtl/>
              </w:rPr>
              <w:t xml:space="preserve">השר יקבע את </w:t>
            </w:r>
            <w:r w:rsidR="00B52BCF">
              <w:rPr>
                <w:rFonts w:hint="cs"/>
                <w:rtl/>
              </w:rPr>
              <w:t>אמות המידה</w:t>
            </w:r>
            <w:r w:rsidR="00B46FA9">
              <w:rPr>
                <w:rFonts w:hint="cs"/>
                <w:rtl/>
              </w:rPr>
              <w:t xml:space="preserve"> לקבלה לתוכניות </w:t>
            </w:r>
            <w:r w:rsidR="00B52BCF">
              <w:rPr>
                <w:rFonts w:hint="cs"/>
                <w:rtl/>
              </w:rPr>
              <w:t>ה</w:t>
            </w:r>
            <w:r w:rsidR="00B46FA9">
              <w:rPr>
                <w:rFonts w:hint="cs"/>
                <w:rtl/>
              </w:rPr>
              <w:t xml:space="preserve">הכשרה למועמדים. </w:t>
            </w:r>
          </w:p>
        </w:tc>
      </w:tr>
      <w:tr w:rsidR="00BB70A4" w:rsidTr="00BB70A4">
        <w:trPr>
          <w:cantSplit/>
          <w:trHeight w:val="60"/>
        </w:trPr>
        <w:tc>
          <w:tcPr>
            <w:tcW w:w="1873" w:type="dxa"/>
            <w:hideMark/>
          </w:tcPr>
          <w:p w:rsidR="00BB70A4" w:rsidRDefault="00BB70A4">
            <w:pPr>
              <w:pStyle w:val="TableSideHeading"/>
              <w:keepLines w:val="0"/>
            </w:pPr>
            <w:r>
              <w:rPr>
                <w:rFonts w:hint="cs"/>
                <w:rtl/>
              </w:rPr>
              <w:t>עידוד עובדי הוראה במקצועות מסוימים</w:t>
            </w:r>
          </w:p>
        </w:tc>
        <w:tc>
          <w:tcPr>
            <w:tcW w:w="624" w:type="dxa"/>
            <w:hideMark/>
          </w:tcPr>
          <w:p w:rsidR="00BB70A4" w:rsidRDefault="002259B0">
            <w:pPr>
              <w:pStyle w:val="TableText"/>
              <w:keepLines w:val="0"/>
            </w:pPr>
            <w:r>
              <w:rPr>
                <w:rFonts w:hint="cs"/>
                <w:rtl/>
              </w:rPr>
              <w:t>3</w:t>
            </w:r>
            <w:r w:rsidR="00BB70A4">
              <w:rPr>
                <w:rFonts w:hint="cs"/>
                <w:rtl/>
              </w:rPr>
              <w:t>.</w:t>
            </w:r>
          </w:p>
        </w:tc>
        <w:tc>
          <w:tcPr>
            <w:tcW w:w="7148" w:type="dxa"/>
            <w:hideMark/>
          </w:tcPr>
          <w:p w:rsidR="00BB70A4" w:rsidRDefault="00BB70A4" w:rsidP="00B52BCF">
            <w:pPr>
              <w:pStyle w:val="TableBlock"/>
              <w:keepLines w:val="0"/>
            </w:pPr>
            <w:r>
              <w:rPr>
                <w:rFonts w:hint="cs"/>
                <w:rtl/>
              </w:rPr>
              <w:t>השר, באישור הוועדה, יקבע מתן גמול מיוחד למורים המלמדים מקצועות שי</w:t>
            </w:r>
            <w:r w:rsidR="006E0EA4">
              <w:rPr>
                <w:rFonts w:hint="cs"/>
                <w:rtl/>
              </w:rPr>
              <w:t>י</w:t>
            </w:r>
            <w:r>
              <w:rPr>
                <w:rFonts w:hint="cs"/>
                <w:rtl/>
              </w:rPr>
              <w:t>קבעו כמקצועות בעלי עדיפות; בסעיף זה "מקצועות בעלי עדיפות" – אנגלית, מתמטיקה ומדעים מדויקים.</w:t>
            </w:r>
          </w:p>
        </w:tc>
      </w:tr>
      <w:tr w:rsidR="00BB70A4" w:rsidTr="00BB70A4">
        <w:trPr>
          <w:cantSplit/>
          <w:trHeight w:val="60"/>
        </w:trPr>
        <w:tc>
          <w:tcPr>
            <w:tcW w:w="1873" w:type="dxa"/>
            <w:hideMark/>
          </w:tcPr>
          <w:p w:rsidR="00BB70A4" w:rsidRDefault="00BB70A4">
            <w:pPr>
              <w:pStyle w:val="TableSideHeading"/>
              <w:keepLines w:val="0"/>
            </w:pPr>
            <w:r>
              <w:rPr>
                <w:rFonts w:hint="cs"/>
                <w:rtl/>
              </w:rPr>
              <w:lastRenderedPageBreak/>
              <w:t>הזכות להטבות באזורי עדיפות</w:t>
            </w:r>
          </w:p>
        </w:tc>
        <w:tc>
          <w:tcPr>
            <w:tcW w:w="624" w:type="dxa"/>
            <w:hideMark/>
          </w:tcPr>
          <w:p w:rsidR="00BB70A4" w:rsidRDefault="002259B0">
            <w:pPr>
              <w:pStyle w:val="TableText"/>
              <w:keepLines w:val="0"/>
            </w:pPr>
            <w:r>
              <w:rPr>
                <w:rFonts w:hint="cs"/>
                <w:rtl/>
              </w:rPr>
              <w:t>4</w:t>
            </w:r>
            <w:r w:rsidR="00BB70A4">
              <w:rPr>
                <w:rFonts w:hint="cs"/>
                <w:rtl/>
              </w:rPr>
              <w:t>.</w:t>
            </w:r>
          </w:p>
        </w:tc>
        <w:tc>
          <w:tcPr>
            <w:tcW w:w="7148" w:type="dxa"/>
            <w:hideMark/>
          </w:tcPr>
          <w:p w:rsidR="00BB70A4" w:rsidRDefault="00BB70A4">
            <w:pPr>
              <w:pStyle w:val="TableBlock"/>
              <w:keepLines w:val="0"/>
            </w:pPr>
            <w:r>
              <w:rPr>
                <w:rFonts w:hint="cs"/>
                <w:rtl/>
              </w:rPr>
              <w:t>השר, באישור הוועדה, יקבע הטבות, לרבות באמצעות גמול מיוחד, למורים המלמדים באזורים או ביישובים שיקבע כאזורי עדיפות (בסעיף זה – אזורי עדיפות); אזורי עדיפות כאמור ייקבעו לפי אמות מידה אלו: חוסנם הכלכלי והחברתי ורמת השירותים בהם והצורך בצמצום פערים בינם ובין אזורים או יישובים אחרים, מיקומם הגיאוגרפי, ריחוקם מריכוזי אוכלוסייה וממרכז הארץ, מצבם הביטחוני ושיקולים נוספים המצדיקים עידוד פיתוחם או קידומם.</w:t>
            </w:r>
          </w:p>
        </w:tc>
      </w:tr>
      <w:tr w:rsidR="00283411" w:rsidTr="00F06665">
        <w:trPr>
          <w:cantSplit/>
          <w:trHeight w:val="60"/>
        </w:trPr>
        <w:tc>
          <w:tcPr>
            <w:tcW w:w="1873" w:type="dxa"/>
            <w:hideMark/>
          </w:tcPr>
          <w:p w:rsidR="00283411" w:rsidRDefault="00283411">
            <w:pPr>
              <w:pStyle w:val="TableSideHeading"/>
              <w:keepLines w:val="0"/>
            </w:pPr>
            <w:r>
              <w:rPr>
                <w:rFonts w:hint="cs"/>
                <w:rtl/>
              </w:rPr>
              <w:t>ביצוע ותקנות</w:t>
            </w:r>
          </w:p>
        </w:tc>
        <w:tc>
          <w:tcPr>
            <w:tcW w:w="624" w:type="dxa"/>
            <w:hideMark/>
          </w:tcPr>
          <w:p w:rsidR="00283411" w:rsidRDefault="00283411">
            <w:pPr>
              <w:pStyle w:val="TableText"/>
              <w:keepLines w:val="0"/>
            </w:pPr>
            <w:r>
              <w:rPr>
                <w:rFonts w:hint="cs"/>
                <w:rtl/>
              </w:rPr>
              <w:t>5.</w:t>
            </w:r>
          </w:p>
        </w:tc>
        <w:tc>
          <w:tcPr>
            <w:tcW w:w="7148" w:type="dxa"/>
            <w:hideMark/>
          </w:tcPr>
          <w:p w:rsidR="00283411" w:rsidRDefault="00283411" w:rsidP="00283411">
            <w:pPr>
              <w:pStyle w:val="TableBlock"/>
              <w:keepLines w:val="0"/>
            </w:pPr>
            <w:r>
              <w:rPr>
                <w:rFonts w:hint="cs"/>
                <w:rtl/>
              </w:rPr>
              <w:t>(א)</w:t>
            </w:r>
            <w:r>
              <w:rPr>
                <w:rtl/>
              </w:rPr>
              <w:tab/>
            </w:r>
            <w:r>
              <w:rPr>
                <w:rFonts w:hint="cs"/>
                <w:rtl/>
              </w:rPr>
              <w:t>השר ממונה על ביצוע חוק זה והוא יתקין, בהתייעצות עם ארגוני המורים ובאישור הוועדה, תקנות לביצועו.</w:t>
            </w:r>
          </w:p>
        </w:tc>
      </w:tr>
      <w:tr w:rsidR="00283411" w:rsidTr="00B83D9A">
        <w:trPr>
          <w:cantSplit/>
          <w:trHeight w:val="60"/>
        </w:trPr>
        <w:tc>
          <w:tcPr>
            <w:tcW w:w="1873" w:type="dxa"/>
          </w:tcPr>
          <w:p w:rsidR="00283411" w:rsidRDefault="00283411">
            <w:pPr>
              <w:pStyle w:val="TableSideHeading"/>
              <w:keepLines w:val="0"/>
            </w:pPr>
          </w:p>
        </w:tc>
        <w:tc>
          <w:tcPr>
            <w:tcW w:w="624" w:type="dxa"/>
          </w:tcPr>
          <w:p w:rsidR="00283411" w:rsidRDefault="00283411">
            <w:pPr>
              <w:pStyle w:val="TableText"/>
              <w:keepLines w:val="0"/>
            </w:pPr>
          </w:p>
        </w:tc>
        <w:tc>
          <w:tcPr>
            <w:tcW w:w="7148" w:type="dxa"/>
            <w:hideMark/>
          </w:tcPr>
          <w:p w:rsidR="00283411" w:rsidRDefault="00283411" w:rsidP="00283411">
            <w:pPr>
              <w:pStyle w:val="TableBlock"/>
              <w:keepLines w:val="0"/>
            </w:pPr>
            <w:r>
              <w:rPr>
                <w:rFonts w:hint="cs"/>
                <w:rtl/>
              </w:rPr>
              <w:t>(ב)</w:t>
            </w:r>
            <w:r>
              <w:rPr>
                <w:rtl/>
              </w:rPr>
              <w:tab/>
            </w:r>
            <w:r>
              <w:rPr>
                <w:rFonts w:hint="cs"/>
                <w:rtl/>
              </w:rPr>
              <w:t xml:space="preserve">תקנות ראשונות לפי חוק זה יובאו לאישור הוועדה </w:t>
            </w:r>
            <w:r w:rsidRPr="006E0EA4">
              <w:rPr>
                <w:rFonts w:hint="cs"/>
                <w:rtl/>
              </w:rPr>
              <w:t>בתוך שלושה חודשים מיום פרסומו.</w:t>
            </w:r>
          </w:p>
        </w:tc>
      </w:tr>
      <w:tr w:rsidR="00BB70A4" w:rsidTr="00BB70A4">
        <w:trPr>
          <w:cantSplit/>
          <w:trHeight w:val="60"/>
        </w:trPr>
        <w:tc>
          <w:tcPr>
            <w:tcW w:w="1873" w:type="dxa"/>
            <w:hideMark/>
          </w:tcPr>
          <w:p w:rsidR="00BB70A4" w:rsidRDefault="00BB70A4">
            <w:pPr>
              <w:pStyle w:val="TableSideHeading"/>
              <w:keepLines w:val="0"/>
            </w:pPr>
            <w:r>
              <w:rPr>
                <w:rFonts w:hint="cs"/>
                <w:rtl/>
              </w:rPr>
              <w:t>תחילה</w:t>
            </w:r>
          </w:p>
        </w:tc>
        <w:tc>
          <w:tcPr>
            <w:tcW w:w="624" w:type="dxa"/>
            <w:hideMark/>
          </w:tcPr>
          <w:p w:rsidR="00BB70A4" w:rsidRDefault="002259B0">
            <w:pPr>
              <w:pStyle w:val="TableText"/>
              <w:keepLines w:val="0"/>
            </w:pPr>
            <w:r>
              <w:rPr>
                <w:rFonts w:hint="cs"/>
                <w:rtl/>
              </w:rPr>
              <w:t>6</w:t>
            </w:r>
            <w:r w:rsidR="00800248">
              <w:rPr>
                <w:rFonts w:hint="cs"/>
                <w:rtl/>
              </w:rPr>
              <w:t>.</w:t>
            </w:r>
          </w:p>
        </w:tc>
        <w:tc>
          <w:tcPr>
            <w:tcW w:w="7148" w:type="dxa"/>
            <w:hideMark/>
          </w:tcPr>
          <w:p w:rsidR="00BB70A4" w:rsidRDefault="00BB70A4">
            <w:pPr>
              <w:pStyle w:val="TableBlock"/>
              <w:keepLines w:val="0"/>
            </w:pPr>
            <w:r>
              <w:rPr>
                <w:rFonts w:hint="cs"/>
                <w:rtl/>
              </w:rPr>
              <w:t xml:space="preserve">תחילתו של חוק </w:t>
            </w:r>
            <w:r w:rsidRPr="006E0EA4">
              <w:rPr>
                <w:rFonts w:hint="cs"/>
                <w:rtl/>
              </w:rPr>
              <w:t>זה ארבעה חודשים</w:t>
            </w:r>
            <w:r>
              <w:rPr>
                <w:rFonts w:hint="cs"/>
                <w:rtl/>
              </w:rPr>
              <w:t xml:space="preserve"> מיום פרסומו.</w:t>
            </w:r>
          </w:p>
        </w:tc>
      </w:tr>
    </w:tbl>
    <w:p w:rsidR="006E0EA4" w:rsidRDefault="006E0EA4" w:rsidP="00E13C27">
      <w:pPr>
        <w:pStyle w:val="HeadDivreiHesber"/>
        <w:spacing w:before="0" w:after="0"/>
        <w:rPr>
          <w:rtl/>
        </w:rPr>
      </w:pPr>
    </w:p>
    <w:p w:rsidR="00E13C27" w:rsidRDefault="00E13C27" w:rsidP="008A4C66">
      <w:pPr>
        <w:pStyle w:val="HeadDivreiHesber"/>
        <w:spacing w:before="0" w:after="0" w:line="240" w:lineRule="auto"/>
        <w:rPr>
          <w:rtl/>
        </w:rPr>
      </w:pPr>
      <w:r>
        <w:rPr>
          <w:rFonts w:hint="cs"/>
          <w:rtl/>
        </w:rPr>
        <w:t>דברי הסבר</w:t>
      </w:r>
    </w:p>
    <w:p w:rsidR="00E67244" w:rsidRDefault="00E67244" w:rsidP="008A4C66">
      <w:pPr>
        <w:pStyle w:val="HeadDivreiHesber"/>
        <w:spacing w:before="0" w:after="0" w:line="240" w:lineRule="auto"/>
        <w:rPr>
          <w:rtl/>
        </w:rPr>
      </w:pPr>
    </w:p>
    <w:p w:rsidR="00BB70A4" w:rsidRPr="00E67244" w:rsidRDefault="00BB70A4" w:rsidP="00E67244">
      <w:pPr>
        <w:pStyle w:val="Hesber"/>
        <w:rPr>
          <w:rtl/>
        </w:rPr>
      </w:pPr>
      <w:r w:rsidRPr="00E67244">
        <w:rPr>
          <w:rFonts w:hint="cs"/>
          <w:rtl/>
        </w:rPr>
        <w:t xml:space="preserve">למקצוע ההוראה חשיבות עצומה בקידום החברה. תפקידו </w:t>
      </w:r>
      <w:bookmarkStart w:id="8" w:name="_GoBack"/>
      <w:bookmarkEnd w:id="8"/>
      <w:r w:rsidRPr="00E67244">
        <w:rPr>
          <w:rFonts w:hint="cs"/>
          <w:rtl/>
        </w:rPr>
        <w:t>של מורה איננו מסתיים בלימוד החומר ובתחומי הידע, אלא מורחב להנחלת ערכי היסוד לדור ההמשך. מעמדו של מורה מאפשר לו להשפיע על התפתחותם של התלמידים, על עיצוב דעותיהם ועמדותיהם בנושאים עקרוניים, ולתרום לפיתוח הפוטנציאל של כל תלמיד ותלמיד. לכן למורה תפקיד מכריע בעיצוב פני החברה, המדינה והדורות הבאים.</w:t>
      </w:r>
    </w:p>
    <w:p w:rsidR="00BB70A4" w:rsidRPr="00E67244" w:rsidRDefault="00BB70A4" w:rsidP="00267729">
      <w:pPr>
        <w:pStyle w:val="Hesber"/>
        <w:rPr>
          <w:rtl/>
        </w:rPr>
      </w:pPr>
      <w:r w:rsidRPr="00E67244">
        <w:rPr>
          <w:rFonts w:hint="cs"/>
          <w:rtl/>
        </w:rPr>
        <w:t>מוצע להסמיך את שר החינוך לקבוע הוראות לעניין עידוד מועמדים צעירים לעסוק במקצוע ההוראה, קרי, מורים לעתיד, בעלי פוטנציאל ונתונים התחלתיים גבוהים במיוחד כדי להגיע למקצוע ההוראה. על מנת לאתר מועמדים ראויים, ניתן להסתמך על ממוצע ציוני בחינות הבגרות של מועמד (לא פחות מ-10.5) וציון פסיכומטרי גבוה (מעל 650), כמו כן מועמדים עם ניסיון והצטיינות בהדרכה, בהובלה ובמנהיגות במסגרות חברתיות, צבאיות, שירות לאומי או אחר. מועמדים אלה יוכשרו בתהליך מ</w:t>
      </w:r>
      <w:r w:rsidR="00267729">
        <w:rPr>
          <w:rFonts w:hint="cs"/>
          <w:rtl/>
        </w:rPr>
        <w:t>יוחד</w:t>
      </w:r>
      <w:r w:rsidRPr="00E67244">
        <w:rPr>
          <w:rFonts w:hint="cs"/>
          <w:rtl/>
        </w:rPr>
        <w:t>, אשר יכלול לימודים אקדמיים ברמה גבוהה (תואר שני) בצד לימודים לתעודת הוראה, שבסופו ישולבו המועמדים במערכת החינוכית בתכניות אליהם הוכשרו.</w:t>
      </w:r>
    </w:p>
    <w:p w:rsidR="00BB70A4" w:rsidRPr="00E67244" w:rsidRDefault="00BB70A4" w:rsidP="00E67244">
      <w:pPr>
        <w:pStyle w:val="Hesber"/>
        <w:rPr>
          <w:rtl/>
        </w:rPr>
      </w:pPr>
      <w:r w:rsidRPr="00E67244">
        <w:rPr>
          <w:rFonts w:hint="cs"/>
          <w:rtl/>
        </w:rPr>
        <w:t xml:space="preserve">כמו כן, מוצע לקבוע גמול מיוחד למורים המלמדים מקצועות בעלי עדיפות </w:t>
      </w:r>
      <w:r w:rsidRPr="00E67244">
        <w:rPr>
          <w:rtl/>
        </w:rPr>
        <w:t>–</w:t>
      </w:r>
      <w:r w:rsidRPr="00E67244">
        <w:rPr>
          <w:rFonts w:hint="cs"/>
          <w:rtl/>
        </w:rPr>
        <w:t xml:space="preserve"> קרי, מקצועות עליהם יש לשים דגש מיוחד. כך, למשל, בתקופה האחרונה, מקצועות אנגלית, מתמטיקה ומדעים מדויקים סובלים ממחסור בכוח הוראה מקצועי ואיכותי. לפיכך מוצע כי שר החינוך יקבע גמול מיוחד לעידוד הוראה מקצועית ואיכותית במקצועות אלה.</w:t>
      </w:r>
    </w:p>
    <w:p w:rsidR="00BB70A4" w:rsidRPr="00E67244" w:rsidRDefault="00E4068E" w:rsidP="00E67244">
      <w:pPr>
        <w:pStyle w:val="Hesber"/>
        <w:rPr>
          <w:rtl/>
        </w:rPr>
      </w:pPr>
      <w:r>
        <w:rPr>
          <w:rFonts w:hint="cs"/>
          <w:rtl/>
        </w:rPr>
        <w:t xml:space="preserve">כמו </w:t>
      </w:r>
      <w:r w:rsidR="00BB70A4" w:rsidRPr="00E67244">
        <w:rPr>
          <w:rFonts w:hint="cs"/>
          <w:rtl/>
        </w:rPr>
        <w:t xml:space="preserve">כן, מוצע לקבוע הטבות למורים המלמדים באזורי עדיפות. אזורי העדיפות ייקבעו לפי אמות מידה כמוצע. </w:t>
      </w:r>
    </w:p>
    <w:p w:rsidR="00283411" w:rsidRDefault="00283411" w:rsidP="008A4C66">
      <w:pPr>
        <w:spacing w:before="0"/>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w:t>
      </w:r>
    </w:p>
    <w:p w:rsidR="00283411" w:rsidRDefault="00283411" w:rsidP="008A4C66">
      <w:pPr>
        <w:spacing w:before="0"/>
        <w:ind w:left="340"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הוגשה ליו"ר הכנסת והסגנים</w:t>
      </w:r>
    </w:p>
    <w:p w:rsidR="00283411" w:rsidRDefault="00283411" w:rsidP="008A4C66">
      <w:pPr>
        <w:spacing w:before="0"/>
        <w:ind w:left="340"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והונחה על שולחן הכנסת ביום</w:t>
      </w:r>
    </w:p>
    <w:p w:rsidR="00E13C27" w:rsidRDefault="00283411" w:rsidP="008A4C66">
      <w:pPr>
        <w:spacing w:before="0"/>
        <w:ind w:left="340" w:firstLine="0"/>
        <w:rPr>
          <w:rtl/>
        </w:rPr>
      </w:pPr>
      <w:r>
        <w:rPr>
          <w:rFonts w:ascii="Arial" w:eastAsia="Arial Unicode MS" w:hAnsi="Arial" w:cs="David" w:hint="cs"/>
          <w:snapToGrid w:val="0"/>
          <w:spacing w:val="0"/>
          <w:sz w:val="20"/>
          <w:szCs w:val="26"/>
          <w:rtl/>
        </w:rPr>
        <w:t xml:space="preserve">ח' באב </w:t>
      </w:r>
      <w:proofErr w:type="spellStart"/>
      <w:r>
        <w:rPr>
          <w:rFonts w:ascii="Arial" w:eastAsia="Arial Unicode MS" w:hAnsi="Arial" w:cs="David" w:hint="cs"/>
          <w:snapToGrid w:val="0"/>
          <w:spacing w:val="0"/>
          <w:sz w:val="20"/>
          <w:szCs w:val="26"/>
          <w:rtl/>
        </w:rPr>
        <w:t>התשע"ג</w:t>
      </w:r>
      <w:proofErr w:type="spellEnd"/>
      <w:r>
        <w:rPr>
          <w:rFonts w:ascii="Arial" w:eastAsia="Arial Unicode MS" w:hAnsi="Arial" w:cs="David" w:hint="cs"/>
          <w:snapToGrid w:val="0"/>
          <w:spacing w:val="0"/>
          <w:sz w:val="20"/>
          <w:szCs w:val="26"/>
          <w:rtl/>
        </w:rPr>
        <w:t xml:space="preserve"> – 15.7.13</w:t>
      </w:r>
    </w:p>
    <w:sectPr w:rsidR="00E13C27"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F67" w:rsidRDefault="00EC6F67">
      <w:r>
        <w:separator/>
      </w:r>
    </w:p>
  </w:endnote>
  <w:endnote w:type="continuationSeparator" w:id="0">
    <w:p w:rsidR="00EC6F67" w:rsidRDefault="00EC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0000000000000000000"/>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A4C66">
      <w:rPr>
        <w:rStyle w:val="ab"/>
        <w:noProof/>
        <w:rtl/>
      </w:rPr>
      <w:t>2</w:t>
    </w:r>
    <w:r>
      <w:rPr>
        <w:rStyle w:val="ab"/>
        <w:rtl/>
      </w:rPr>
      <w:fldChar w:fldCharType="end"/>
    </w:r>
  </w:p>
  <w:p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F67" w:rsidRDefault="00EC6F67">
      <w:r>
        <w:separator/>
      </w:r>
    </w:p>
  </w:footnote>
  <w:footnote w:type="continuationSeparator" w:id="0">
    <w:p w:rsidR="00EC6F67" w:rsidRDefault="00EC6F67">
      <w:r>
        <w:continuationSeparator/>
      </w:r>
    </w:p>
  </w:footnote>
  <w:footnote w:type="continuationNotice" w:id="1">
    <w:p w:rsidR="00EC6F67" w:rsidRDefault="00EC6F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3086lsCopyOriginal.docx"/>
    <w:docVar w:name="StartMode" w:val="3"/>
  </w:docVars>
  <w:rsids>
    <w:rsidRoot w:val="00DB7060"/>
    <w:rsid w:val="00015B27"/>
    <w:rsid w:val="000847EB"/>
    <w:rsid w:val="000A542E"/>
    <w:rsid w:val="001207F8"/>
    <w:rsid w:val="00121924"/>
    <w:rsid w:val="001279A8"/>
    <w:rsid w:val="0014195F"/>
    <w:rsid w:val="00152609"/>
    <w:rsid w:val="00153E1B"/>
    <w:rsid w:val="00187C08"/>
    <w:rsid w:val="001A0623"/>
    <w:rsid w:val="001C23B0"/>
    <w:rsid w:val="001C2E90"/>
    <w:rsid w:val="00203A7F"/>
    <w:rsid w:val="002200A1"/>
    <w:rsid w:val="002259B0"/>
    <w:rsid w:val="002362BF"/>
    <w:rsid w:val="00241B97"/>
    <w:rsid w:val="00254605"/>
    <w:rsid w:val="00267729"/>
    <w:rsid w:val="002728B4"/>
    <w:rsid w:val="00283411"/>
    <w:rsid w:val="00292712"/>
    <w:rsid w:val="002C2E29"/>
    <w:rsid w:val="002D0416"/>
    <w:rsid w:val="003232A2"/>
    <w:rsid w:val="00353DA2"/>
    <w:rsid w:val="003710F6"/>
    <w:rsid w:val="00386E88"/>
    <w:rsid w:val="003D74A0"/>
    <w:rsid w:val="004033D8"/>
    <w:rsid w:val="00434926"/>
    <w:rsid w:val="004D3876"/>
    <w:rsid w:val="004E4552"/>
    <w:rsid w:val="00553C9D"/>
    <w:rsid w:val="005B064E"/>
    <w:rsid w:val="005D51AE"/>
    <w:rsid w:val="00644940"/>
    <w:rsid w:val="006818A9"/>
    <w:rsid w:val="006C1D0D"/>
    <w:rsid w:val="006E0EA4"/>
    <w:rsid w:val="0070601E"/>
    <w:rsid w:val="00707246"/>
    <w:rsid w:val="00765F66"/>
    <w:rsid w:val="007D5A12"/>
    <w:rsid w:val="007E59F9"/>
    <w:rsid w:val="00800248"/>
    <w:rsid w:val="00810BCD"/>
    <w:rsid w:val="00812C98"/>
    <w:rsid w:val="0081392B"/>
    <w:rsid w:val="00814D92"/>
    <w:rsid w:val="00885E14"/>
    <w:rsid w:val="00892135"/>
    <w:rsid w:val="00895449"/>
    <w:rsid w:val="00897879"/>
    <w:rsid w:val="008A4C66"/>
    <w:rsid w:val="008C2DDC"/>
    <w:rsid w:val="008F0D63"/>
    <w:rsid w:val="008F2C35"/>
    <w:rsid w:val="0091204F"/>
    <w:rsid w:val="009203DB"/>
    <w:rsid w:val="009351DA"/>
    <w:rsid w:val="00943386"/>
    <w:rsid w:val="00957589"/>
    <w:rsid w:val="00982412"/>
    <w:rsid w:val="00A26BD6"/>
    <w:rsid w:val="00A82CB7"/>
    <w:rsid w:val="00AC36F7"/>
    <w:rsid w:val="00AC73B6"/>
    <w:rsid w:val="00B35784"/>
    <w:rsid w:val="00B46FA9"/>
    <w:rsid w:val="00B52BCF"/>
    <w:rsid w:val="00B802CB"/>
    <w:rsid w:val="00B87260"/>
    <w:rsid w:val="00BB70A4"/>
    <w:rsid w:val="00BC45FB"/>
    <w:rsid w:val="00C63BB7"/>
    <w:rsid w:val="00C9176A"/>
    <w:rsid w:val="00D67D5A"/>
    <w:rsid w:val="00D867D7"/>
    <w:rsid w:val="00D93D35"/>
    <w:rsid w:val="00DB7060"/>
    <w:rsid w:val="00DE3153"/>
    <w:rsid w:val="00E13C27"/>
    <w:rsid w:val="00E140C6"/>
    <w:rsid w:val="00E33BBD"/>
    <w:rsid w:val="00E4068E"/>
    <w:rsid w:val="00E45103"/>
    <w:rsid w:val="00E665B9"/>
    <w:rsid w:val="00E67244"/>
    <w:rsid w:val="00E92657"/>
    <w:rsid w:val="00EA01E6"/>
    <w:rsid w:val="00EA758F"/>
    <w:rsid w:val="00EA7F0F"/>
    <w:rsid w:val="00EC6F67"/>
    <w:rsid w:val="00ED4A6F"/>
    <w:rsid w:val="00EF3A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link w:val="a5"/>
    <w:autoRedefine/>
    <w:semiHidden/>
    <w:rsid w:val="00943386"/>
    <w:pPr>
      <w:spacing w:line="240" w:lineRule="auto"/>
      <w:ind w:left="227" w:hanging="227"/>
    </w:pPr>
    <w:rPr>
      <w:sz w:val="14"/>
      <w:szCs w:val="20"/>
    </w:rPr>
  </w:style>
  <w:style w:type="character" w:styleId="a6">
    <w:name w:val="footnote reference"/>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7">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8">
    <w:name w:val="header"/>
    <w:basedOn w:val="a"/>
    <w:rsid w:val="00943386"/>
    <w:pPr>
      <w:tabs>
        <w:tab w:val="center" w:pos="4153"/>
        <w:tab w:val="right" w:pos="8306"/>
      </w:tabs>
    </w:pPr>
  </w:style>
  <w:style w:type="paragraph" w:styleId="a9">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semiHidden/>
    <w:rsid w:val="00BB70A4"/>
    <w:rPr>
      <w:rFonts w:ascii="Arial" w:eastAsia="Arial Unicode MS" w:hAnsi="Arial" w:cs="David"/>
      <w:snapToGrid w:val="0"/>
      <w:color w:val="000000"/>
      <w:sz w:val="1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link w:val="a5"/>
    <w:autoRedefine/>
    <w:semiHidden/>
    <w:rsid w:val="00943386"/>
    <w:pPr>
      <w:spacing w:line="240" w:lineRule="auto"/>
      <w:ind w:left="227" w:hanging="227"/>
    </w:pPr>
    <w:rPr>
      <w:sz w:val="14"/>
      <w:szCs w:val="20"/>
    </w:rPr>
  </w:style>
  <w:style w:type="character" w:styleId="a6">
    <w:name w:val="footnote reference"/>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7">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8">
    <w:name w:val="header"/>
    <w:basedOn w:val="a"/>
    <w:rsid w:val="00943386"/>
    <w:pPr>
      <w:tabs>
        <w:tab w:val="center" w:pos="4153"/>
        <w:tab w:val="right" w:pos="8306"/>
      </w:tabs>
    </w:pPr>
  </w:style>
  <w:style w:type="paragraph" w:styleId="a9">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semiHidden/>
    <w:rsid w:val="00BB70A4"/>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9708">
      <w:bodyDiv w:val="1"/>
      <w:marLeft w:val="0"/>
      <w:marRight w:val="0"/>
      <w:marTop w:val="0"/>
      <w:marBottom w:val="0"/>
      <w:divBdr>
        <w:top w:val="none" w:sz="0" w:space="0" w:color="auto"/>
        <w:left w:val="none" w:sz="0" w:space="0" w:color="auto"/>
        <w:bottom w:val="none" w:sz="0" w:space="0" w:color="auto"/>
        <w:right w:val="none" w:sz="0" w:space="0" w:color="auto"/>
      </w:divBdr>
    </w:div>
    <w:div w:id="158263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A52CA-E81C-4530-AAAD-85A8C2519587}"/>
</file>

<file path=customXml/itemProps2.xml><?xml version="1.0" encoding="utf-8"?>
<ds:datastoreItem xmlns:ds="http://schemas.openxmlformats.org/officeDocument/2006/customXml" ds:itemID="{53CDC32B-DD97-493E-9196-3EF77D6F9C7D}"/>
</file>

<file path=customXml/itemProps3.xml><?xml version="1.0" encoding="utf-8"?>
<ds:datastoreItem xmlns:ds="http://schemas.openxmlformats.org/officeDocument/2006/customXml" ds:itemID="{88F4AFE3-9455-419C-8851-785A55F44517}"/>
</file>

<file path=customXml/itemProps4.xml><?xml version="1.0" encoding="utf-8"?>
<ds:datastoreItem xmlns:ds="http://schemas.openxmlformats.org/officeDocument/2006/customXml" ds:itemID="{4AB6536A-235F-4F26-BC88-42432012BB72}"/>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2634</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אהוד טנא</dc:creator>
  <cp:keywords/>
  <dc:description/>
  <cp:lastModifiedBy>לילך יעיש</cp:lastModifiedBy>
  <cp:revision>2</cp:revision>
  <cp:lastPrinted>2013-07-11T06:20:00Z</cp:lastPrinted>
  <dcterms:created xsi:type="dcterms:W3CDTF">2013-07-11T06:20:00Z</dcterms:created>
  <dcterms:modified xsi:type="dcterms:W3CDTF">2013-07-11T06:20:00Z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