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9F27B1" w:rsidRDefault="004033D8" w:rsidP="009F27B1">
      <w:pPr>
        <w:pStyle w:val="HeadHatzaotHok"/>
        <w:jc w:val="right"/>
        <w:rPr>
          <w:b w:val="0"/>
          <w:bCs w:val="0"/>
          <w:szCs w:val="20"/>
        </w:rPr>
      </w:pPr>
      <w:r w:rsidRPr="009F27B1">
        <w:rPr>
          <w:rFonts w:hint="cs"/>
          <w:b w:val="0"/>
          <w:bCs w:val="0"/>
          <w:szCs w:val="20"/>
          <w:rtl/>
        </w:rPr>
        <w:t xml:space="preserve">מספר פנימי: </w:t>
      </w:r>
      <w:bookmarkStart w:id="0" w:name="ItemID"/>
      <w:r w:rsidR="009473A9" w:rsidRPr="009F27B1">
        <w:rPr>
          <w:b w:val="0"/>
          <w:bCs w:val="0"/>
          <w:szCs w:val="20"/>
          <w:rtl/>
        </w:rPr>
        <w:t>483390</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9473A9" w:rsidRPr="009473A9">
        <w:rPr>
          <w:sz w:val="28"/>
          <w:szCs w:val="28"/>
          <w:rtl/>
        </w:rPr>
        <w:t>התשע-עשרה</w:t>
      </w:r>
      <w:bookmarkEnd w:id="1"/>
    </w:p>
    <w:p w:rsidR="00E13C27" w:rsidRDefault="00E13C27" w:rsidP="00E13C27">
      <w:pPr>
        <w:rPr>
          <w:rFonts w:cs="David"/>
          <w:sz w:val="26"/>
          <w:szCs w:val="26"/>
          <w:rtl/>
        </w:rPr>
      </w:pPr>
    </w:p>
    <w:p w:rsidR="00857D9B" w:rsidRPr="00BC57A1" w:rsidRDefault="00F244C1" w:rsidP="0091204F">
      <w:pPr>
        <w:pStyle w:val="David"/>
        <w:ind w:left="2880" w:firstLine="663"/>
        <w:rPr>
          <w:b/>
          <w:bCs/>
        </w:rPr>
      </w:pPr>
      <w:bookmarkStart w:id="2" w:name="MKsSingleOrMulti"/>
      <w:r w:rsidRPr="00BC57A1">
        <w:rPr>
          <w:b/>
          <w:bCs/>
          <w:rtl/>
        </w:rPr>
        <w:t>יוזמים:      חברי הכנסת</w:t>
      </w:r>
      <w:bookmarkEnd w:id="2"/>
      <w:r w:rsidR="00B35784" w:rsidRPr="00BC57A1">
        <w:rPr>
          <w:b/>
          <w:bCs/>
        </w:rPr>
        <w:tab/>
      </w:r>
      <w:bookmarkStart w:id="3" w:name="MKs"/>
      <w:r w:rsidR="00857D9B" w:rsidRPr="00BC57A1">
        <w:rPr>
          <w:b/>
          <w:bCs/>
          <w:rtl/>
        </w:rPr>
        <w:t>קארין אלהרר</w:t>
      </w:r>
    </w:p>
    <w:p w:rsidR="00857D9B" w:rsidRPr="00BC57A1" w:rsidRDefault="00857D9B" w:rsidP="0091204F">
      <w:pPr>
        <w:pStyle w:val="David"/>
        <w:ind w:left="2880" w:firstLine="663"/>
        <w:rPr>
          <w:b/>
          <w:bCs/>
        </w:rPr>
      </w:pPr>
      <w:r w:rsidRPr="00BC57A1">
        <w:rPr>
          <w:b/>
          <w:bCs/>
        </w:rPr>
        <w:tab/>
      </w:r>
      <w:r w:rsidRPr="00BC57A1">
        <w:rPr>
          <w:b/>
          <w:bCs/>
        </w:rPr>
        <w:tab/>
      </w:r>
      <w:r w:rsidRPr="00BC57A1">
        <w:rPr>
          <w:b/>
          <w:bCs/>
        </w:rPr>
        <w:tab/>
      </w:r>
      <w:r w:rsidRPr="00BC57A1">
        <w:rPr>
          <w:b/>
          <w:bCs/>
        </w:rPr>
        <w:tab/>
      </w:r>
      <w:r w:rsidRPr="00BC57A1">
        <w:rPr>
          <w:b/>
          <w:bCs/>
        </w:rPr>
        <w:tab/>
      </w:r>
      <w:r w:rsidRPr="00BC57A1">
        <w:rPr>
          <w:b/>
          <w:bCs/>
          <w:rtl/>
        </w:rPr>
        <w:t>עדי קול</w:t>
      </w:r>
    </w:p>
    <w:p w:rsidR="00857D9B" w:rsidRPr="00BC57A1" w:rsidRDefault="00857D9B" w:rsidP="0091204F">
      <w:pPr>
        <w:pStyle w:val="David"/>
        <w:ind w:left="2880" w:firstLine="663"/>
        <w:rPr>
          <w:b/>
          <w:bCs/>
        </w:rPr>
      </w:pPr>
      <w:r w:rsidRPr="00BC57A1">
        <w:rPr>
          <w:b/>
          <w:bCs/>
        </w:rPr>
        <w:tab/>
      </w:r>
      <w:r w:rsidRPr="00BC57A1">
        <w:rPr>
          <w:b/>
          <w:bCs/>
        </w:rPr>
        <w:tab/>
      </w:r>
      <w:r w:rsidRPr="00BC57A1">
        <w:rPr>
          <w:b/>
          <w:bCs/>
        </w:rPr>
        <w:tab/>
      </w:r>
      <w:r w:rsidRPr="00BC57A1">
        <w:rPr>
          <w:b/>
          <w:bCs/>
        </w:rPr>
        <w:tab/>
      </w:r>
      <w:r w:rsidRPr="00BC57A1">
        <w:rPr>
          <w:b/>
          <w:bCs/>
        </w:rPr>
        <w:tab/>
      </w:r>
      <w:r w:rsidRPr="00BC57A1">
        <w:rPr>
          <w:b/>
          <w:bCs/>
          <w:rtl/>
        </w:rPr>
        <w:t>אורלי לוי אבקסיס</w:t>
      </w:r>
    </w:p>
    <w:p w:rsidR="00857D9B" w:rsidRPr="00BC57A1" w:rsidRDefault="00857D9B" w:rsidP="0091204F">
      <w:pPr>
        <w:pStyle w:val="David"/>
        <w:ind w:left="2880" w:firstLine="663"/>
        <w:rPr>
          <w:b/>
          <w:bCs/>
        </w:rPr>
      </w:pPr>
      <w:r w:rsidRPr="00BC57A1">
        <w:rPr>
          <w:b/>
          <w:bCs/>
        </w:rPr>
        <w:tab/>
      </w:r>
      <w:r w:rsidRPr="00BC57A1">
        <w:rPr>
          <w:b/>
          <w:bCs/>
        </w:rPr>
        <w:tab/>
      </w:r>
      <w:r w:rsidRPr="00BC57A1">
        <w:rPr>
          <w:b/>
          <w:bCs/>
        </w:rPr>
        <w:tab/>
      </w:r>
      <w:r w:rsidRPr="00BC57A1">
        <w:rPr>
          <w:b/>
          <w:bCs/>
        </w:rPr>
        <w:tab/>
      </w:r>
      <w:r w:rsidRPr="00BC57A1">
        <w:rPr>
          <w:b/>
          <w:bCs/>
        </w:rPr>
        <w:tab/>
      </w:r>
      <w:r w:rsidRPr="00BC57A1">
        <w:rPr>
          <w:b/>
          <w:bCs/>
          <w:rtl/>
        </w:rPr>
        <w:t>דב ליפמן</w:t>
      </w:r>
    </w:p>
    <w:p w:rsidR="00857D9B" w:rsidRPr="00BC57A1" w:rsidRDefault="00857D9B" w:rsidP="0091204F">
      <w:pPr>
        <w:pStyle w:val="David"/>
        <w:ind w:left="2880" w:firstLine="663"/>
        <w:rPr>
          <w:b/>
          <w:bCs/>
        </w:rPr>
      </w:pPr>
      <w:r w:rsidRPr="00BC57A1">
        <w:rPr>
          <w:b/>
          <w:bCs/>
        </w:rPr>
        <w:tab/>
      </w:r>
      <w:r w:rsidRPr="00BC57A1">
        <w:rPr>
          <w:b/>
          <w:bCs/>
        </w:rPr>
        <w:tab/>
      </w:r>
      <w:r w:rsidRPr="00BC57A1">
        <w:rPr>
          <w:b/>
          <w:bCs/>
        </w:rPr>
        <w:tab/>
      </w:r>
      <w:r w:rsidRPr="00BC57A1">
        <w:rPr>
          <w:b/>
          <w:bCs/>
        </w:rPr>
        <w:tab/>
      </w:r>
      <w:r w:rsidRPr="00BC57A1">
        <w:rPr>
          <w:b/>
          <w:bCs/>
        </w:rPr>
        <w:tab/>
      </w:r>
      <w:r w:rsidRPr="00BC57A1">
        <w:rPr>
          <w:b/>
          <w:bCs/>
          <w:rtl/>
        </w:rPr>
        <w:t>איתן כבל</w:t>
      </w:r>
    </w:p>
    <w:p w:rsidR="00E13C27" w:rsidRPr="00BC57A1" w:rsidRDefault="00857D9B" w:rsidP="0091204F">
      <w:pPr>
        <w:pStyle w:val="David"/>
        <w:ind w:left="2880" w:firstLine="663"/>
        <w:rPr>
          <w:b/>
          <w:bCs/>
          <w:rtl/>
        </w:rPr>
      </w:pPr>
      <w:r w:rsidRPr="00BC57A1">
        <w:rPr>
          <w:b/>
          <w:bCs/>
        </w:rPr>
        <w:tab/>
      </w:r>
      <w:r w:rsidRPr="00BC57A1">
        <w:rPr>
          <w:b/>
          <w:bCs/>
        </w:rPr>
        <w:tab/>
      </w:r>
      <w:r w:rsidRPr="00BC57A1">
        <w:rPr>
          <w:b/>
          <w:bCs/>
        </w:rPr>
        <w:tab/>
      </w:r>
      <w:r w:rsidRPr="00BC57A1">
        <w:rPr>
          <w:b/>
          <w:bCs/>
        </w:rPr>
        <w:tab/>
      </w:r>
      <w:r w:rsidRPr="00BC57A1">
        <w:rPr>
          <w:b/>
          <w:bCs/>
        </w:rPr>
        <w:tab/>
      </w:r>
      <w:r w:rsidRPr="00BC57A1">
        <w:rPr>
          <w:b/>
          <w:bCs/>
          <w:rtl/>
        </w:rPr>
        <w:t>עליזה לביא</w:t>
      </w:r>
      <w:bookmarkEnd w:id="3"/>
    </w:p>
    <w:p w:rsidR="00E13C27" w:rsidRPr="00BC57A1" w:rsidRDefault="0014195F" w:rsidP="00B35784">
      <w:pPr>
        <w:ind w:firstLine="3543"/>
        <w:rPr>
          <w:rFonts w:cs="David"/>
          <w:b/>
          <w:bCs/>
          <w:sz w:val="26"/>
          <w:szCs w:val="26"/>
          <w:rtl/>
        </w:rPr>
      </w:pPr>
      <w:r w:rsidRPr="00BC57A1">
        <w:rPr>
          <w:b/>
          <w:bCs/>
          <w:noProof/>
          <w:rtl/>
          <w:lang w:eastAsia="en-US"/>
        </w:rPr>
        <mc:AlternateContent>
          <mc:Choice Requires="wps">
            <w:drawing>
              <wp:anchor distT="0" distB="0" distL="114300" distR="114300" simplePos="0" relativeHeight="251658240" behindDoc="0" locked="0" layoutInCell="1" allowOverlap="1" wp14:anchorId="10CD6C89" wp14:editId="33C982EF">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sidRPr="00BC57A1">
        <w:rPr>
          <w:rFonts w:cs="David" w:hint="cs"/>
          <w:b/>
          <w:bCs/>
          <w:sz w:val="26"/>
          <w:szCs w:val="26"/>
          <w:rtl/>
        </w:rPr>
        <w:tab/>
      </w:r>
      <w:bookmarkStart w:id="5" w:name="MKs1"/>
      <w:bookmarkEnd w:id="5"/>
    </w:p>
    <w:p w:rsidR="00E13C27" w:rsidRPr="002104C0" w:rsidRDefault="0014195F" w:rsidP="00292712">
      <w:pPr>
        <w:ind w:left="2919" w:firstLine="720"/>
        <w:rPr>
          <w:rFonts w:cs="David"/>
          <w:sz w:val="26"/>
          <w:szCs w:val="26"/>
          <w:rtl/>
        </w:rPr>
      </w:pPr>
      <w:r w:rsidRPr="00BC57A1">
        <w:rPr>
          <w:rFonts w:cs="David"/>
          <w:b/>
          <w:bCs/>
          <w:noProof/>
          <w:sz w:val="26"/>
          <w:szCs w:val="26"/>
          <w:rtl/>
          <w:lang w:eastAsia="en-US"/>
        </w:rPr>
        <mc:AlternateContent>
          <mc:Choice Requires="wps">
            <w:drawing>
              <wp:anchor distT="0" distB="0" distL="114300" distR="114300" simplePos="0" relativeHeight="251657216" behindDoc="0" locked="0" layoutInCell="1" allowOverlap="1" wp14:anchorId="54B0E962" wp14:editId="21F63749">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BC57A1">
        <w:rPr>
          <w:rFonts w:cs="David" w:hint="cs"/>
          <w:b/>
          <w:bCs/>
          <w:sz w:val="26"/>
          <w:szCs w:val="26"/>
          <w:rtl/>
        </w:rPr>
        <w:tab/>
      </w:r>
      <w:r w:rsidR="00E13C27" w:rsidRPr="00BC57A1">
        <w:rPr>
          <w:rFonts w:cs="David" w:hint="cs"/>
          <w:b/>
          <w:bCs/>
          <w:sz w:val="26"/>
          <w:szCs w:val="26"/>
          <w:rtl/>
        </w:rPr>
        <w:tab/>
      </w:r>
      <w:r w:rsidR="00E13C27" w:rsidRPr="00BC57A1">
        <w:rPr>
          <w:rFonts w:cs="David" w:hint="cs"/>
          <w:b/>
          <w:bCs/>
          <w:sz w:val="26"/>
          <w:szCs w:val="26"/>
          <w:rtl/>
        </w:rPr>
        <w:tab/>
      </w:r>
      <w:r w:rsidR="00E13C27" w:rsidRPr="00BC57A1">
        <w:rPr>
          <w:rFonts w:cs="David" w:hint="cs"/>
          <w:b/>
          <w:bCs/>
          <w:sz w:val="26"/>
          <w:szCs w:val="26"/>
          <w:rtl/>
        </w:rPr>
        <w:tab/>
      </w:r>
      <w:bookmarkStart w:id="6" w:name="LawNum"/>
      <w:r w:rsidR="00453EA5" w:rsidRPr="002104C0">
        <w:rPr>
          <w:rFonts w:cs="David"/>
          <w:sz w:val="26"/>
          <w:szCs w:val="26"/>
          <w:rtl/>
        </w:rPr>
        <w:t>פ/1472/19</w:t>
      </w:r>
      <w:bookmarkEnd w:id="6"/>
      <w:r w:rsidR="00E13C27" w:rsidRPr="002104C0">
        <w:rPr>
          <w:rFonts w:cs="David" w:hint="cs"/>
          <w:sz w:val="26"/>
          <w:szCs w:val="26"/>
          <w:rtl/>
        </w:rPr>
        <w:tab/>
      </w:r>
      <w:r w:rsidR="00E13C27" w:rsidRPr="002104C0">
        <w:rPr>
          <w:rFonts w:cs="David" w:hint="cs"/>
          <w:sz w:val="26"/>
          <w:szCs w:val="26"/>
          <w:rtl/>
        </w:rPr>
        <w:tab/>
      </w:r>
      <w:r w:rsidR="00E13C27" w:rsidRPr="002104C0">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954FB3" w:rsidP="006034AE">
      <w:pPr>
        <w:pStyle w:val="HeadHatzaotHok"/>
        <w:tabs>
          <w:tab w:val="left" w:pos="4071"/>
          <w:tab w:val="center" w:pos="4819"/>
        </w:tabs>
        <w:spacing w:before="0"/>
        <w:rPr>
          <w:sz w:val="26"/>
          <w:rtl/>
        </w:rPr>
      </w:pPr>
      <w:bookmarkStart w:id="7" w:name="Title"/>
      <w:bookmarkStart w:id="8" w:name="_GoBack"/>
      <w:bookmarkEnd w:id="8"/>
      <w:r w:rsidRPr="00954FB3">
        <w:rPr>
          <w:sz w:val="26"/>
          <w:rtl/>
        </w:rPr>
        <w:t>חוק לתיקון פקודת פשיטת הרגל (מס' 8), התשע"ד-2014</w:t>
      </w:r>
      <w:bookmarkEnd w:id="7"/>
    </w:p>
    <w:p w:rsidR="003E2669" w:rsidRDefault="003E2669" w:rsidP="006034AE">
      <w:pPr>
        <w:pStyle w:val="HeadHatzaotHok"/>
        <w:tabs>
          <w:tab w:val="left" w:pos="4071"/>
          <w:tab w:val="center" w:pos="4819"/>
        </w:tabs>
        <w:spacing w:before="0"/>
        <w:rPr>
          <w:sz w:val="26"/>
          <w:rtl/>
        </w:rPr>
      </w:pPr>
    </w:p>
    <w:tbl>
      <w:tblPr>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1872"/>
        <w:gridCol w:w="624"/>
        <w:gridCol w:w="7149"/>
      </w:tblGrid>
      <w:tr w:rsidR="006034AE" w:rsidTr="006034AE">
        <w:trPr>
          <w:cantSplit/>
          <w:trHeight w:val="60"/>
        </w:trPr>
        <w:tc>
          <w:tcPr>
            <w:tcW w:w="1871" w:type="dxa"/>
            <w:tcBorders>
              <w:top w:val="nil"/>
              <w:left w:val="nil"/>
              <w:bottom w:val="nil"/>
              <w:right w:val="nil"/>
            </w:tcBorders>
            <w:hideMark/>
          </w:tcPr>
          <w:p w:rsidR="006034AE" w:rsidRDefault="006034AE">
            <w:pPr>
              <w:pStyle w:val="TableSideHeading"/>
              <w:keepLines w:val="0"/>
            </w:pPr>
            <w:r>
              <w:rPr>
                <w:rFonts w:hint="cs"/>
                <w:rtl/>
              </w:rPr>
              <w:t xml:space="preserve">תיקון סעיף 128 </w:t>
            </w:r>
          </w:p>
        </w:tc>
        <w:tc>
          <w:tcPr>
            <w:tcW w:w="624" w:type="dxa"/>
            <w:tcBorders>
              <w:top w:val="nil"/>
              <w:left w:val="nil"/>
              <w:bottom w:val="nil"/>
              <w:right w:val="nil"/>
            </w:tcBorders>
            <w:hideMark/>
          </w:tcPr>
          <w:p w:rsidR="006034AE" w:rsidRDefault="006034AE">
            <w:pPr>
              <w:pStyle w:val="TableText"/>
              <w:keepLines w:val="0"/>
            </w:pPr>
            <w:r>
              <w:rPr>
                <w:rFonts w:hint="cs"/>
                <w:rtl/>
              </w:rPr>
              <w:t>1.</w:t>
            </w:r>
          </w:p>
        </w:tc>
        <w:tc>
          <w:tcPr>
            <w:tcW w:w="7146" w:type="dxa"/>
            <w:tcBorders>
              <w:top w:val="nil"/>
              <w:left w:val="nil"/>
              <w:bottom w:val="nil"/>
              <w:right w:val="nil"/>
            </w:tcBorders>
            <w:hideMark/>
          </w:tcPr>
          <w:p w:rsidR="006034AE" w:rsidRDefault="006034AE" w:rsidP="009F27B1">
            <w:pPr>
              <w:pStyle w:val="TableBlock"/>
            </w:pPr>
            <w:r>
              <w:rPr>
                <w:rFonts w:hint="cs"/>
                <w:rtl/>
              </w:rPr>
              <w:t>בפקודת פשיטת הרגל [נוסח חדש], התש"ם-1980</w:t>
            </w:r>
            <w:r w:rsidRPr="003E2669">
              <w:rPr>
                <w:szCs w:val="20"/>
                <w:rtl/>
              </w:rPr>
              <w:footnoteReference w:id="2"/>
            </w:r>
            <w:r>
              <w:rPr>
                <w:rFonts w:hint="cs"/>
                <w:rtl/>
              </w:rPr>
              <w:t xml:space="preserve">, בסעיף 128(א), לפני "לפי בקשתו" יבוא "ניתן צו כינוס, רשאי בית המשפט,", במקום "מפושט הרגל" יבוא "מהחייב" והמילים "רשאי בית המשפט" –  יימחקו. </w:t>
            </w:r>
          </w:p>
        </w:tc>
      </w:tr>
    </w:tbl>
    <w:p w:rsidR="006034AE" w:rsidRDefault="006034AE" w:rsidP="006034AE">
      <w:pPr>
        <w:pStyle w:val="HeadDivreiHesber"/>
      </w:pPr>
      <w:r>
        <w:rPr>
          <w:rFonts w:hint="cs"/>
          <w:rtl/>
        </w:rPr>
        <w:t>דברי הסבר</w:t>
      </w:r>
    </w:p>
    <w:p w:rsidR="006034AE" w:rsidRDefault="006034AE" w:rsidP="006034AE">
      <w:pPr>
        <w:pStyle w:val="Hesber"/>
        <w:rPr>
          <w:rtl/>
        </w:rPr>
      </w:pPr>
      <w:r>
        <w:rPr>
          <w:rFonts w:hint="cs"/>
          <w:rtl/>
        </w:rPr>
        <w:t xml:space="preserve">הלכה פסוקה היא כי קיימת חשיבות גבוהה בתשלום דמי מזונות הקטין בזמן על מנת שלא לפגוע באיכות חייו ובמילוי אחר צרכיו . סעיף 128 לפקודת פשיטת הרגל קובע כי בית המשפט יכול להקציב תשלומי מזונות מנכסי פושט רגל. עם זאת, אם ההורה המשמורן מכלכל לבדו את הקטין מבלי שיש בידו את היכולת הכלכלית לעשות זאת בצורה מספקת, יתכן והוא יזדקק לכספי המזונות עוד קודם להכרזה על החייב כפושט רגל. </w:t>
      </w:r>
    </w:p>
    <w:p w:rsidR="006034AE" w:rsidRDefault="006034AE" w:rsidP="006034AE">
      <w:pPr>
        <w:pStyle w:val="Hesber"/>
        <w:rPr>
          <w:rtl/>
        </w:rPr>
      </w:pPr>
      <w:r>
        <w:rPr>
          <w:rFonts w:hint="cs"/>
          <w:rtl/>
        </w:rPr>
        <w:t xml:space="preserve">בפסק הדין בעניין </w:t>
      </w:r>
      <w:proofErr w:type="spellStart"/>
      <w:r>
        <w:rPr>
          <w:rFonts w:hint="cs"/>
          <w:rtl/>
        </w:rPr>
        <w:t>בכשי</w:t>
      </w:r>
      <w:proofErr w:type="spellEnd"/>
      <w:r>
        <w:rPr>
          <w:rFonts w:hint="cs"/>
          <w:rtl/>
        </w:rPr>
        <w:t xml:space="preserve"> דניאל נ' עו"ד אריה חגי (</w:t>
      </w:r>
      <w:proofErr w:type="spellStart"/>
      <w:r>
        <w:rPr>
          <w:rFonts w:hint="cs"/>
          <w:rtl/>
        </w:rPr>
        <w:t>פש"ר</w:t>
      </w:r>
      <w:proofErr w:type="spellEnd"/>
      <w:r>
        <w:rPr>
          <w:rFonts w:hint="cs"/>
          <w:rtl/>
        </w:rPr>
        <w:t xml:space="preserve"> (ת"א) 2206/05), הוכר הצורך בכך  שתשלום המזונות לא יתחיל רק עם הכרזת החייב כפושט רגל, אלא כבר עם מתן צו הכינוס, המהווה "נקודת מעבר" של החייב אל תחום ההליך הקולקטיבי של חדלות הפירעון. </w:t>
      </w:r>
    </w:p>
    <w:p w:rsidR="006034AE" w:rsidRDefault="006034AE" w:rsidP="006034AE">
      <w:pPr>
        <w:pStyle w:val="Hesber"/>
        <w:rPr>
          <w:rtl/>
        </w:rPr>
      </w:pPr>
      <w:r>
        <w:rPr>
          <w:rFonts w:hint="cs"/>
          <w:rtl/>
        </w:rPr>
        <w:t>הנחיות הכונס הרשמי בעניין מזונות בתיקי פשיטת רגל משנת 2008, מאמצות את פסיקת בית המשפט וקובעות, כי אין מקום לערוך הבחנה בין תיקים בהם ניתן צו כינוס וטרם ניתן צו פשיטת רגל לבין תיקים בהם ניתן צו פשיטת רגל.</w:t>
      </w:r>
    </w:p>
    <w:p w:rsidR="006034AE" w:rsidRDefault="006034AE" w:rsidP="006034AE">
      <w:pPr>
        <w:pStyle w:val="Hesber"/>
        <w:rPr>
          <w:rtl/>
        </w:rPr>
      </w:pPr>
      <w:r>
        <w:rPr>
          <w:rFonts w:hint="cs"/>
          <w:rtl/>
        </w:rPr>
        <w:t xml:space="preserve">לאור חשיבות הנושא ועקב כך שהנחיות הכונס אינן בבחינת חוק, מוצע בהצעת החוק לעגן את הנחיית הכונס הרשמי בחקיקה, ולקבוע כי בית המשפט רשאי להקציב לאדם מזמן לזמן מתוך נכסי החייב או מתוך הכנסותיו סכומי כסף שימצא לנכון על חשבון תשלומי מזונות, כבר לאחר מתן צו הכינוס.  </w:t>
      </w:r>
    </w:p>
    <w:p w:rsidR="009F27B1" w:rsidRDefault="009F27B1" w:rsidP="003E2669">
      <w:pPr>
        <w:spacing w:before="0"/>
        <w:ind w:left="340"/>
        <w:rPr>
          <w:rFonts w:ascii="Arial" w:eastAsia="Arial Unicode MS" w:hAnsi="Arial" w:cs="David"/>
          <w:snapToGrid w:val="0"/>
          <w:sz w:val="20"/>
          <w:szCs w:val="26"/>
        </w:rPr>
      </w:pPr>
      <w:r>
        <w:rPr>
          <w:rFonts w:ascii="Arial" w:eastAsia="Arial Unicode MS" w:hAnsi="Arial" w:cs="David" w:hint="cs"/>
          <w:snapToGrid w:val="0"/>
          <w:sz w:val="20"/>
          <w:szCs w:val="26"/>
          <w:rtl/>
        </w:rPr>
        <w:t>---------------------------------</w:t>
      </w:r>
    </w:p>
    <w:p w:rsidR="009F27B1" w:rsidRDefault="009F27B1" w:rsidP="003E2669">
      <w:pPr>
        <w:spacing w:before="0"/>
        <w:ind w:left="340"/>
        <w:rPr>
          <w:rFonts w:ascii="Arial" w:eastAsia="Arial Unicode MS" w:hAnsi="Arial" w:cs="David"/>
          <w:snapToGrid w:val="0"/>
          <w:sz w:val="20"/>
          <w:szCs w:val="26"/>
        </w:rPr>
      </w:pPr>
      <w:r>
        <w:rPr>
          <w:rFonts w:ascii="Arial" w:eastAsia="Arial Unicode MS" w:hAnsi="Arial" w:cs="David" w:hint="cs"/>
          <w:snapToGrid w:val="0"/>
          <w:sz w:val="20"/>
          <w:szCs w:val="26"/>
          <w:rtl/>
        </w:rPr>
        <w:t>הוגשה ליו"ר הכנסת והסגנים</w:t>
      </w:r>
    </w:p>
    <w:p w:rsidR="009F27B1" w:rsidRDefault="009F27B1" w:rsidP="003E2669">
      <w:pPr>
        <w:spacing w:before="0"/>
        <w:ind w:left="340"/>
        <w:rPr>
          <w:rFonts w:ascii="Arial" w:eastAsia="Arial Unicode MS" w:hAnsi="Arial" w:cs="David"/>
          <w:snapToGrid w:val="0"/>
          <w:sz w:val="20"/>
          <w:szCs w:val="26"/>
          <w:rtl/>
        </w:rPr>
      </w:pPr>
      <w:r>
        <w:rPr>
          <w:rFonts w:ascii="Arial" w:eastAsia="Arial Unicode MS" w:hAnsi="Arial" w:cs="David" w:hint="cs"/>
          <w:snapToGrid w:val="0"/>
          <w:sz w:val="20"/>
          <w:szCs w:val="26"/>
          <w:rtl/>
        </w:rPr>
        <w:t>והונחה על שולחן הכנסת ביום</w:t>
      </w:r>
    </w:p>
    <w:p w:rsidR="003D793A" w:rsidRDefault="009F27B1" w:rsidP="003E2669">
      <w:pPr>
        <w:spacing w:before="0"/>
        <w:ind w:left="340"/>
        <w:rPr>
          <w:rtl/>
        </w:rPr>
      </w:pPr>
      <w:r>
        <w:rPr>
          <w:rFonts w:ascii="Arial" w:eastAsia="Arial Unicode MS" w:hAnsi="Arial" w:cs="David" w:hint="cs"/>
          <w:snapToGrid w:val="0"/>
          <w:sz w:val="20"/>
          <w:szCs w:val="26"/>
          <w:rtl/>
        </w:rPr>
        <w:t xml:space="preserve">כ"ג בתמוז </w:t>
      </w:r>
      <w:proofErr w:type="spellStart"/>
      <w:r>
        <w:rPr>
          <w:rFonts w:ascii="Arial" w:eastAsia="Arial Unicode MS" w:hAnsi="Arial" w:cs="David" w:hint="cs"/>
          <w:snapToGrid w:val="0"/>
          <w:sz w:val="20"/>
          <w:szCs w:val="26"/>
          <w:rtl/>
        </w:rPr>
        <w:t>התשע"ג</w:t>
      </w:r>
      <w:proofErr w:type="spellEnd"/>
      <w:r>
        <w:rPr>
          <w:rFonts w:ascii="Arial" w:eastAsia="Arial Unicode MS" w:hAnsi="Arial" w:cs="David" w:hint="cs"/>
          <w:snapToGrid w:val="0"/>
          <w:sz w:val="20"/>
          <w:szCs w:val="26"/>
          <w:rtl/>
        </w:rPr>
        <w:t xml:space="preserve"> – 1.7.13</w:t>
      </w:r>
    </w:p>
    <w:sectPr w:rsidR="003D793A" w:rsidSect="003E2669">
      <w:footerReference w:type="even" r:id="rId12"/>
      <w:footerReference w:type="default" r:id="rId13"/>
      <w:pgSz w:w="11907" w:h="16840" w:code="9"/>
      <w:pgMar w:top="709" w:right="1134" w:bottom="851"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89" w:rsidRDefault="00996A89">
      <w:r>
        <w:separator/>
      </w:r>
    </w:p>
  </w:endnote>
  <w:endnote w:type="continuationSeparator" w:id="0">
    <w:p w:rsidR="00996A89" w:rsidRDefault="0099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E2669">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89" w:rsidRDefault="00996A89">
      <w:r>
        <w:separator/>
      </w:r>
    </w:p>
  </w:footnote>
  <w:footnote w:type="continuationSeparator" w:id="0">
    <w:p w:rsidR="00996A89" w:rsidRDefault="00996A89">
      <w:r>
        <w:continuationSeparator/>
      </w:r>
    </w:p>
  </w:footnote>
  <w:footnote w:type="continuationNotice" w:id="1">
    <w:p w:rsidR="00996A89" w:rsidRDefault="00996A89"/>
  </w:footnote>
  <w:footnote w:id="2">
    <w:p w:rsidR="006034AE" w:rsidRDefault="006034AE" w:rsidP="006034AE">
      <w:pPr>
        <w:pStyle w:val="a4"/>
        <w:rPr>
          <w:rtl/>
        </w:rPr>
      </w:pPr>
      <w:r>
        <w:rPr>
          <w:rStyle w:val="a6"/>
        </w:rPr>
        <w:footnoteRef/>
      </w:r>
      <w:r>
        <w:rPr>
          <w:rFonts w:hint="cs"/>
          <w:rtl/>
        </w:rPr>
        <w:t xml:space="preserve"> </w:t>
      </w:r>
      <w:r w:rsidRPr="006034AE">
        <w:rPr>
          <w:rFonts w:hint="cs"/>
          <w:rtl/>
        </w:rPr>
        <w:t>דיני מדינת ישראל, נוסח חדש  34</w:t>
      </w:r>
      <w:r>
        <w:rPr>
          <w:rFonts w:hint="cs"/>
          <w:rtl/>
        </w:rPr>
        <w:t>, עמ' 639.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3390lsCopyOriginal.docx"/>
    <w:docVar w:name="StartMode" w:val="4"/>
  </w:docVars>
  <w:rsids>
    <w:rsidRoot w:val="00DB7060"/>
    <w:rsid w:val="00015B27"/>
    <w:rsid w:val="000472FC"/>
    <w:rsid w:val="00086DFD"/>
    <w:rsid w:val="000A542E"/>
    <w:rsid w:val="001207F8"/>
    <w:rsid w:val="00121924"/>
    <w:rsid w:val="001279A8"/>
    <w:rsid w:val="0014195F"/>
    <w:rsid w:val="00152609"/>
    <w:rsid w:val="00153E1B"/>
    <w:rsid w:val="001A0623"/>
    <w:rsid w:val="001C23B0"/>
    <w:rsid w:val="00203A7F"/>
    <w:rsid w:val="002104C0"/>
    <w:rsid w:val="002200A1"/>
    <w:rsid w:val="002362BF"/>
    <w:rsid w:val="00241B97"/>
    <w:rsid w:val="00254605"/>
    <w:rsid w:val="002728B4"/>
    <w:rsid w:val="00292712"/>
    <w:rsid w:val="002C2E29"/>
    <w:rsid w:val="003232A2"/>
    <w:rsid w:val="003710F6"/>
    <w:rsid w:val="00386E88"/>
    <w:rsid w:val="003D74A0"/>
    <w:rsid w:val="003D793A"/>
    <w:rsid w:val="003E2669"/>
    <w:rsid w:val="004033D8"/>
    <w:rsid w:val="00453EA5"/>
    <w:rsid w:val="004D3876"/>
    <w:rsid w:val="004E4552"/>
    <w:rsid w:val="004E5575"/>
    <w:rsid w:val="00503253"/>
    <w:rsid w:val="0054134A"/>
    <w:rsid w:val="00553C9D"/>
    <w:rsid w:val="005A1937"/>
    <w:rsid w:val="005B064E"/>
    <w:rsid w:val="005D51AE"/>
    <w:rsid w:val="006034AE"/>
    <w:rsid w:val="00644940"/>
    <w:rsid w:val="006818A9"/>
    <w:rsid w:val="006C1D0D"/>
    <w:rsid w:val="0070601E"/>
    <w:rsid w:val="00765F66"/>
    <w:rsid w:val="007D5A12"/>
    <w:rsid w:val="007E59F9"/>
    <w:rsid w:val="007F7803"/>
    <w:rsid w:val="00810BCD"/>
    <w:rsid w:val="00812C98"/>
    <w:rsid w:val="00814D92"/>
    <w:rsid w:val="00857D9B"/>
    <w:rsid w:val="00892135"/>
    <w:rsid w:val="00895449"/>
    <w:rsid w:val="00897879"/>
    <w:rsid w:val="008C2DDC"/>
    <w:rsid w:val="008F0D63"/>
    <w:rsid w:val="008F2C35"/>
    <w:rsid w:val="0091204F"/>
    <w:rsid w:val="009203DB"/>
    <w:rsid w:val="009278DF"/>
    <w:rsid w:val="00943386"/>
    <w:rsid w:val="009473A9"/>
    <w:rsid w:val="00954FB3"/>
    <w:rsid w:val="00957589"/>
    <w:rsid w:val="00982412"/>
    <w:rsid w:val="00991D85"/>
    <w:rsid w:val="00996A89"/>
    <w:rsid w:val="009F27B1"/>
    <w:rsid w:val="00A10AAF"/>
    <w:rsid w:val="00A26BD6"/>
    <w:rsid w:val="00A404D5"/>
    <w:rsid w:val="00A82CB7"/>
    <w:rsid w:val="00AC36F7"/>
    <w:rsid w:val="00B35784"/>
    <w:rsid w:val="00B80868"/>
    <w:rsid w:val="00BC45FB"/>
    <w:rsid w:val="00BC57A1"/>
    <w:rsid w:val="00C9176A"/>
    <w:rsid w:val="00D867D7"/>
    <w:rsid w:val="00DB7060"/>
    <w:rsid w:val="00DE3153"/>
    <w:rsid w:val="00E13C27"/>
    <w:rsid w:val="00E33BBD"/>
    <w:rsid w:val="00E45103"/>
    <w:rsid w:val="00E665B9"/>
    <w:rsid w:val="00EA01E6"/>
    <w:rsid w:val="00EA758F"/>
    <w:rsid w:val="00EB7AFB"/>
    <w:rsid w:val="00ED4A6F"/>
    <w:rsid w:val="00ED7E50"/>
    <w:rsid w:val="00EF3A3A"/>
    <w:rsid w:val="00F01E8B"/>
    <w:rsid w:val="00F24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uiPriority w:val="99"/>
    <w:rsid w:val="00943386"/>
    <w:pPr>
      <w:spacing w:line="240" w:lineRule="auto"/>
      <w:ind w:left="227" w:hanging="227"/>
    </w:pPr>
    <w:rPr>
      <w:sz w:val="14"/>
      <w:szCs w:val="20"/>
    </w:rPr>
  </w:style>
  <w:style w:type="character" w:styleId="a6">
    <w:name w:val="footnote reference"/>
    <w:uiPriority w:val="99"/>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rsid w:val="003D793A"/>
    <w:rPr>
      <w:rFonts w:ascii="Arial" w:eastAsia="Arial Unicode MS" w:hAnsi="Arial" w:cs="David"/>
      <w:snapToGrid w:val="0"/>
      <w:color w:val="000000"/>
      <w:sz w:val="14"/>
      <w:lang w:eastAsia="ja-JP"/>
    </w:rPr>
  </w:style>
  <w:style w:type="character" w:styleId="Hyperlink">
    <w:name w:val="Hyperlink"/>
    <w:basedOn w:val="a0"/>
    <w:uiPriority w:val="99"/>
    <w:semiHidden/>
    <w:unhideWhenUsed/>
    <w:rsid w:val="003D7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uiPriority w:val="99"/>
    <w:rsid w:val="00943386"/>
    <w:pPr>
      <w:spacing w:line="240" w:lineRule="auto"/>
      <w:ind w:left="227" w:hanging="227"/>
    </w:pPr>
    <w:rPr>
      <w:sz w:val="14"/>
      <w:szCs w:val="20"/>
    </w:rPr>
  </w:style>
  <w:style w:type="character" w:styleId="a6">
    <w:name w:val="footnote reference"/>
    <w:uiPriority w:val="99"/>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rsid w:val="003D793A"/>
    <w:rPr>
      <w:rFonts w:ascii="Arial" w:eastAsia="Arial Unicode MS" w:hAnsi="Arial" w:cs="David"/>
      <w:snapToGrid w:val="0"/>
      <w:color w:val="000000"/>
      <w:sz w:val="14"/>
      <w:lang w:eastAsia="ja-JP"/>
    </w:rPr>
  </w:style>
  <w:style w:type="character" w:styleId="Hyperlink">
    <w:name w:val="Hyperlink"/>
    <w:basedOn w:val="a0"/>
    <w:uiPriority w:val="99"/>
    <w:semiHidden/>
    <w:unhideWhenUsed/>
    <w:rsid w:val="003D7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8835">
      <w:bodyDiv w:val="1"/>
      <w:marLeft w:val="0"/>
      <w:marRight w:val="0"/>
      <w:marTop w:val="0"/>
      <w:marBottom w:val="0"/>
      <w:divBdr>
        <w:top w:val="none" w:sz="0" w:space="0" w:color="auto"/>
        <w:left w:val="none" w:sz="0" w:space="0" w:color="auto"/>
        <w:bottom w:val="none" w:sz="0" w:space="0" w:color="auto"/>
        <w:right w:val="none" w:sz="0" w:space="0" w:color="auto"/>
      </w:divBdr>
    </w:div>
    <w:div w:id="18233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DAD395E2A6D6D4C9FB26CDE0AA91C01" ma:contentTypeVersion="0" ma:contentTypeDescription="צור מסמך חדש." ma:contentTypeScope="" ma:versionID="29bc9772be30ed4a85734c784303f201">
  <xsd:schema xmlns:xsd="http://www.w3.org/2001/XMLSchema" xmlns:xs="http://www.w3.org/2001/XMLSchema" xmlns:p="http://schemas.microsoft.com/office/2006/metadata/properties" targetNamespace="http://schemas.microsoft.com/office/2006/metadata/properties" ma:root="true" ma:fieldsID="fc839a7feb2e5d9e784d85bb08110b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1178B-C284-41E1-9FA4-61054C351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190E32-C853-483F-8FBF-9944EBF0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1347</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הדס זיגדון</dc:creator>
  <cp:keywords/>
  <dc:description/>
  <cp:lastModifiedBy>יוסי דולב</cp:lastModifiedBy>
  <cp:revision>3</cp:revision>
  <cp:lastPrinted>2013-06-27T08:55:00Z</cp:lastPrinted>
  <dcterms:created xsi:type="dcterms:W3CDTF">2013-06-27T09:13:00Z</dcterms:created>
  <dcterms:modified xsi:type="dcterms:W3CDTF">2014-03-25T07:20:00Z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0x0101001DAD395E2A6D6D4C9FB26CDE0AA91C01</vt:lpwstr>
  </property>
</Properties>
</file>