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1965D0" w:rsidRDefault="004033D8" w:rsidP="001965D0">
      <w:pPr>
        <w:pStyle w:val="HeadHatzaotHok"/>
        <w:jc w:val="right"/>
        <w:rPr>
          <w:b w:val="0"/>
          <w:bCs w:val="0"/>
          <w:szCs w:val="20"/>
        </w:rPr>
      </w:pPr>
      <w:bookmarkStart w:id="0" w:name="_GoBack"/>
      <w:bookmarkEnd w:id="0"/>
      <w:r w:rsidRPr="001965D0">
        <w:rPr>
          <w:rFonts w:hint="cs"/>
          <w:b w:val="0"/>
          <w:bCs w:val="0"/>
          <w:szCs w:val="20"/>
          <w:rtl/>
        </w:rPr>
        <w:t xml:space="preserve">מספר פנימי: </w:t>
      </w:r>
      <w:bookmarkStart w:id="1" w:name="ItemID"/>
      <w:r w:rsidR="00E33AC5" w:rsidRPr="001965D0">
        <w:rPr>
          <w:b w:val="0"/>
          <w:bCs w:val="0"/>
          <w:szCs w:val="20"/>
          <w:rtl/>
        </w:rPr>
        <w:t>483876</w:t>
      </w:r>
      <w:bookmarkEnd w:id="1"/>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2" w:name="KnessetNum"/>
      <w:r w:rsidR="00E33AC5" w:rsidRPr="00E33AC5">
        <w:rPr>
          <w:sz w:val="28"/>
          <w:szCs w:val="28"/>
          <w:rtl/>
        </w:rPr>
        <w:t>התשע-עשרה</w:t>
      </w:r>
      <w:bookmarkEnd w:id="2"/>
    </w:p>
    <w:p w:rsidR="00E13C27" w:rsidRDefault="00E13C27" w:rsidP="00E13C27">
      <w:pPr>
        <w:rPr>
          <w:rFonts w:cs="David"/>
          <w:sz w:val="26"/>
          <w:szCs w:val="26"/>
          <w:rtl/>
        </w:rPr>
      </w:pPr>
    </w:p>
    <w:p w:rsidR="00513935" w:rsidRPr="00720616" w:rsidRDefault="009A6963" w:rsidP="0091204F">
      <w:pPr>
        <w:pStyle w:val="David"/>
        <w:ind w:left="2880" w:firstLine="663"/>
        <w:rPr>
          <w:b/>
          <w:bCs/>
        </w:rPr>
      </w:pPr>
      <w:bookmarkStart w:id="3" w:name="MKsSingleOrMulti"/>
      <w:r w:rsidRPr="00720616">
        <w:rPr>
          <w:b/>
          <w:bCs/>
          <w:rtl/>
        </w:rPr>
        <w:t>יוזמים:      חברי הכנסת</w:t>
      </w:r>
      <w:bookmarkEnd w:id="3"/>
      <w:r w:rsidR="00B35784" w:rsidRPr="00720616">
        <w:rPr>
          <w:b/>
          <w:bCs/>
        </w:rPr>
        <w:tab/>
      </w:r>
      <w:bookmarkStart w:id="4" w:name="MKs"/>
      <w:r w:rsidR="00513935" w:rsidRPr="00720616">
        <w:rPr>
          <w:b/>
          <w:bCs/>
          <w:rtl/>
        </w:rPr>
        <w:t>אמנון כהן</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איתן כבל</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אילן גילאון</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יעקב מרגי</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אורי מקלב</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יצחק וקנין</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נסים זאב</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אברהם מיכאלי</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יעקב אשר</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ישראל אייכלר</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משה גפני</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משולם נהרי</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אורית סטרוק</w:t>
      </w:r>
    </w:p>
    <w:p w:rsidR="00513935" w:rsidRPr="00720616" w:rsidRDefault="00513935" w:rsidP="0091204F">
      <w:pPr>
        <w:pStyle w:val="David"/>
        <w:ind w:left="2880" w:firstLine="663"/>
        <w:rPr>
          <w:b/>
          <w:bCs/>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דב חנין</w:t>
      </w:r>
    </w:p>
    <w:p w:rsidR="00E13C27" w:rsidRPr="00720616" w:rsidRDefault="00513935" w:rsidP="0091204F">
      <w:pPr>
        <w:pStyle w:val="David"/>
        <w:ind w:left="2880" w:firstLine="663"/>
        <w:rPr>
          <w:b/>
          <w:bCs/>
          <w:rtl/>
        </w:rPr>
      </w:pPr>
      <w:r w:rsidRPr="00720616">
        <w:rPr>
          <w:b/>
          <w:bCs/>
        </w:rPr>
        <w:tab/>
      </w:r>
      <w:r w:rsidRPr="00720616">
        <w:rPr>
          <w:b/>
          <w:bCs/>
        </w:rPr>
        <w:tab/>
      </w:r>
      <w:r w:rsidRPr="00720616">
        <w:rPr>
          <w:b/>
          <w:bCs/>
        </w:rPr>
        <w:tab/>
      </w:r>
      <w:r w:rsidRPr="00720616">
        <w:rPr>
          <w:b/>
          <w:bCs/>
        </w:rPr>
        <w:tab/>
      </w:r>
      <w:r w:rsidRPr="00720616">
        <w:rPr>
          <w:b/>
          <w:bCs/>
        </w:rPr>
        <w:tab/>
      </w:r>
      <w:r w:rsidRPr="00720616">
        <w:rPr>
          <w:b/>
          <w:bCs/>
          <w:rtl/>
        </w:rPr>
        <w:t>מיקי רוזנטל</w:t>
      </w:r>
      <w:bookmarkEnd w:id="4"/>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5" w:name="MKsSingleOrMulti1"/>
      <w:bookmarkEnd w:id="5"/>
      <w:r w:rsidR="002200A1">
        <w:rPr>
          <w:rFonts w:cs="David" w:hint="cs"/>
          <w:sz w:val="26"/>
          <w:szCs w:val="26"/>
          <w:rtl/>
        </w:rPr>
        <w:tab/>
      </w:r>
      <w:bookmarkStart w:id="6" w:name="MKs1"/>
      <w:bookmarkEnd w:id="6"/>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7" w:name="LawNum"/>
      <w:r w:rsidR="00F954EA" w:rsidRPr="00F954EA">
        <w:rPr>
          <w:rFonts w:cs="David"/>
          <w:sz w:val="26"/>
          <w:szCs w:val="26"/>
          <w:rtl/>
        </w:rPr>
        <w:t>פ/1436/19</w:t>
      </w:r>
      <w:bookmarkEnd w:id="7"/>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1C22F5" w:rsidRDefault="00E33AC5" w:rsidP="00FD54C8">
      <w:pPr>
        <w:pStyle w:val="HeadHatzaotHok"/>
        <w:tabs>
          <w:tab w:val="left" w:pos="4071"/>
          <w:tab w:val="center" w:pos="4819"/>
        </w:tabs>
        <w:spacing w:before="0"/>
        <w:rPr>
          <w:sz w:val="26"/>
          <w:rtl/>
        </w:rPr>
      </w:pPr>
      <w:bookmarkStart w:id="8" w:name="Title"/>
      <w:r w:rsidRPr="00E33AC5">
        <w:rPr>
          <w:sz w:val="26"/>
          <w:rtl/>
        </w:rPr>
        <w:t>הצעת חוק שכר נשיא המדינה ושרי הממשלה, התשע"ג</w:t>
      </w:r>
      <w:r w:rsidR="00720616">
        <w:rPr>
          <w:rFonts w:hint="cs"/>
          <w:sz w:val="26"/>
          <w:rtl/>
        </w:rPr>
        <w:t>–</w:t>
      </w:r>
      <w:r w:rsidRPr="00E33AC5">
        <w:rPr>
          <w:sz w:val="26"/>
          <w:rtl/>
        </w:rPr>
        <w:t>2013</w:t>
      </w:r>
      <w:bookmarkEnd w:id="8"/>
    </w:p>
    <w:p w:rsidR="007F54F0" w:rsidRPr="00FD54C8" w:rsidRDefault="007F54F0" w:rsidP="00FD54C8">
      <w:pPr>
        <w:pStyle w:val="HeadHatzaotHok"/>
        <w:tabs>
          <w:tab w:val="left" w:pos="4071"/>
          <w:tab w:val="center" w:pos="4819"/>
        </w:tabs>
        <w:spacing w:before="0"/>
        <w:rPr>
          <w:sz w:val="26"/>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7143"/>
      </w:tblGrid>
      <w:tr w:rsidR="001C22F5" w:rsidTr="00414F55">
        <w:trPr>
          <w:cantSplit/>
        </w:trPr>
        <w:tc>
          <w:tcPr>
            <w:tcW w:w="1872" w:type="dxa"/>
            <w:hideMark/>
          </w:tcPr>
          <w:p w:rsidR="001C22F5" w:rsidRDefault="001C22F5">
            <w:pPr>
              <w:pStyle w:val="TableSideHeading"/>
              <w:keepLines w:val="0"/>
            </w:pPr>
            <w:r>
              <w:rPr>
                <w:rFonts w:hint="cs"/>
                <w:rtl/>
              </w:rPr>
              <w:t>מטרה</w:t>
            </w:r>
          </w:p>
        </w:tc>
        <w:tc>
          <w:tcPr>
            <w:tcW w:w="624" w:type="dxa"/>
            <w:hideMark/>
          </w:tcPr>
          <w:p w:rsidR="001C22F5" w:rsidRDefault="001C22F5">
            <w:pPr>
              <w:pStyle w:val="TableText"/>
              <w:keepLines w:val="0"/>
            </w:pPr>
            <w:r>
              <w:rPr>
                <w:rFonts w:hint="cs"/>
                <w:rtl/>
              </w:rPr>
              <w:t>1.</w:t>
            </w:r>
          </w:p>
        </w:tc>
        <w:tc>
          <w:tcPr>
            <w:tcW w:w="7143" w:type="dxa"/>
            <w:hideMark/>
          </w:tcPr>
          <w:p w:rsidR="001C22F5" w:rsidRDefault="001C22F5" w:rsidP="00FF313E">
            <w:pPr>
              <w:pStyle w:val="TableBlock"/>
              <w:rPr>
                <w:rtl/>
              </w:rPr>
            </w:pPr>
            <w:r>
              <w:rPr>
                <w:rFonts w:hint="cs"/>
                <w:rtl/>
              </w:rPr>
              <w:t xml:space="preserve">חוק זה בא </w:t>
            </w:r>
            <w:r w:rsidR="00FF313E">
              <w:rPr>
                <w:rFonts w:hint="cs"/>
                <w:rtl/>
              </w:rPr>
              <w:t>להפקיד בידי הוועדה הציבורית</w:t>
            </w:r>
            <w:r>
              <w:rPr>
                <w:rFonts w:hint="cs"/>
                <w:rtl/>
              </w:rPr>
              <w:t xml:space="preserve"> סמכויות לקביעת שכר ותשלומים אחרים לנשיא ולשרי הממשלה, בהתחשב במאפיינים המיוחדים של תפקידיהם.</w:t>
            </w:r>
          </w:p>
        </w:tc>
      </w:tr>
      <w:tr w:rsidR="001C22F5" w:rsidTr="00414F55">
        <w:trPr>
          <w:cantSplit/>
        </w:trPr>
        <w:tc>
          <w:tcPr>
            <w:tcW w:w="1872" w:type="dxa"/>
            <w:hideMark/>
          </w:tcPr>
          <w:p w:rsidR="001C22F5" w:rsidRDefault="001C22F5">
            <w:pPr>
              <w:pStyle w:val="TableSideHeading"/>
              <w:keepLines w:val="0"/>
            </w:pPr>
            <w:r>
              <w:rPr>
                <w:rFonts w:hint="cs"/>
                <w:rtl/>
              </w:rPr>
              <w:t>הגדרות</w:t>
            </w:r>
          </w:p>
        </w:tc>
        <w:tc>
          <w:tcPr>
            <w:tcW w:w="624" w:type="dxa"/>
            <w:hideMark/>
          </w:tcPr>
          <w:p w:rsidR="001C22F5" w:rsidRDefault="001C22F5">
            <w:pPr>
              <w:pStyle w:val="TableText"/>
            </w:pPr>
            <w:r>
              <w:rPr>
                <w:rFonts w:hint="cs"/>
                <w:rtl/>
              </w:rPr>
              <w:t>2.</w:t>
            </w:r>
          </w:p>
        </w:tc>
        <w:tc>
          <w:tcPr>
            <w:tcW w:w="7143" w:type="dxa"/>
            <w:hideMark/>
          </w:tcPr>
          <w:p w:rsidR="001C22F5" w:rsidRDefault="001C22F5" w:rsidP="00414F55">
            <w:pPr>
              <w:pStyle w:val="TableBlock"/>
            </w:pPr>
            <w:r>
              <w:rPr>
                <w:rFonts w:hint="cs"/>
                <w:rtl/>
              </w:rPr>
              <w:t>בחוק זה –</w:t>
            </w:r>
          </w:p>
        </w:tc>
      </w:tr>
      <w:tr w:rsidR="001C22F5" w:rsidTr="00414F55">
        <w:trPr>
          <w:cantSplit/>
        </w:trPr>
        <w:tc>
          <w:tcPr>
            <w:tcW w:w="1872" w:type="dxa"/>
          </w:tcPr>
          <w:p w:rsidR="001C22F5" w:rsidRDefault="001C22F5">
            <w:pPr>
              <w:pStyle w:val="TableSideHeading"/>
              <w:keepLines w:val="0"/>
            </w:pPr>
          </w:p>
        </w:tc>
        <w:tc>
          <w:tcPr>
            <w:tcW w:w="624" w:type="dxa"/>
          </w:tcPr>
          <w:p w:rsidR="001C22F5" w:rsidRDefault="001C22F5">
            <w:pPr>
              <w:pStyle w:val="TableText"/>
            </w:pPr>
          </w:p>
        </w:tc>
        <w:tc>
          <w:tcPr>
            <w:tcW w:w="7143" w:type="dxa"/>
            <w:hideMark/>
          </w:tcPr>
          <w:p w:rsidR="001C22F5" w:rsidRDefault="001C22F5" w:rsidP="00414F55">
            <w:pPr>
              <w:pStyle w:val="TableBlockOutdent"/>
            </w:pPr>
            <w:r>
              <w:rPr>
                <w:rFonts w:hint="cs"/>
                <w:rtl/>
              </w:rPr>
              <w:t>"הוועדה הציבורית" – כהגדרתה בסעיף 50 לחוק הכנסת, התשנ"ד–1994</w:t>
            </w:r>
            <w:r>
              <w:rPr>
                <w:rStyle w:val="a6"/>
                <w:rtl/>
              </w:rPr>
              <w:footnoteReference w:id="2"/>
            </w:r>
            <w:r>
              <w:rPr>
                <w:rFonts w:hint="cs"/>
                <w:rtl/>
              </w:rPr>
              <w:t xml:space="preserve"> (להלן – חוק הכנסת);</w:t>
            </w:r>
          </w:p>
        </w:tc>
      </w:tr>
      <w:tr w:rsidR="001C22F5" w:rsidTr="00414F55">
        <w:trPr>
          <w:cantSplit/>
        </w:trPr>
        <w:tc>
          <w:tcPr>
            <w:tcW w:w="1872" w:type="dxa"/>
          </w:tcPr>
          <w:p w:rsidR="001C22F5" w:rsidRDefault="001C22F5">
            <w:pPr>
              <w:pStyle w:val="TableSideHeading"/>
              <w:keepLines w:val="0"/>
            </w:pPr>
          </w:p>
        </w:tc>
        <w:tc>
          <w:tcPr>
            <w:tcW w:w="624" w:type="dxa"/>
          </w:tcPr>
          <w:p w:rsidR="001C22F5" w:rsidRDefault="001C22F5">
            <w:pPr>
              <w:pStyle w:val="TableText"/>
            </w:pPr>
          </w:p>
        </w:tc>
        <w:tc>
          <w:tcPr>
            <w:tcW w:w="7143" w:type="dxa"/>
            <w:hideMark/>
          </w:tcPr>
          <w:p w:rsidR="001C22F5" w:rsidRDefault="001C22F5" w:rsidP="00414F55">
            <w:pPr>
              <w:pStyle w:val="TableBlockOutdent"/>
            </w:pPr>
            <w:r>
              <w:rPr>
                <w:rFonts w:hint="cs"/>
                <w:rtl/>
              </w:rPr>
              <w:t>"הנשיא" – נשיא המדינה;</w:t>
            </w:r>
          </w:p>
        </w:tc>
      </w:tr>
      <w:tr w:rsidR="001C22F5" w:rsidTr="00414F55">
        <w:trPr>
          <w:cantSplit/>
        </w:trPr>
        <w:tc>
          <w:tcPr>
            <w:tcW w:w="1872" w:type="dxa"/>
          </w:tcPr>
          <w:p w:rsidR="001C22F5" w:rsidRDefault="001C22F5">
            <w:pPr>
              <w:pStyle w:val="TableSideHeading"/>
              <w:keepLines w:val="0"/>
            </w:pPr>
          </w:p>
        </w:tc>
        <w:tc>
          <w:tcPr>
            <w:tcW w:w="624" w:type="dxa"/>
          </w:tcPr>
          <w:p w:rsidR="001C22F5" w:rsidRDefault="001C22F5">
            <w:pPr>
              <w:pStyle w:val="TableText"/>
            </w:pPr>
          </w:p>
        </w:tc>
        <w:tc>
          <w:tcPr>
            <w:tcW w:w="7143" w:type="dxa"/>
            <w:hideMark/>
          </w:tcPr>
          <w:p w:rsidR="001C22F5" w:rsidRDefault="001C22F5" w:rsidP="00414F55">
            <w:pPr>
              <w:pStyle w:val="TableBlock"/>
            </w:pPr>
            <w:r>
              <w:rPr>
                <w:rFonts w:hint="cs"/>
                <w:rtl/>
              </w:rPr>
              <w:t>"שכר" – שכר יסוד חודשי, לרבות תוספת יוקר ופיצוי התייקרות;</w:t>
            </w:r>
          </w:p>
        </w:tc>
      </w:tr>
      <w:tr w:rsidR="001C22F5" w:rsidTr="00414F55">
        <w:trPr>
          <w:cantSplit/>
        </w:trPr>
        <w:tc>
          <w:tcPr>
            <w:tcW w:w="1872" w:type="dxa"/>
          </w:tcPr>
          <w:p w:rsidR="001C22F5" w:rsidRDefault="001C22F5">
            <w:pPr>
              <w:pStyle w:val="TableSideHeading"/>
              <w:keepLines w:val="0"/>
            </w:pPr>
          </w:p>
        </w:tc>
        <w:tc>
          <w:tcPr>
            <w:tcW w:w="624" w:type="dxa"/>
          </w:tcPr>
          <w:p w:rsidR="001C22F5" w:rsidRDefault="001C22F5">
            <w:pPr>
              <w:pStyle w:val="TableText"/>
            </w:pPr>
          </w:p>
        </w:tc>
        <w:tc>
          <w:tcPr>
            <w:tcW w:w="7143" w:type="dxa"/>
            <w:hideMark/>
          </w:tcPr>
          <w:p w:rsidR="001C22F5" w:rsidRDefault="001C22F5" w:rsidP="00414F55">
            <w:pPr>
              <w:pStyle w:val="TableBlockOutdent"/>
            </w:pPr>
            <w:r>
              <w:rPr>
                <w:rFonts w:hint="cs"/>
                <w:rtl/>
              </w:rPr>
              <w:t>"שר" – מי שהכנסת אישרה את מינויו לשר בממשלה לפי סעיפים 13 או 15 לחוק-יסוד: הממשלה</w:t>
            </w:r>
            <w:r>
              <w:rPr>
                <w:rStyle w:val="a6"/>
                <w:rtl/>
              </w:rPr>
              <w:footnoteReference w:id="3"/>
            </w:r>
            <w:r>
              <w:rPr>
                <w:rFonts w:hint="cs"/>
                <w:rtl/>
              </w:rPr>
              <w:t>, לפי העניין, ולרבות סגן שר;</w:t>
            </w:r>
          </w:p>
        </w:tc>
      </w:tr>
      <w:tr w:rsidR="001C22F5" w:rsidTr="00414F55">
        <w:trPr>
          <w:cantSplit/>
        </w:trPr>
        <w:tc>
          <w:tcPr>
            <w:tcW w:w="1872" w:type="dxa"/>
          </w:tcPr>
          <w:p w:rsidR="001C22F5" w:rsidRDefault="001C22F5">
            <w:pPr>
              <w:pStyle w:val="TableSideHeading"/>
              <w:keepLines w:val="0"/>
            </w:pPr>
          </w:p>
        </w:tc>
        <w:tc>
          <w:tcPr>
            <w:tcW w:w="624" w:type="dxa"/>
          </w:tcPr>
          <w:p w:rsidR="001C22F5" w:rsidRDefault="001C22F5">
            <w:pPr>
              <w:pStyle w:val="TableText"/>
            </w:pPr>
          </w:p>
        </w:tc>
        <w:tc>
          <w:tcPr>
            <w:tcW w:w="7143" w:type="dxa"/>
            <w:hideMark/>
          </w:tcPr>
          <w:p w:rsidR="001C22F5" w:rsidRDefault="001C22F5" w:rsidP="00414F55">
            <w:pPr>
              <w:pStyle w:val="TableBlockOutdent"/>
            </w:pPr>
            <w:r>
              <w:rPr>
                <w:rFonts w:hint="cs"/>
                <w:rtl/>
              </w:rPr>
              <w:t>"תשלומים אחרים" – הענקות, טובות הנאה, שירותים ותשלומים אחרים, כמפורט בסעיף 55(א)(2) לחוק הכנסת, המשולמים או הניתנים לנשיא או לשר, לפי העניין, בתקופת כהונתו.</w:t>
            </w:r>
          </w:p>
        </w:tc>
      </w:tr>
      <w:tr w:rsidR="001C22F5" w:rsidTr="00414F55">
        <w:trPr>
          <w:cantSplit/>
        </w:trPr>
        <w:tc>
          <w:tcPr>
            <w:tcW w:w="1872" w:type="dxa"/>
            <w:hideMark/>
          </w:tcPr>
          <w:p w:rsidR="001C22F5" w:rsidRDefault="001C22F5">
            <w:pPr>
              <w:pStyle w:val="TableSideHeading"/>
              <w:keepLines w:val="0"/>
            </w:pPr>
            <w:r>
              <w:rPr>
                <w:rFonts w:hint="cs"/>
                <w:rtl/>
              </w:rPr>
              <w:t>שכר ותשלומים אחרים</w:t>
            </w:r>
          </w:p>
        </w:tc>
        <w:tc>
          <w:tcPr>
            <w:tcW w:w="624" w:type="dxa"/>
            <w:hideMark/>
          </w:tcPr>
          <w:p w:rsidR="001C22F5" w:rsidRDefault="001C22F5">
            <w:pPr>
              <w:pStyle w:val="TableText"/>
            </w:pPr>
            <w:r>
              <w:rPr>
                <w:rFonts w:hint="cs"/>
                <w:rtl/>
              </w:rPr>
              <w:t>3.</w:t>
            </w:r>
          </w:p>
        </w:tc>
        <w:tc>
          <w:tcPr>
            <w:tcW w:w="7143" w:type="dxa"/>
            <w:hideMark/>
          </w:tcPr>
          <w:p w:rsidR="001C22F5" w:rsidRDefault="001C22F5" w:rsidP="00414F55">
            <w:pPr>
              <w:pStyle w:val="TableBlock"/>
            </w:pPr>
            <w:r>
              <w:rPr>
                <w:rFonts w:hint="cs"/>
                <w:rtl/>
              </w:rPr>
              <w:t>לנשיא ולשר ישולמו שכר ותשלומים אחרים בהתאם להוראות חוק זה, וחובה עליהם לקבלם.</w:t>
            </w:r>
          </w:p>
        </w:tc>
      </w:tr>
      <w:tr w:rsidR="001C22F5" w:rsidTr="00414F55">
        <w:trPr>
          <w:cantSplit/>
        </w:trPr>
        <w:tc>
          <w:tcPr>
            <w:tcW w:w="1872" w:type="dxa"/>
            <w:hideMark/>
          </w:tcPr>
          <w:p w:rsidR="001C22F5" w:rsidRDefault="001C22F5">
            <w:pPr>
              <w:pStyle w:val="TableSideHeading"/>
              <w:keepLines w:val="0"/>
            </w:pPr>
            <w:r>
              <w:rPr>
                <w:rFonts w:hint="cs"/>
                <w:rtl/>
              </w:rPr>
              <w:t>הוועדה הציבורית</w:t>
            </w:r>
          </w:p>
        </w:tc>
        <w:tc>
          <w:tcPr>
            <w:tcW w:w="624" w:type="dxa"/>
            <w:hideMark/>
          </w:tcPr>
          <w:p w:rsidR="001C22F5" w:rsidRDefault="001C22F5">
            <w:pPr>
              <w:pStyle w:val="TableText"/>
            </w:pPr>
            <w:r>
              <w:rPr>
                <w:rFonts w:hint="cs"/>
                <w:rtl/>
              </w:rPr>
              <w:t>4.</w:t>
            </w:r>
          </w:p>
        </w:tc>
        <w:tc>
          <w:tcPr>
            <w:tcW w:w="7143" w:type="dxa"/>
            <w:hideMark/>
          </w:tcPr>
          <w:p w:rsidR="001C22F5" w:rsidRDefault="001C22F5" w:rsidP="001965D0">
            <w:pPr>
              <w:pStyle w:val="TableBlock"/>
            </w:pPr>
            <w:r>
              <w:rPr>
                <w:rFonts w:hint="cs"/>
                <w:rtl/>
              </w:rPr>
              <w:t>הוועדה הציבורית תמליץ גם לעניין שכר ותשלומים אחרים לנשיא ולשר, והוראות פרק ט' לחוק הכנסת יחולו בשינויים המחויבים, ואולם בסעיף 55 לחוק האמור, בכל מקום במקום "ועדת הכנסת" יקראו "ועדת הכספים".</w:t>
            </w:r>
          </w:p>
        </w:tc>
      </w:tr>
      <w:tr w:rsidR="001C22F5" w:rsidTr="00414F55">
        <w:trPr>
          <w:cantSplit/>
        </w:trPr>
        <w:tc>
          <w:tcPr>
            <w:tcW w:w="1872" w:type="dxa"/>
            <w:hideMark/>
          </w:tcPr>
          <w:p w:rsidR="001C22F5" w:rsidRDefault="001C22F5">
            <w:pPr>
              <w:pStyle w:val="TableSideHeading"/>
              <w:keepLines w:val="0"/>
            </w:pPr>
            <w:r>
              <w:rPr>
                <w:rFonts w:hint="cs"/>
                <w:rtl/>
              </w:rPr>
              <w:t>שמירת תוקף</w:t>
            </w:r>
          </w:p>
        </w:tc>
        <w:tc>
          <w:tcPr>
            <w:tcW w:w="624" w:type="dxa"/>
            <w:hideMark/>
          </w:tcPr>
          <w:p w:rsidR="001C22F5" w:rsidRDefault="001965D0">
            <w:pPr>
              <w:pStyle w:val="TableText"/>
            </w:pPr>
            <w:r>
              <w:rPr>
                <w:rFonts w:hint="cs"/>
                <w:rtl/>
              </w:rPr>
              <w:t>5</w:t>
            </w:r>
            <w:r w:rsidR="001C22F5">
              <w:rPr>
                <w:rFonts w:hint="cs"/>
                <w:rtl/>
              </w:rPr>
              <w:t>.</w:t>
            </w:r>
          </w:p>
        </w:tc>
        <w:tc>
          <w:tcPr>
            <w:tcW w:w="7143" w:type="dxa"/>
            <w:hideMark/>
          </w:tcPr>
          <w:p w:rsidR="001C22F5" w:rsidRPr="001965D0" w:rsidRDefault="001C22F5" w:rsidP="001965D0">
            <w:pPr>
              <w:pStyle w:val="TableBlock"/>
            </w:pPr>
            <w:r w:rsidRPr="001965D0">
              <w:rPr>
                <w:rFonts w:hint="cs"/>
                <w:rtl/>
              </w:rPr>
              <w:t xml:space="preserve">החלטה לעניין שכר ותשלומים אחרים לנשיא או לשר שהתקבלה לפי </w:t>
            </w:r>
            <w:r w:rsidRPr="007F54F0">
              <w:rPr>
                <w:rFonts w:hint="cs"/>
                <w:spacing w:val="-4"/>
                <w:rtl/>
              </w:rPr>
              <w:t>חוק-יסוד: נשיא המדינה</w:t>
            </w:r>
            <w:r w:rsidRPr="007F54F0">
              <w:rPr>
                <w:spacing w:val="-4"/>
                <w:szCs w:val="20"/>
                <w:rtl/>
              </w:rPr>
              <w:footnoteReference w:id="4"/>
            </w:r>
            <w:r w:rsidR="001965D0" w:rsidRPr="007F54F0">
              <w:rPr>
                <w:rFonts w:hint="cs"/>
                <w:spacing w:val="-4"/>
                <w:rtl/>
              </w:rPr>
              <w:t xml:space="preserve">, </w:t>
            </w:r>
            <w:r w:rsidRPr="007F54F0">
              <w:rPr>
                <w:rFonts w:hint="cs"/>
                <w:spacing w:val="-4"/>
                <w:rtl/>
              </w:rPr>
              <w:t>או לפי חוק-יסוד: הממשלה, לפי העניין</w:t>
            </w:r>
            <w:r w:rsidRPr="001965D0">
              <w:rPr>
                <w:rFonts w:hint="cs"/>
                <w:rtl/>
              </w:rPr>
              <w:t>, שהתקבלה לפני כניסתו של חוק זה לתוקף, תעמוד בתוקפה ככל שאינה סותרת החלטה שנכנסה לתוקף לפי הוראות חוק זה או כל עוד לא שונתה בהחלטה כאמור.</w:t>
            </w:r>
          </w:p>
        </w:tc>
      </w:tr>
      <w:tr w:rsidR="001C22F5" w:rsidTr="00414F55">
        <w:trPr>
          <w:cantSplit/>
        </w:trPr>
        <w:tc>
          <w:tcPr>
            <w:tcW w:w="1872" w:type="dxa"/>
            <w:hideMark/>
          </w:tcPr>
          <w:p w:rsidR="001C22F5" w:rsidRDefault="001C22F5">
            <w:pPr>
              <w:pStyle w:val="TableSideHeading"/>
              <w:keepLines w:val="0"/>
            </w:pPr>
            <w:r>
              <w:rPr>
                <w:rFonts w:hint="cs"/>
                <w:rtl/>
              </w:rPr>
              <w:t>תחילה ותחולה</w:t>
            </w:r>
          </w:p>
        </w:tc>
        <w:tc>
          <w:tcPr>
            <w:tcW w:w="624" w:type="dxa"/>
            <w:hideMark/>
          </w:tcPr>
          <w:p w:rsidR="001C22F5" w:rsidRDefault="001965D0">
            <w:pPr>
              <w:pStyle w:val="TableText"/>
            </w:pPr>
            <w:r>
              <w:rPr>
                <w:rFonts w:hint="cs"/>
                <w:rtl/>
              </w:rPr>
              <w:t>6</w:t>
            </w:r>
            <w:r w:rsidR="001C22F5">
              <w:rPr>
                <w:rFonts w:hint="cs"/>
                <w:rtl/>
              </w:rPr>
              <w:t>.</w:t>
            </w:r>
          </w:p>
        </w:tc>
        <w:tc>
          <w:tcPr>
            <w:tcW w:w="7143" w:type="dxa"/>
            <w:hideMark/>
          </w:tcPr>
          <w:p w:rsidR="001C22F5" w:rsidRDefault="001C22F5" w:rsidP="001965D0">
            <w:pPr>
              <w:pStyle w:val="TableBlock"/>
            </w:pPr>
            <w:r>
              <w:rPr>
                <w:rFonts w:hint="cs"/>
                <w:rtl/>
              </w:rPr>
              <w:t>תחילתו של חוק זה _____</w:t>
            </w:r>
            <w:r w:rsidR="001965D0" w:rsidRPr="00414F55">
              <w:rPr>
                <w:rStyle w:val="a6"/>
                <w:szCs w:val="20"/>
                <w:rtl/>
              </w:rPr>
              <w:footnoteReference w:customMarkFollows="1" w:id="5"/>
              <w:sym w:font="Symbol" w:char="F02A"/>
            </w:r>
            <w:r>
              <w:rPr>
                <w:rFonts w:hint="cs"/>
                <w:rtl/>
              </w:rPr>
              <w:t xml:space="preserve"> מיום פרסומו</w:t>
            </w:r>
            <w:r w:rsidR="001965D0">
              <w:rPr>
                <w:rFonts w:hint="cs"/>
                <w:rtl/>
              </w:rPr>
              <w:t>,</w:t>
            </w:r>
            <w:r>
              <w:rPr>
                <w:rFonts w:hint="cs"/>
                <w:rtl/>
              </w:rPr>
              <w:t xml:space="preserve"> והוא יחול על החלטה שניתנה לפיו מיום התחילה ואילך.</w:t>
            </w:r>
          </w:p>
        </w:tc>
      </w:tr>
    </w:tbl>
    <w:p w:rsidR="004C67C4" w:rsidRDefault="004C67C4" w:rsidP="004C67C4">
      <w:pPr>
        <w:pStyle w:val="Hesber"/>
      </w:pPr>
    </w:p>
    <w:p w:rsidR="004C67C4" w:rsidRPr="001965D0" w:rsidRDefault="004C67C4" w:rsidP="007F54F0">
      <w:pPr>
        <w:pStyle w:val="HeadDivreiHesber"/>
        <w:jc w:val="both"/>
        <w:rPr>
          <w:rtl/>
        </w:rPr>
      </w:pPr>
      <w:r w:rsidRPr="001965D0">
        <w:rPr>
          <w:rtl/>
        </w:rPr>
        <w:tab/>
      </w:r>
      <w:r w:rsidRPr="001965D0">
        <w:rPr>
          <w:rtl/>
        </w:rPr>
        <w:tab/>
      </w:r>
      <w:r w:rsidR="007F54F0">
        <w:rPr>
          <w:rFonts w:hint="cs"/>
          <w:rtl/>
        </w:rPr>
        <w:tab/>
      </w:r>
      <w:r w:rsidR="007F54F0">
        <w:rPr>
          <w:rFonts w:hint="cs"/>
          <w:rtl/>
        </w:rPr>
        <w:tab/>
      </w:r>
      <w:r w:rsidR="007F54F0">
        <w:rPr>
          <w:rFonts w:hint="cs"/>
          <w:rtl/>
        </w:rPr>
        <w:tab/>
      </w:r>
      <w:r w:rsidR="007F54F0">
        <w:rPr>
          <w:rFonts w:hint="cs"/>
          <w:rtl/>
        </w:rPr>
        <w:tab/>
      </w:r>
      <w:r w:rsidRPr="001965D0">
        <w:rPr>
          <w:rFonts w:hint="cs"/>
          <w:rtl/>
        </w:rPr>
        <w:t>דברי הסבר</w:t>
      </w:r>
    </w:p>
    <w:p w:rsidR="00E13C27" w:rsidRPr="00414F55" w:rsidRDefault="00FF313E" w:rsidP="00414F55">
      <w:pPr>
        <w:pStyle w:val="Hesber"/>
        <w:rPr>
          <w:rtl/>
        </w:rPr>
      </w:pPr>
      <w:r>
        <w:rPr>
          <w:rFonts w:hint="cs"/>
          <w:rtl/>
        </w:rPr>
        <w:t>מוצע שהוועדה הציבורית שממליצה על שכר ותשלומים לחברי הכנסת תוסמך להמליץ על שכר ותשלומים אחרים</w:t>
      </w:r>
      <w:r w:rsidR="00AC72DF">
        <w:rPr>
          <w:rFonts w:hint="cs"/>
          <w:rtl/>
        </w:rPr>
        <w:t xml:space="preserve"> גם</w:t>
      </w:r>
      <w:r w:rsidR="004C67C4" w:rsidRPr="00414F55">
        <w:rPr>
          <w:rFonts w:hint="cs"/>
          <w:rtl/>
        </w:rPr>
        <w:t xml:space="preserve"> לנשיא המדינה, לראש הממשלה ולשרים בהתחשב במאפיינים המיוחדים של תפקידיהם.</w:t>
      </w:r>
    </w:p>
    <w:p w:rsidR="004C67C4" w:rsidRPr="00414F55" w:rsidRDefault="004C67C4" w:rsidP="00FF313E">
      <w:pPr>
        <w:pStyle w:val="Hesber"/>
        <w:rPr>
          <w:rtl/>
        </w:rPr>
      </w:pPr>
      <w:r w:rsidRPr="00414F55">
        <w:rPr>
          <w:rFonts w:hint="cs"/>
          <w:rtl/>
        </w:rPr>
        <w:t xml:space="preserve">מעבר לשכרם הרשמי של </w:t>
      </w:r>
      <w:r w:rsidR="00FF313E">
        <w:rPr>
          <w:rFonts w:hint="cs"/>
          <w:rtl/>
        </w:rPr>
        <w:t>נושאי משרה אלה</w:t>
      </w:r>
      <w:r w:rsidRPr="00414F55">
        <w:rPr>
          <w:rFonts w:hint="cs"/>
          <w:rtl/>
        </w:rPr>
        <w:t xml:space="preserve"> הם מקבלים שירותים ותשלומים אחרים הנ</w:t>
      </w:r>
      <w:r w:rsidR="00CD6D0A" w:rsidRPr="00414F55">
        <w:rPr>
          <w:rFonts w:hint="cs"/>
          <w:rtl/>
        </w:rPr>
        <w:t>י</w:t>
      </w:r>
      <w:r w:rsidRPr="00414F55">
        <w:rPr>
          <w:rFonts w:hint="cs"/>
          <w:rtl/>
        </w:rPr>
        <w:t>תנים לפי העניין בתקופת כהונתם</w:t>
      </w:r>
      <w:r w:rsidR="00496EF5" w:rsidRPr="00414F55">
        <w:rPr>
          <w:rFonts w:hint="cs"/>
          <w:rtl/>
        </w:rPr>
        <w:t>, ואף לאחר פרישתם</w:t>
      </w:r>
      <w:r w:rsidRPr="00414F55">
        <w:rPr>
          <w:rFonts w:hint="cs"/>
          <w:rtl/>
        </w:rPr>
        <w:t>.</w:t>
      </w:r>
    </w:p>
    <w:p w:rsidR="004C67C4" w:rsidRPr="00414F55" w:rsidRDefault="004C67C4" w:rsidP="00414F55">
      <w:pPr>
        <w:pStyle w:val="Hesber"/>
        <w:rPr>
          <w:rtl/>
        </w:rPr>
      </w:pPr>
      <w:r w:rsidRPr="00414F55">
        <w:rPr>
          <w:rFonts w:hint="cs"/>
          <w:rtl/>
        </w:rPr>
        <w:t>מתברר שתשלומים אלה הנאמדים בעשרות מ</w:t>
      </w:r>
      <w:r w:rsidR="00414F55">
        <w:rPr>
          <w:rFonts w:hint="cs"/>
          <w:rtl/>
        </w:rPr>
        <w:t>י</w:t>
      </w:r>
      <w:r w:rsidR="007F54F0">
        <w:rPr>
          <w:rFonts w:hint="cs"/>
          <w:rtl/>
        </w:rPr>
        <w:t>ליוני שקלים נוספים ה</w:t>
      </w:r>
      <w:r w:rsidRPr="00414F55">
        <w:rPr>
          <w:rFonts w:hint="cs"/>
          <w:rtl/>
        </w:rPr>
        <w:t>ם מעל ומעבר לכל פרופורציה המתקבלת על הדעת, סכומים ש</w:t>
      </w:r>
      <w:r w:rsidR="00FF313E">
        <w:rPr>
          <w:rFonts w:hint="cs"/>
          <w:rtl/>
        </w:rPr>
        <w:t xml:space="preserve">אף </w:t>
      </w:r>
      <w:r w:rsidRPr="00414F55">
        <w:rPr>
          <w:rFonts w:hint="cs"/>
          <w:rtl/>
        </w:rPr>
        <w:t>הוכפלו לעומת שנים עברו.</w:t>
      </w:r>
    </w:p>
    <w:p w:rsidR="004C67C4" w:rsidRPr="00414F55" w:rsidRDefault="004C67C4" w:rsidP="007F54F0">
      <w:pPr>
        <w:pStyle w:val="Hesber"/>
        <w:rPr>
          <w:rtl/>
        </w:rPr>
      </w:pPr>
      <w:r w:rsidRPr="00414F55">
        <w:rPr>
          <w:rFonts w:hint="cs"/>
          <w:rtl/>
        </w:rPr>
        <w:t xml:space="preserve">בתקופה כלכלית קשה </w:t>
      </w:r>
      <w:r w:rsidR="001965D0">
        <w:rPr>
          <w:rFonts w:hint="cs"/>
          <w:rtl/>
        </w:rPr>
        <w:t>ש</w:t>
      </w:r>
      <w:r w:rsidRPr="00414F55">
        <w:rPr>
          <w:rFonts w:hint="cs"/>
          <w:rtl/>
        </w:rPr>
        <w:t>בה הגרעון הכלכלי משמעותי ביותר</w:t>
      </w:r>
      <w:r w:rsidR="00FF313E">
        <w:rPr>
          <w:rFonts w:hint="cs"/>
          <w:rtl/>
        </w:rPr>
        <w:t xml:space="preserve"> </w:t>
      </w:r>
      <w:r w:rsidR="001965D0">
        <w:rPr>
          <w:rFonts w:hint="eastAsia"/>
          <w:rtl/>
        </w:rPr>
        <w:t>–</w:t>
      </w:r>
      <w:r w:rsidRPr="00414F55">
        <w:rPr>
          <w:rFonts w:hint="cs"/>
          <w:rtl/>
        </w:rPr>
        <w:t xml:space="preserve"> תקופה של הידוק החגורה, הטלת מסים וצמצומים אחרים לאוכלוסיית ה</w:t>
      </w:r>
      <w:r w:rsidR="00FF313E">
        <w:rPr>
          <w:rFonts w:hint="cs"/>
          <w:rtl/>
        </w:rPr>
        <w:t>מדינה</w:t>
      </w:r>
      <w:r w:rsidRPr="00414F55">
        <w:rPr>
          <w:rFonts w:hint="cs"/>
          <w:rtl/>
        </w:rPr>
        <w:t>, צריכים הנושאים הללו להגיע להסדרה שקופה ברורה כלפי הציבור.</w:t>
      </w:r>
      <w:r w:rsidR="00CD6D0A" w:rsidRPr="00414F55">
        <w:rPr>
          <w:rFonts w:hint="cs"/>
          <w:rtl/>
        </w:rPr>
        <w:t xml:space="preserve"> </w:t>
      </w:r>
      <w:r w:rsidR="00216316" w:rsidRPr="00414F55">
        <w:rPr>
          <w:rFonts w:hint="cs"/>
          <w:rtl/>
        </w:rPr>
        <w:t>בדומה לח</w:t>
      </w:r>
      <w:r w:rsidR="00414F55">
        <w:rPr>
          <w:rFonts w:hint="cs"/>
          <w:rtl/>
        </w:rPr>
        <w:t xml:space="preserve">ברי הכנסת, </w:t>
      </w:r>
      <w:r w:rsidR="00216316" w:rsidRPr="00414F55">
        <w:rPr>
          <w:rFonts w:hint="cs"/>
          <w:rtl/>
        </w:rPr>
        <w:t>להם הוקמה ועדה ציבורית מטעם הכנסת מכ</w:t>
      </w:r>
      <w:r w:rsidR="00414F55">
        <w:rPr>
          <w:rFonts w:hint="cs"/>
          <w:rtl/>
        </w:rPr>
        <w:t>ו</w:t>
      </w:r>
      <w:r w:rsidR="00216316" w:rsidRPr="00414F55">
        <w:rPr>
          <w:rFonts w:hint="cs"/>
          <w:rtl/>
        </w:rPr>
        <w:t>ח סעיף 52 לחוק הכנסת התשנ"ד</w:t>
      </w:r>
      <w:r w:rsidR="00414F55">
        <w:rPr>
          <w:rFonts w:hint="eastAsia"/>
          <w:rtl/>
        </w:rPr>
        <w:t>–</w:t>
      </w:r>
      <w:r w:rsidR="00216316" w:rsidRPr="00414F55">
        <w:rPr>
          <w:rFonts w:hint="cs"/>
          <w:rtl/>
        </w:rPr>
        <w:t>1994</w:t>
      </w:r>
      <w:r w:rsidR="00414F55">
        <w:rPr>
          <w:rFonts w:hint="cs"/>
          <w:rtl/>
        </w:rPr>
        <w:t>,</w:t>
      </w:r>
      <w:r w:rsidR="00216316" w:rsidRPr="00414F55">
        <w:rPr>
          <w:rFonts w:hint="cs"/>
          <w:rtl/>
        </w:rPr>
        <w:t xml:space="preserve"> הממליצה על </w:t>
      </w:r>
      <w:r w:rsidR="00CD6D0A" w:rsidRPr="00414F55">
        <w:rPr>
          <w:rFonts w:hint="cs"/>
          <w:rtl/>
        </w:rPr>
        <w:t>ג</w:t>
      </w:r>
      <w:r w:rsidR="00216316" w:rsidRPr="00414F55">
        <w:rPr>
          <w:rFonts w:hint="cs"/>
          <w:rtl/>
        </w:rPr>
        <w:t>ובה שכרם ועל תשלומים נוספים</w:t>
      </w:r>
      <w:r w:rsidR="00414F55">
        <w:rPr>
          <w:rFonts w:hint="cs"/>
          <w:rtl/>
        </w:rPr>
        <w:t xml:space="preserve"> של חברי הכנסת.</w:t>
      </w:r>
    </w:p>
    <w:p w:rsidR="007F54F0" w:rsidRDefault="007F54F0" w:rsidP="001965D0">
      <w:pPr>
        <w:pStyle w:val="Hesber"/>
        <w:rPr>
          <w:rtl/>
        </w:rPr>
      </w:pPr>
    </w:p>
    <w:p w:rsidR="007F54F0" w:rsidRDefault="007F54F0" w:rsidP="001965D0">
      <w:pPr>
        <w:pStyle w:val="Hesber"/>
        <w:rPr>
          <w:rtl/>
        </w:rPr>
      </w:pPr>
    </w:p>
    <w:p w:rsidR="00216316" w:rsidRDefault="00216316" w:rsidP="001965D0">
      <w:pPr>
        <w:pStyle w:val="Hesber"/>
        <w:rPr>
          <w:rtl/>
        </w:rPr>
      </w:pPr>
      <w:r w:rsidRPr="00414F55">
        <w:rPr>
          <w:rFonts w:hint="cs"/>
          <w:rtl/>
        </w:rPr>
        <w:lastRenderedPageBreak/>
        <w:t>אשר על כן</w:t>
      </w:r>
      <w:r w:rsidR="00414F55">
        <w:rPr>
          <w:rFonts w:hint="cs"/>
          <w:rtl/>
        </w:rPr>
        <w:t>,</w:t>
      </w:r>
      <w:r w:rsidRPr="00414F55">
        <w:rPr>
          <w:rFonts w:hint="cs"/>
          <w:rtl/>
        </w:rPr>
        <w:t xml:space="preserve"> </w:t>
      </w:r>
      <w:r w:rsidR="00414F55">
        <w:rPr>
          <w:rFonts w:hint="cs"/>
          <w:rtl/>
        </w:rPr>
        <w:t>מוצע בהצעת חוק</w:t>
      </w:r>
      <w:r w:rsidRPr="00414F55">
        <w:rPr>
          <w:rFonts w:hint="cs"/>
          <w:rtl/>
        </w:rPr>
        <w:t xml:space="preserve"> </w:t>
      </w:r>
      <w:r w:rsidR="00F62E76">
        <w:rPr>
          <w:rFonts w:hint="cs"/>
          <w:rtl/>
        </w:rPr>
        <w:t>להבטיח שקיפות על ידי קביעה</w:t>
      </w:r>
      <w:r w:rsidR="00414F55">
        <w:rPr>
          <w:rFonts w:hint="cs"/>
          <w:rtl/>
        </w:rPr>
        <w:t xml:space="preserve"> </w:t>
      </w:r>
      <w:r w:rsidRPr="00414F55">
        <w:rPr>
          <w:rFonts w:hint="cs"/>
          <w:rtl/>
        </w:rPr>
        <w:t>לגבי כל ה</w:t>
      </w:r>
      <w:r w:rsidR="00414F55">
        <w:rPr>
          <w:rFonts w:hint="cs"/>
          <w:rtl/>
        </w:rPr>
        <w:t>ה</w:t>
      </w:r>
      <w:r w:rsidRPr="00414F55">
        <w:rPr>
          <w:rFonts w:hint="cs"/>
          <w:rtl/>
        </w:rPr>
        <w:t>חלטות הנוגעות למימון ההוצאות הממלכתיות הנשיא, ראש הממשלה והשרים</w:t>
      </w:r>
      <w:r w:rsidR="00CD6D0A" w:rsidRPr="00414F55">
        <w:rPr>
          <w:rFonts w:hint="cs"/>
          <w:rtl/>
        </w:rPr>
        <w:t xml:space="preserve">, </w:t>
      </w:r>
      <w:r w:rsidR="00414F55">
        <w:rPr>
          <w:rFonts w:hint="cs"/>
          <w:rtl/>
        </w:rPr>
        <w:t>אשר</w:t>
      </w:r>
      <w:r w:rsidR="00CD6D0A" w:rsidRPr="00414F55">
        <w:rPr>
          <w:rFonts w:hint="cs"/>
          <w:rtl/>
        </w:rPr>
        <w:t xml:space="preserve"> </w:t>
      </w:r>
      <w:r w:rsidRPr="00414F55">
        <w:rPr>
          <w:rFonts w:hint="cs"/>
          <w:rtl/>
        </w:rPr>
        <w:t>י</w:t>
      </w:r>
      <w:r w:rsidR="00414F55">
        <w:rPr>
          <w:rFonts w:hint="cs"/>
          <w:rtl/>
        </w:rPr>
        <w:t>י</w:t>
      </w:r>
      <w:r w:rsidRPr="00414F55">
        <w:rPr>
          <w:rFonts w:hint="cs"/>
          <w:rtl/>
        </w:rPr>
        <w:t>קבעו ע</w:t>
      </w:r>
      <w:r w:rsidR="00414F55">
        <w:rPr>
          <w:rFonts w:hint="cs"/>
          <w:rtl/>
        </w:rPr>
        <w:t xml:space="preserve">ל </w:t>
      </w:r>
      <w:r w:rsidRPr="00414F55">
        <w:rPr>
          <w:rFonts w:hint="cs"/>
          <w:rtl/>
        </w:rPr>
        <w:t>י</w:t>
      </w:r>
      <w:r w:rsidR="00414F55">
        <w:rPr>
          <w:rFonts w:hint="cs"/>
          <w:rtl/>
        </w:rPr>
        <w:t>די ו</w:t>
      </w:r>
      <w:r w:rsidRPr="00414F55">
        <w:rPr>
          <w:rFonts w:hint="cs"/>
          <w:rtl/>
        </w:rPr>
        <w:t>עדה ציבו</w:t>
      </w:r>
      <w:r w:rsidR="00414F55">
        <w:rPr>
          <w:rFonts w:hint="cs"/>
          <w:rtl/>
        </w:rPr>
        <w:t>רית אשר המלצותיה יוגשו לאישור ו</w:t>
      </w:r>
      <w:r w:rsidRPr="00414F55">
        <w:rPr>
          <w:rFonts w:hint="cs"/>
          <w:rtl/>
        </w:rPr>
        <w:t>עדת הכספים</w:t>
      </w:r>
      <w:r w:rsidR="00414F55">
        <w:rPr>
          <w:rFonts w:hint="cs"/>
          <w:rtl/>
        </w:rPr>
        <w:t xml:space="preserve"> של הכנסת</w:t>
      </w:r>
      <w:r w:rsidRPr="00414F55">
        <w:rPr>
          <w:rFonts w:hint="cs"/>
          <w:rtl/>
        </w:rPr>
        <w:t>.</w:t>
      </w: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7F54F0" w:rsidRDefault="007F54F0" w:rsidP="001965D0">
      <w:pPr>
        <w:pStyle w:val="Hesber"/>
        <w:rPr>
          <w:rtl/>
        </w:rPr>
      </w:pPr>
    </w:p>
    <w:p w:rsidR="001965D0" w:rsidRDefault="001965D0" w:rsidP="007F54F0">
      <w:pPr>
        <w:pStyle w:val="Hesber"/>
      </w:pPr>
      <w:r>
        <w:rPr>
          <w:rFonts w:hint="cs"/>
          <w:rtl/>
        </w:rPr>
        <w:t>---------------------------------</w:t>
      </w:r>
    </w:p>
    <w:p w:rsidR="001965D0" w:rsidRDefault="001965D0" w:rsidP="007F54F0">
      <w:pPr>
        <w:pStyle w:val="Hesber"/>
      </w:pPr>
      <w:r>
        <w:rPr>
          <w:rFonts w:hint="cs"/>
          <w:rtl/>
        </w:rPr>
        <w:t>הוגשה ליו"ר הכנסת והסגנים</w:t>
      </w:r>
    </w:p>
    <w:p w:rsidR="001965D0" w:rsidRDefault="001965D0" w:rsidP="007F54F0">
      <w:pPr>
        <w:pStyle w:val="Hesber"/>
        <w:rPr>
          <w:rtl/>
        </w:rPr>
      </w:pPr>
      <w:r>
        <w:rPr>
          <w:rFonts w:hint="cs"/>
          <w:rtl/>
        </w:rPr>
        <w:t>והונחה על שולחן הכנסת ביום</w:t>
      </w:r>
    </w:p>
    <w:p w:rsidR="001965D0" w:rsidRDefault="001965D0" w:rsidP="007F54F0">
      <w:pPr>
        <w:pStyle w:val="Hesber"/>
        <w:rPr>
          <w:rtl/>
        </w:rPr>
      </w:pPr>
      <w:r>
        <w:rPr>
          <w:rFonts w:hint="cs"/>
          <w:rtl/>
        </w:rPr>
        <w:t>ט' בתמוז התשע"ג – 17.6.13</w:t>
      </w:r>
    </w:p>
    <w:p w:rsidR="001965D0" w:rsidRPr="00414F55" w:rsidRDefault="001965D0" w:rsidP="001965D0">
      <w:pPr>
        <w:pStyle w:val="Hesber"/>
        <w:rPr>
          <w:rtl/>
        </w:rPr>
      </w:pPr>
    </w:p>
    <w:sectPr w:rsidR="001965D0" w:rsidRPr="00414F55"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66" w:rsidRDefault="004D1A66">
      <w:r>
        <w:separator/>
      </w:r>
    </w:p>
  </w:endnote>
  <w:endnote w:type="continuationSeparator" w:id="0">
    <w:p w:rsidR="004D1A66" w:rsidRDefault="004D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C278A">
      <w:rPr>
        <w:rStyle w:val="ab"/>
        <w:noProof/>
        <w:rtl/>
      </w:rPr>
      <w:t>3</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66" w:rsidRDefault="004D1A66">
      <w:r>
        <w:separator/>
      </w:r>
    </w:p>
  </w:footnote>
  <w:footnote w:type="continuationSeparator" w:id="0">
    <w:p w:rsidR="004D1A66" w:rsidRDefault="004D1A66">
      <w:r>
        <w:continuationSeparator/>
      </w:r>
    </w:p>
  </w:footnote>
  <w:footnote w:type="continuationNotice" w:id="1">
    <w:p w:rsidR="004D1A66" w:rsidRDefault="004D1A66"/>
  </w:footnote>
  <w:footnote w:id="2">
    <w:p w:rsidR="001C22F5" w:rsidRDefault="001C22F5" w:rsidP="001C22F5">
      <w:pPr>
        <w:pStyle w:val="a4"/>
      </w:pPr>
      <w:r>
        <w:rPr>
          <w:rStyle w:val="a6"/>
        </w:rPr>
        <w:footnoteRef/>
      </w:r>
      <w:r>
        <w:rPr>
          <w:rFonts w:hint="cs"/>
          <w:rtl/>
        </w:rPr>
        <w:t xml:space="preserve"> ס"ח התשנ"ד, עמ' 140.</w:t>
      </w:r>
    </w:p>
  </w:footnote>
  <w:footnote w:id="3">
    <w:p w:rsidR="001C22F5" w:rsidRDefault="001C22F5" w:rsidP="001C22F5">
      <w:pPr>
        <w:pStyle w:val="a4"/>
      </w:pPr>
      <w:r>
        <w:rPr>
          <w:rStyle w:val="a6"/>
        </w:rPr>
        <w:footnoteRef/>
      </w:r>
      <w:r>
        <w:rPr>
          <w:rFonts w:hint="cs"/>
          <w:rtl/>
        </w:rPr>
        <w:t xml:space="preserve"> ס"ח התשס"א, עמ' 158.</w:t>
      </w:r>
    </w:p>
  </w:footnote>
  <w:footnote w:id="4">
    <w:p w:rsidR="001C22F5" w:rsidRDefault="001C22F5" w:rsidP="001C22F5">
      <w:pPr>
        <w:pStyle w:val="a4"/>
      </w:pPr>
      <w:r>
        <w:rPr>
          <w:rStyle w:val="a6"/>
        </w:rPr>
        <w:footnoteRef/>
      </w:r>
      <w:r>
        <w:rPr>
          <w:rFonts w:hint="cs"/>
          <w:rtl/>
        </w:rPr>
        <w:t xml:space="preserve"> ס"ח התשכ"ד, עמ' 118.</w:t>
      </w:r>
    </w:p>
  </w:footnote>
  <w:footnote w:id="5">
    <w:p w:rsidR="001965D0" w:rsidRDefault="001965D0" w:rsidP="001965D0">
      <w:pPr>
        <w:pStyle w:val="a4"/>
      </w:pPr>
      <w:r w:rsidRPr="00414F55">
        <w:rPr>
          <w:rStyle w:val="a6"/>
          <w:rtl/>
        </w:rPr>
        <w:sym w:font="Symbol" w:char="F02A"/>
      </w:r>
      <w:r>
        <w:rPr>
          <w:rtl/>
        </w:rPr>
        <w:t xml:space="preserve"> </w:t>
      </w:r>
      <w:r>
        <w:rPr>
          <w:rFonts w:hint="cs"/>
          <w:rtl/>
        </w:rPr>
        <w:t>מועד התחילה ייקבע בעת הכנת הצעת החוק בקריאה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3876lsCopyOriginal.docx"/>
    <w:docVar w:name="StartMode" w:val="4"/>
  </w:docVars>
  <w:rsids>
    <w:rsidRoot w:val="00DB7060"/>
    <w:rsid w:val="00015B27"/>
    <w:rsid w:val="000527E2"/>
    <w:rsid w:val="000A542E"/>
    <w:rsid w:val="001207F8"/>
    <w:rsid w:val="00121924"/>
    <w:rsid w:val="001279A8"/>
    <w:rsid w:val="0014195F"/>
    <w:rsid w:val="00152609"/>
    <w:rsid w:val="00153E1B"/>
    <w:rsid w:val="001965D0"/>
    <w:rsid w:val="001A0623"/>
    <w:rsid w:val="001C22F5"/>
    <w:rsid w:val="001C23B0"/>
    <w:rsid w:val="001F7694"/>
    <w:rsid w:val="00203A7F"/>
    <w:rsid w:val="00216316"/>
    <w:rsid w:val="002200A1"/>
    <w:rsid w:val="002362BF"/>
    <w:rsid w:val="00241B97"/>
    <w:rsid w:val="00254605"/>
    <w:rsid w:val="002728B4"/>
    <w:rsid w:val="00287871"/>
    <w:rsid w:val="00292712"/>
    <w:rsid w:val="002C278A"/>
    <w:rsid w:val="002C2E29"/>
    <w:rsid w:val="003232A2"/>
    <w:rsid w:val="003710F6"/>
    <w:rsid w:val="00386E88"/>
    <w:rsid w:val="003D74A0"/>
    <w:rsid w:val="004033D8"/>
    <w:rsid w:val="00414F55"/>
    <w:rsid w:val="00496EF5"/>
    <w:rsid w:val="004C67C4"/>
    <w:rsid w:val="004D1A66"/>
    <w:rsid w:val="004D3876"/>
    <w:rsid w:val="004E4552"/>
    <w:rsid w:val="00507422"/>
    <w:rsid w:val="00513935"/>
    <w:rsid w:val="00553C9D"/>
    <w:rsid w:val="005B064E"/>
    <w:rsid w:val="005D51AE"/>
    <w:rsid w:val="00644940"/>
    <w:rsid w:val="006818A9"/>
    <w:rsid w:val="006C1D0D"/>
    <w:rsid w:val="0070601E"/>
    <w:rsid w:val="00720616"/>
    <w:rsid w:val="0072604B"/>
    <w:rsid w:val="00765F66"/>
    <w:rsid w:val="007D5A12"/>
    <w:rsid w:val="007E59F9"/>
    <w:rsid w:val="007F54F0"/>
    <w:rsid w:val="00810BCD"/>
    <w:rsid w:val="00812C98"/>
    <w:rsid w:val="00814D92"/>
    <w:rsid w:val="00892135"/>
    <w:rsid w:val="00895449"/>
    <w:rsid w:val="00897879"/>
    <w:rsid w:val="008C2DDC"/>
    <w:rsid w:val="008F0D63"/>
    <w:rsid w:val="008F2C35"/>
    <w:rsid w:val="0091204F"/>
    <w:rsid w:val="009203DB"/>
    <w:rsid w:val="00943386"/>
    <w:rsid w:val="00957589"/>
    <w:rsid w:val="00982412"/>
    <w:rsid w:val="009A6963"/>
    <w:rsid w:val="00A26BD6"/>
    <w:rsid w:val="00A82CB7"/>
    <w:rsid w:val="00AC36F7"/>
    <w:rsid w:val="00AC72DF"/>
    <w:rsid w:val="00B35784"/>
    <w:rsid w:val="00BC45FB"/>
    <w:rsid w:val="00C9176A"/>
    <w:rsid w:val="00CD6D0A"/>
    <w:rsid w:val="00D867D7"/>
    <w:rsid w:val="00DB7060"/>
    <w:rsid w:val="00DE3153"/>
    <w:rsid w:val="00E13C27"/>
    <w:rsid w:val="00E33AC5"/>
    <w:rsid w:val="00E33BBD"/>
    <w:rsid w:val="00E45103"/>
    <w:rsid w:val="00E665B9"/>
    <w:rsid w:val="00EA01E6"/>
    <w:rsid w:val="00EA758F"/>
    <w:rsid w:val="00ED4A6F"/>
    <w:rsid w:val="00EF3A3A"/>
    <w:rsid w:val="00F62E76"/>
    <w:rsid w:val="00F954EA"/>
    <w:rsid w:val="00FD54C8"/>
    <w:rsid w:val="00FF3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55"/>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14F5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414F55"/>
    <w:rPr>
      <w:sz w:val="36"/>
      <w:szCs w:val="52"/>
    </w:rPr>
  </w:style>
  <w:style w:type="paragraph" w:customStyle="1" w:styleId="Cover3-Haknesset">
    <w:name w:val="Cover 3-Haknesset"/>
    <w:basedOn w:val="Cover1-Reshumot"/>
    <w:rsid w:val="00414F55"/>
    <w:rPr>
      <w:b/>
      <w:bCs/>
      <w:spacing w:val="60"/>
    </w:rPr>
  </w:style>
  <w:style w:type="paragraph" w:customStyle="1" w:styleId="Cover4-Date">
    <w:name w:val="Cover 4-Date"/>
    <w:basedOn w:val="a"/>
    <w:rsid w:val="00414F5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14F5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414F5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414F55"/>
    <w:pPr>
      <w:spacing w:before="120" w:after="120"/>
    </w:pPr>
    <w:rPr>
      <w:color w:val="FF0000"/>
      <w:w w:val="80"/>
    </w:rPr>
  </w:style>
  <w:style w:type="paragraph" w:styleId="a3">
    <w:name w:val="endnote text"/>
    <w:basedOn w:val="a"/>
    <w:semiHidden/>
    <w:rsid w:val="00414F55"/>
    <w:pPr>
      <w:ind w:left="227" w:hanging="227"/>
    </w:pPr>
    <w:rPr>
      <w:sz w:val="14"/>
      <w:szCs w:val="22"/>
    </w:rPr>
  </w:style>
  <w:style w:type="paragraph" w:customStyle="1" w:styleId="TableText">
    <w:name w:val="Table Text"/>
    <w:basedOn w:val="a"/>
    <w:rsid w:val="00414F5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414F55"/>
  </w:style>
  <w:style w:type="paragraph" w:customStyle="1" w:styleId="TableBlock">
    <w:name w:val="Table Block"/>
    <w:basedOn w:val="TableText"/>
    <w:rsid w:val="00414F55"/>
    <w:pPr>
      <w:ind w:right="0"/>
      <w:jc w:val="both"/>
    </w:pPr>
  </w:style>
  <w:style w:type="paragraph" w:customStyle="1" w:styleId="TableHead">
    <w:name w:val="Table Head"/>
    <w:basedOn w:val="TableText"/>
    <w:rsid w:val="00414F55"/>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14F55"/>
  </w:style>
  <w:style w:type="paragraph" w:customStyle="1" w:styleId="Hesber">
    <w:name w:val="Hesber"/>
    <w:basedOn w:val="a"/>
    <w:rsid w:val="00414F55"/>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414F55"/>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414F55"/>
    <w:rPr>
      <w:vertAlign w:val="superscript"/>
    </w:rPr>
  </w:style>
  <w:style w:type="paragraph" w:customStyle="1" w:styleId="HesberHeading">
    <w:name w:val="Hesber Heading"/>
    <w:basedOn w:val="Hesber"/>
    <w:rsid w:val="00414F55"/>
    <w:pPr>
      <w:tabs>
        <w:tab w:val="left" w:pos="624"/>
        <w:tab w:val="left" w:pos="1247"/>
      </w:tabs>
      <w:ind w:firstLine="0"/>
    </w:pPr>
    <w:rPr>
      <w:b/>
      <w:bCs/>
    </w:rPr>
  </w:style>
  <w:style w:type="paragraph" w:customStyle="1" w:styleId="HesberWriters">
    <w:name w:val="Hesber Writers"/>
    <w:basedOn w:val="Hesber"/>
    <w:rsid w:val="00414F55"/>
    <w:pPr>
      <w:spacing w:before="120" w:after="6000"/>
      <w:ind w:left="1418" w:firstLine="0"/>
      <w:jc w:val="right"/>
    </w:pPr>
    <w:rPr>
      <w:b/>
      <w:bCs/>
    </w:rPr>
  </w:style>
  <w:style w:type="paragraph" w:customStyle="1" w:styleId="Hesber1st">
    <w:name w:val="Hesber 1st"/>
    <w:basedOn w:val="Hesber"/>
    <w:rsid w:val="00414F55"/>
    <w:pPr>
      <w:tabs>
        <w:tab w:val="left" w:pos="680"/>
        <w:tab w:val="left" w:pos="1020"/>
      </w:tabs>
      <w:ind w:firstLine="0"/>
    </w:pPr>
  </w:style>
  <w:style w:type="character" w:styleId="a7">
    <w:name w:val="endnote reference"/>
    <w:basedOn w:val="a0"/>
    <w:semiHidden/>
    <w:rsid w:val="00414F55"/>
    <w:rPr>
      <w:vertAlign w:val="superscript"/>
    </w:rPr>
  </w:style>
  <w:style w:type="paragraph" w:customStyle="1" w:styleId="TableBlockOutdent">
    <w:name w:val="Table BlockOutdent"/>
    <w:basedOn w:val="TableBlock"/>
    <w:rsid w:val="00414F55"/>
    <w:pPr>
      <w:ind w:left="624" w:hanging="624"/>
    </w:pPr>
  </w:style>
  <w:style w:type="paragraph" w:styleId="a8">
    <w:name w:val="header"/>
    <w:basedOn w:val="a"/>
    <w:rsid w:val="00414F55"/>
    <w:pPr>
      <w:tabs>
        <w:tab w:val="center" w:pos="4153"/>
        <w:tab w:val="right" w:pos="8306"/>
      </w:tabs>
    </w:pPr>
  </w:style>
  <w:style w:type="paragraph" w:styleId="a9">
    <w:name w:val="footer"/>
    <w:basedOn w:val="a"/>
    <w:rsid w:val="00414F55"/>
    <w:pPr>
      <w:tabs>
        <w:tab w:val="center" w:pos="4153"/>
        <w:tab w:val="right" w:pos="8306"/>
      </w:tabs>
    </w:pPr>
  </w:style>
  <w:style w:type="paragraph" w:customStyle="1" w:styleId="HeadDivreiHesber">
    <w:name w:val="Head DivreiHesber"/>
    <w:basedOn w:val="a"/>
    <w:rsid w:val="00414F5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414F55"/>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414F55"/>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4C67C4"/>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55"/>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14F5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414F55"/>
    <w:rPr>
      <w:sz w:val="36"/>
      <w:szCs w:val="52"/>
    </w:rPr>
  </w:style>
  <w:style w:type="paragraph" w:customStyle="1" w:styleId="Cover3-Haknesset">
    <w:name w:val="Cover 3-Haknesset"/>
    <w:basedOn w:val="Cover1-Reshumot"/>
    <w:rsid w:val="00414F55"/>
    <w:rPr>
      <w:b/>
      <w:bCs/>
      <w:spacing w:val="60"/>
    </w:rPr>
  </w:style>
  <w:style w:type="paragraph" w:customStyle="1" w:styleId="Cover4-Date">
    <w:name w:val="Cover 4-Date"/>
    <w:basedOn w:val="a"/>
    <w:rsid w:val="00414F5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14F5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414F5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414F55"/>
    <w:pPr>
      <w:spacing w:before="120" w:after="120"/>
    </w:pPr>
    <w:rPr>
      <w:color w:val="FF0000"/>
      <w:w w:val="80"/>
    </w:rPr>
  </w:style>
  <w:style w:type="paragraph" w:styleId="a3">
    <w:name w:val="endnote text"/>
    <w:basedOn w:val="a"/>
    <w:semiHidden/>
    <w:rsid w:val="00414F55"/>
    <w:pPr>
      <w:ind w:left="227" w:hanging="227"/>
    </w:pPr>
    <w:rPr>
      <w:sz w:val="14"/>
      <w:szCs w:val="22"/>
    </w:rPr>
  </w:style>
  <w:style w:type="paragraph" w:customStyle="1" w:styleId="TableText">
    <w:name w:val="Table Text"/>
    <w:basedOn w:val="a"/>
    <w:rsid w:val="00414F5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414F55"/>
  </w:style>
  <w:style w:type="paragraph" w:customStyle="1" w:styleId="TableBlock">
    <w:name w:val="Table Block"/>
    <w:basedOn w:val="TableText"/>
    <w:rsid w:val="00414F55"/>
    <w:pPr>
      <w:ind w:right="0"/>
      <w:jc w:val="both"/>
    </w:pPr>
  </w:style>
  <w:style w:type="paragraph" w:customStyle="1" w:styleId="TableHead">
    <w:name w:val="Table Head"/>
    <w:basedOn w:val="TableText"/>
    <w:rsid w:val="00414F55"/>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14F55"/>
  </w:style>
  <w:style w:type="paragraph" w:customStyle="1" w:styleId="Hesber">
    <w:name w:val="Hesber"/>
    <w:basedOn w:val="a"/>
    <w:rsid w:val="00414F55"/>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414F55"/>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414F55"/>
    <w:rPr>
      <w:vertAlign w:val="superscript"/>
    </w:rPr>
  </w:style>
  <w:style w:type="paragraph" w:customStyle="1" w:styleId="HesberHeading">
    <w:name w:val="Hesber Heading"/>
    <w:basedOn w:val="Hesber"/>
    <w:rsid w:val="00414F55"/>
    <w:pPr>
      <w:tabs>
        <w:tab w:val="left" w:pos="624"/>
        <w:tab w:val="left" w:pos="1247"/>
      </w:tabs>
      <w:ind w:firstLine="0"/>
    </w:pPr>
    <w:rPr>
      <w:b/>
      <w:bCs/>
    </w:rPr>
  </w:style>
  <w:style w:type="paragraph" w:customStyle="1" w:styleId="HesberWriters">
    <w:name w:val="Hesber Writers"/>
    <w:basedOn w:val="Hesber"/>
    <w:rsid w:val="00414F55"/>
    <w:pPr>
      <w:spacing w:before="120" w:after="6000"/>
      <w:ind w:left="1418" w:firstLine="0"/>
      <w:jc w:val="right"/>
    </w:pPr>
    <w:rPr>
      <w:b/>
      <w:bCs/>
    </w:rPr>
  </w:style>
  <w:style w:type="paragraph" w:customStyle="1" w:styleId="Hesber1st">
    <w:name w:val="Hesber 1st"/>
    <w:basedOn w:val="Hesber"/>
    <w:rsid w:val="00414F55"/>
    <w:pPr>
      <w:tabs>
        <w:tab w:val="left" w:pos="680"/>
        <w:tab w:val="left" w:pos="1020"/>
      </w:tabs>
      <w:ind w:firstLine="0"/>
    </w:pPr>
  </w:style>
  <w:style w:type="character" w:styleId="a7">
    <w:name w:val="endnote reference"/>
    <w:basedOn w:val="a0"/>
    <w:semiHidden/>
    <w:rsid w:val="00414F55"/>
    <w:rPr>
      <w:vertAlign w:val="superscript"/>
    </w:rPr>
  </w:style>
  <w:style w:type="paragraph" w:customStyle="1" w:styleId="TableBlockOutdent">
    <w:name w:val="Table BlockOutdent"/>
    <w:basedOn w:val="TableBlock"/>
    <w:rsid w:val="00414F55"/>
    <w:pPr>
      <w:ind w:left="624" w:hanging="624"/>
    </w:pPr>
  </w:style>
  <w:style w:type="paragraph" w:styleId="a8">
    <w:name w:val="header"/>
    <w:basedOn w:val="a"/>
    <w:rsid w:val="00414F55"/>
    <w:pPr>
      <w:tabs>
        <w:tab w:val="center" w:pos="4153"/>
        <w:tab w:val="right" w:pos="8306"/>
      </w:tabs>
    </w:pPr>
  </w:style>
  <w:style w:type="paragraph" w:styleId="a9">
    <w:name w:val="footer"/>
    <w:basedOn w:val="a"/>
    <w:rsid w:val="00414F55"/>
    <w:pPr>
      <w:tabs>
        <w:tab w:val="center" w:pos="4153"/>
        <w:tab w:val="right" w:pos="8306"/>
      </w:tabs>
    </w:pPr>
  </w:style>
  <w:style w:type="paragraph" w:customStyle="1" w:styleId="HeadDivreiHesber">
    <w:name w:val="Head DivreiHesber"/>
    <w:basedOn w:val="a"/>
    <w:rsid w:val="00414F5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414F55"/>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414F55"/>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4C67C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6689">
      <w:bodyDiv w:val="1"/>
      <w:marLeft w:val="0"/>
      <w:marRight w:val="0"/>
      <w:marTop w:val="0"/>
      <w:marBottom w:val="0"/>
      <w:divBdr>
        <w:top w:val="none" w:sz="0" w:space="0" w:color="auto"/>
        <w:left w:val="none" w:sz="0" w:space="0" w:color="auto"/>
        <w:bottom w:val="none" w:sz="0" w:space="0" w:color="auto"/>
        <w:right w:val="none" w:sz="0" w:space="0" w:color="auto"/>
      </w:divBdr>
    </w:div>
    <w:div w:id="10475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AD8A3-D4A4-4700-AA0C-F3D6D36528AB}"/>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1539D17E-51C6-4955-A238-C9D002BE9073}"/>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2286</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ז'נה ישראלוב</dc:creator>
  <cp:keywords/>
  <dc:description/>
  <cp:lastModifiedBy>טל ליה פז</cp:lastModifiedBy>
  <cp:revision>2</cp:revision>
  <cp:lastPrinted>2013-06-16T06:12:00Z</cp:lastPrinted>
  <dcterms:created xsi:type="dcterms:W3CDTF">2013-06-16T07:15:00Z</dcterms:created>
  <dcterms:modified xsi:type="dcterms:W3CDTF">2013-06-16T07:15:00Z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