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29" w:rsidRPr="001C6415" w:rsidRDefault="004033D8" w:rsidP="002C2E29">
      <w:pPr>
        <w:pStyle w:val="HeadHatzaotHok"/>
        <w:jc w:val="right"/>
        <w:rPr>
          <w:b w:val="0"/>
          <w:bCs w:val="0"/>
          <w:szCs w:val="20"/>
        </w:rPr>
      </w:pPr>
      <w:r w:rsidRPr="001C6415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ItemID"/>
      <w:r w:rsidR="00432B2D" w:rsidRPr="001C6415">
        <w:rPr>
          <w:b w:val="0"/>
          <w:bCs w:val="0"/>
          <w:szCs w:val="20"/>
          <w:rtl/>
        </w:rPr>
        <w:t>488007</w:t>
      </w:r>
      <w:bookmarkEnd w:id="0"/>
    </w:p>
    <w:p w:rsidR="00E13C27" w:rsidRPr="00DB7060" w:rsidRDefault="00E13C27" w:rsidP="00E13C27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KnessetNum"/>
      <w:r w:rsidR="00432B2D" w:rsidRPr="00432B2D">
        <w:rPr>
          <w:sz w:val="28"/>
          <w:szCs w:val="28"/>
          <w:rtl/>
        </w:rPr>
        <w:t>התשע-עשרה</w:t>
      </w:r>
      <w:bookmarkEnd w:id="1"/>
    </w:p>
    <w:p w:rsidR="00E13C27" w:rsidRDefault="00E13C27" w:rsidP="00E13C27">
      <w:pPr>
        <w:rPr>
          <w:rFonts w:cs="David"/>
          <w:sz w:val="26"/>
          <w:szCs w:val="26"/>
          <w:rtl/>
        </w:rPr>
      </w:pPr>
    </w:p>
    <w:p w:rsidR="003553CC" w:rsidRPr="00414252" w:rsidRDefault="005F2363" w:rsidP="0091204F">
      <w:pPr>
        <w:pStyle w:val="David"/>
        <w:ind w:left="2880" w:firstLine="663"/>
        <w:rPr>
          <w:b/>
          <w:bCs/>
        </w:rPr>
      </w:pPr>
      <w:bookmarkStart w:id="2" w:name="MKsSingleOrMulti"/>
      <w:r w:rsidRPr="00414252">
        <w:rPr>
          <w:b/>
          <w:bCs/>
          <w:rtl/>
        </w:rPr>
        <w:t>יוזמים:      חברי הכנסת</w:t>
      </w:r>
      <w:bookmarkEnd w:id="2"/>
      <w:r w:rsidR="00B35784" w:rsidRPr="00414252">
        <w:rPr>
          <w:b/>
          <w:bCs/>
        </w:rPr>
        <w:tab/>
      </w:r>
      <w:bookmarkStart w:id="3" w:name="MKs"/>
      <w:r w:rsidR="003553CC" w:rsidRPr="00414252">
        <w:rPr>
          <w:b/>
          <w:bCs/>
          <w:rtl/>
        </w:rPr>
        <w:t>קארין אלהרר</w:t>
      </w:r>
    </w:p>
    <w:p w:rsidR="003553CC" w:rsidRPr="00414252" w:rsidRDefault="003553CC" w:rsidP="0091204F">
      <w:pPr>
        <w:pStyle w:val="David"/>
        <w:ind w:left="2880" w:firstLine="663"/>
        <w:rPr>
          <w:b/>
          <w:bCs/>
        </w:rPr>
      </w:pPr>
      <w:r w:rsidRPr="00414252">
        <w:rPr>
          <w:b/>
          <w:bCs/>
        </w:rPr>
        <w:tab/>
      </w:r>
      <w:r w:rsidRPr="00414252">
        <w:rPr>
          <w:b/>
          <w:bCs/>
        </w:rPr>
        <w:tab/>
      </w:r>
      <w:r w:rsidRPr="00414252">
        <w:rPr>
          <w:b/>
          <w:bCs/>
        </w:rPr>
        <w:tab/>
      </w:r>
      <w:r w:rsidRPr="00414252">
        <w:rPr>
          <w:b/>
          <w:bCs/>
        </w:rPr>
        <w:tab/>
      </w:r>
      <w:r w:rsidRPr="00414252">
        <w:rPr>
          <w:b/>
          <w:bCs/>
        </w:rPr>
        <w:tab/>
      </w:r>
      <w:r w:rsidRPr="00414252">
        <w:rPr>
          <w:b/>
          <w:bCs/>
          <w:rtl/>
        </w:rPr>
        <w:t>מיקי רוזנטל</w:t>
      </w:r>
    </w:p>
    <w:p w:rsidR="003553CC" w:rsidRPr="00414252" w:rsidRDefault="003553CC" w:rsidP="0091204F">
      <w:pPr>
        <w:pStyle w:val="David"/>
        <w:ind w:left="2880" w:firstLine="663"/>
        <w:rPr>
          <w:b/>
          <w:bCs/>
        </w:rPr>
      </w:pPr>
      <w:r w:rsidRPr="00414252">
        <w:rPr>
          <w:b/>
          <w:bCs/>
        </w:rPr>
        <w:tab/>
      </w:r>
      <w:r w:rsidRPr="00414252">
        <w:rPr>
          <w:b/>
          <w:bCs/>
        </w:rPr>
        <w:tab/>
      </w:r>
      <w:r w:rsidRPr="00414252">
        <w:rPr>
          <w:b/>
          <w:bCs/>
        </w:rPr>
        <w:tab/>
      </w:r>
      <w:r w:rsidRPr="00414252">
        <w:rPr>
          <w:b/>
          <w:bCs/>
        </w:rPr>
        <w:tab/>
      </w:r>
      <w:r w:rsidRPr="00414252">
        <w:rPr>
          <w:b/>
          <w:bCs/>
        </w:rPr>
        <w:tab/>
      </w:r>
      <w:r w:rsidRPr="00414252">
        <w:rPr>
          <w:b/>
          <w:bCs/>
          <w:rtl/>
        </w:rPr>
        <w:t>עפר שלח</w:t>
      </w:r>
    </w:p>
    <w:p w:rsidR="003553CC" w:rsidRPr="00414252" w:rsidRDefault="003553CC" w:rsidP="0091204F">
      <w:pPr>
        <w:pStyle w:val="David"/>
        <w:ind w:left="2880" w:firstLine="663"/>
        <w:rPr>
          <w:b/>
          <w:bCs/>
        </w:rPr>
      </w:pPr>
      <w:r w:rsidRPr="00414252">
        <w:rPr>
          <w:b/>
          <w:bCs/>
        </w:rPr>
        <w:tab/>
      </w:r>
      <w:r w:rsidRPr="00414252">
        <w:rPr>
          <w:b/>
          <w:bCs/>
        </w:rPr>
        <w:tab/>
      </w:r>
      <w:r w:rsidRPr="00414252">
        <w:rPr>
          <w:b/>
          <w:bCs/>
        </w:rPr>
        <w:tab/>
      </w:r>
      <w:r w:rsidRPr="00414252">
        <w:rPr>
          <w:b/>
          <w:bCs/>
        </w:rPr>
        <w:tab/>
      </w:r>
      <w:r w:rsidRPr="00414252">
        <w:rPr>
          <w:b/>
          <w:bCs/>
        </w:rPr>
        <w:tab/>
      </w:r>
      <w:r w:rsidRPr="00414252">
        <w:rPr>
          <w:b/>
          <w:bCs/>
          <w:rtl/>
        </w:rPr>
        <w:t>דוד רותם</w:t>
      </w:r>
    </w:p>
    <w:p w:rsidR="003553CC" w:rsidRPr="00414252" w:rsidRDefault="003553CC" w:rsidP="0091204F">
      <w:pPr>
        <w:pStyle w:val="David"/>
        <w:ind w:left="2880" w:firstLine="663"/>
        <w:rPr>
          <w:b/>
          <w:bCs/>
        </w:rPr>
      </w:pPr>
      <w:r w:rsidRPr="00414252">
        <w:rPr>
          <w:b/>
          <w:bCs/>
        </w:rPr>
        <w:tab/>
      </w:r>
      <w:r w:rsidRPr="00414252">
        <w:rPr>
          <w:b/>
          <w:bCs/>
        </w:rPr>
        <w:tab/>
      </w:r>
      <w:r w:rsidRPr="00414252">
        <w:rPr>
          <w:b/>
          <w:bCs/>
        </w:rPr>
        <w:tab/>
      </w:r>
      <w:r w:rsidRPr="00414252">
        <w:rPr>
          <w:b/>
          <w:bCs/>
        </w:rPr>
        <w:tab/>
      </w:r>
      <w:r w:rsidRPr="00414252">
        <w:rPr>
          <w:b/>
          <w:bCs/>
        </w:rPr>
        <w:tab/>
      </w:r>
      <w:r w:rsidRPr="00414252">
        <w:rPr>
          <w:b/>
          <w:bCs/>
          <w:rtl/>
        </w:rPr>
        <w:t>אברהם מיכאלי</w:t>
      </w:r>
    </w:p>
    <w:p w:rsidR="003553CC" w:rsidRPr="00414252" w:rsidRDefault="003553CC" w:rsidP="0091204F">
      <w:pPr>
        <w:pStyle w:val="David"/>
        <w:ind w:left="2880" w:firstLine="663"/>
        <w:rPr>
          <w:b/>
          <w:bCs/>
        </w:rPr>
      </w:pPr>
      <w:r w:rsidRPr="00414252">
        <w:rPr>
          <w:b/>
          <w:bCs/>
        </w:rPr>
        <w:tab/>
      </w:r>
      <w:r w:rsidRPr="00414252">
        <w:rPr>
          <w:b/>
          <w:bCs/>
        </w:rPr>
        <w:tab/>
      </w:r>
      <w:r w:rsidRPr="00414252">
        <w:rPr>
          <w:b/>
          <w:bCs/>
        </w:rPr>
        <w:tab/>
      </w:r>
      <w:r w:rsidRPr="00414252">
        <w:rPr>
          <w:b/>
          <w:bCs/>
        </w:rPr>
        <w:tab/>
      </w:r>
      <w:r w:rsidRPr="00414252">
        <w:rPr>
          <w:b/>
          <w:bCs/>
        </w:rPr>
        <w:tab/>
      </w:r>
      <w:r w:rsidRPr="00414252">
        <w:rPr>
          <w:b/>
          <w:bCs/>
          <w:rtl/>
        </w:rPr>
        <w:t>יפעת קריב</w:t>
      </w:r>
    </w:p>
    <w:p w:rsidR="003553CC" w:rsidRPr="00414252" w:rsidRDefault="003553CC" w:rsidP="0091204F">
      <w:pPr>
        <w:pStyle w:val="David"/>
        <w:ind w:left="2880" w:firstLine="663"/>
        <w:rPr>
          <w:b/>
          <w:bCs/>
        </w:rPr>
      </w:pPr>
      <w:r w:rsidRPr="00414252">
        <w:rPr>
          <w:b/>
          <w:bCs/>
        </w:rPr>
        <w:tab/>
      </w:r>
      <w:r w:rsidRPr="00414252">
        <w:rPr>
          <w:b/>
          <w:bCs/>
        </w:rPr>
        <w:tab/>
      </w:r>
      <w:r w:rsidRPr="00414252">
        <w:rPr>
          <w:b/>
          <w:bCs/>
        </w:rPr>
        <w:tab/>
      </w:r>
      <w:r w:rsidRPr="00414252">
        <w:rPr>
          <w:b/>
          <w:bCs/>
        </w:rPr>
        <w:tab/>
      </w:r>
      <w:r w:rsidRPr="00414252">
        <w:rPr>
          <w:b/>
          <w:bCs/>
        </w:rPr>
        <w:tab/>
      </w:r>
      <w:r w:rsidRPr="00414252">
        <w:rPr>
          <w:b/>
          <w:bCs/>
          <w:rtl/>
        </w:rPr>
        <w:t>דב חנין</w:t>
      </w:r>
    </w:p>
    <w:p w:rsidR="00E13C27" w:rsidRDefault="003553CC" w:rsidP="00414252">
      <w:pPr>
        <w:pStyle w:val="David"/>
        <w:ind w:left="2880" w:firstLine="663"/>
        <w:rPr>
          <w:b/>
          <w:bCs/>
          <w:rtl/>
        </w:rPr>
      </w:pPr>
      <w:r w:rsidRPr="00414252">
        <w:rPr>
          <w:b/>
          <w:bCs/>
        </w:rPr>
        <w:tab/>
      </w:r>
      <w:r w:rsidRPr="00414252">
        <w:rPr>
          <w:b/>
          <w:bCs/>
        </w:rPr>
        <w:tab/>
      </w:r>
      <w:r w:rsidRPr="00414252">
        <w:rPr>
          <w:b/>
          <w:bCs/>
        </w:rPr>
        <w:tab/>
      </w:r>
      <w:r w:rsidRPr="00414252">
        <w:rPr>
          <w:b/>
          <w:bCs/>
        </w:rPr>
        <w:tab/>
      </w:r>
      <w:r w:rsidRPr="00414252">
        <w:rPr>
          <w:b/>
          <w:bCs/>
        </w:rPr>
        <w:tab/>
      </w:r>
      <w:r w:rsidRPr="00414252">
        <w:rPr>
          <w:b/>
          <w:bCs/>
          <w:rtl/>
        </w:rPr>
        <w:t>איציק שמולי</w:t>
      </w:r>
      <w:bookmarkStart w:id="4" w:name="MKsSingleOrMulti1"/>
      <w:bookmarkStart w:id="5" w:name="MKs1"/>
      <w:bookmarkEnd w:id="3"/>
      <w:bookmarkEnd w:id="4"/>
      <w:bookmarkEnd w:id="5"/>
    </w:p>
    <w:p w:rsidR="001C6415" w:rsidRPr="00414252" w:rsidRDefault="001C6415" w:rsidP="00414252">
      <w:pPr>
        <w:pStyle w:val="David"/>
        <w:ind w:left="2880" w:firstLine="663"/>
        <w:rPr>
          <w:b/>
          <w:bCs/>
          <w:rtl/>
        </w:rPr>
      </w:pPr>
    </w:p>
    <w:p w:rsidR="00E13C27" w:rsidRDefault="0014195F" w:rsidP="00292712">
      <w:pPr>
        <w:ind w:left="2919" w:firstLine="720"/>
        <w:rPr>
          <w:rFonts w:cs="David"/>
          <w:sz w:val="26"/>
          <w:szCs w:val="26"/>
          <w:rtl/>
        </w:rPr>
      </w:pPr>
      <w:r>
        <w:rPr>
          <w:rFonts w:cs="David"/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AE512A" wp14:editId="726C7F23">
                <wp:simplePos x="0" y="0"/>
                <wp:positionH relativeFrom="column">
                  <wp:posOffset>1270</wp:posOffset>
                </wp:positionH>
                <wp:positionV relativeFrom="paragraph">
                  <wp:posOffset>47625</wp:posOffset>
                </wp:positionV>
                <wp:extent cx="3879215" cy="17145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215" cy="17145"/>
                        </a:xfrm>
                        <a:custGeom>
                          <a:avLst/>
                          <a:gdLst>
                            <a:gd name="T0" fmla="*/ 0 w 6109"/>
                            <a:gd name="T1" fmla="*/ 27 h 27"/>
                            <a:gd name="T2" fmla="*/ 6109 w 6109"/>
                            <a:gd name="T3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09" h="27">
                              <a:moveTo>
                                <a:pt x="0" y="27"/>
                              </a:moveTo>
                              <a:lnTo>
                                <a:pt x="610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5.1pt,305.55pt,3.75pt" coordsize="6109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" filled="f">
                <v:path arrowok="t" o:connecttype="custom" o:connectlocs="0,17145;3879215,0" o:connectangles="0,0"/>
              </v:polyline>
            </w:pict>
          </mc:Fallback>
        </mc:AlternateContent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bookmarkStart w:id="6" w:name="LawNum"/>
      <w:r w:rsidR="000841D8" w:rsidRPr="000841D8">
        <w:rPr>
          <w:rFonts w:cs="David"/>
          <w:sz w:val="26"/>
          <w:szCs w:val="26"/>
          <w:rtl/>
        </w:rPr>
        <w:t>פ/2021/19</w:t>
      </w:r>
      <w:bookmarkEnd w:id="6"/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</w:p>
    <w:p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:rsidR="00E13C27" w:rsidRDefault="007D409E" w:rsidP="001C6415">
      <w:pPr>
        <w:pStyle w:val="HeadHatzaotHok"/>
        <w:tabs>
          <w:tab w:val="left" w:pos="4071"/>
          <w:tab w:val="center" w:pos="4819"/>
        </w:tabs>
        <w:spacing w:before="0" w:line="240" w:lineRule="auto"/>
        <w:rPr>
          <w:sz w:val="26"/>
          <w:rtl/>
        </w:rPr>
      </w:pPr>
      <w:bookmarkStart w:id="7" w:name="Title"/>
      <w:r w:rsidRPr="007D409E">
        <w:rPr>
          <w:sz w:val="26"/>
          <w:rtl/>
        </w:rPr>
        <w:t xml:space="preserve">הצעת חוק חניה לנכים (תיקון </w:t>
      </w:r>
      <w:r w:rsidR="001E3C32">
        <w:rPr>
          <w:rFonts w:hint="cs"/>
          <w:sz w:val="26"/>
          <w:rtl/>
        </w:rPr>
        <w:t>–</w:t>
      </w:r>
      <w:r w:rsidRPr="007D409E">
        <w:rPr>
          <w:sz w:val="26"/>
          <w:rtl/>
        </w:rPr>
        <w:t xml:space="preserve"> הזכות לחניה באזור השמור לפריקה ולטעינה), </w:t>
      </w:r>
      <w:proofErr w:type="spellStart"/>
      <w:r w:rsidRPr="007D409E">
        <w:rPr>
          <w:sz w:val="26"/>
          <w:rtl/>
        </w:rPr>
        <w:t>התשע"ד</w:t>
      </w:r>
      <w:proofErr w:type="spellEnd"/>
      <w:r w:rsidR="001E3C32">
        <w:rPr>
          <w:rFonts w:hint="cs"/>
          <w:sz w:val="26"/>
          <w:rtl/>
        </w:rPr>
        <w:t>–</w:t>
      </w:r>
      <w:r w:rsidRPr="007D409E">
        <w:rPr>
          <w:sz w:val="26"/>
          <w:rtl/>
        </w:rPr>
        <w:t>2013</w:t>
      </w:r>
      <w:bookmarkEnd w:id="7"/>
    </w:p>
    <w:p w:rsidR="001C6415" w:rsidRDefault="001C6415" w:rsidP="001C6415">
      <w:pPr>
        <w:pStyle w:val="HeadHatzaotHok"/>
        <w:tabs>
          <w:tab w:val="left" w:pos="4071"/>
          <w:tab w:val="center" w:pos="4819"/>
        </w:tabs>
        <w:spacing w:before="0" w:line="240" w:lineRule="auto"/>
        <w:rPr>
          <w:sz w:val="26"/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E13C27" w:rsidTr="001A2D68">
        <w:trPr>
          <w:cantSplit/>
          <w:trHeight w:val="60"/>
        </w:trPr>
        <w:tc>
          <w:tcPr>
            <w:tcW w:w="1871" w:type="dxa"/>
          </w:tcPr>
          <w:p w:rsidR="00E13C27" w:rsidRDefault="001A2D68" w:rsidP="00E13C27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2</w:t>
            </w:r>
          </w:p>
        </w:tc>
        <w:tc>
          <w:tcPr>
            <w:tcW w:w="624" w:type="dxa"/>
          </w:tcPr>
          <w:p w:rsidR="00E13C27" w:rsidRDefault="001A2D68" w:rsidP="00E13C27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</w:tcPr>
          <w:p w:rsidR="00E13C27" w:rsidRPr="001A2D68" w:rsidRDefault="001A2D68" w:rsidP="00E83577">
            <w:pPr>
              <w:pStyle w:val="TableHead"/>
              <w:keepLines w:val="0"/>
              <w:jc w:val="left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בחוק חניה לנכים, </w:t>
            </w:r>
            <w:proofErr w:type="spellStart"/>
            <w:r>
              <w:rPr>
                <w:rFonts w:hint="cs"/>
                <w:b w:val="0"/>
                <w:bCs w:val="0"/>
                <w:rtl/>
              </w:rPr>
              <w:t>התשנ"ד</w:t>
            </w:r>
            <w:proofErr w:type="spellEnd"/>
            <w:r w:rsidR="00155546">
              <w:rPr>
                <w:rFonts w:hint="eastAsia"/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>1993</w:t>
            </w:r>
            <w:r w:rsidR="00402FF2">
              <w:rPr>
                <w:rStyle w:val="a5"/>
                <w:b w:val="0"/>
                <w:bCs w:val="0"/>
                <w:rtl/>
              </w:rPr>
              <w:footnoteReference w:id="2"/>
            </w:r>
            <w:r>
              <w:rPr>
                <w:rFonts w:hint="cs"/>
                <w:b w:val="0"/>
                <w:bCs w:val="0"/>
                <w:rtl/>
              </w:rPr>
              <w:t xml:space="preserve">, בסעיף 2(א) </w:t>
            </w:r>
            <w:r w:rsidR="00E83577">
              <w:rPr>
                <w:rFonts w:hint="eastAsia"/>
                <w:b w:val="0"/>
                <w:bCs w:val="0"/>
                <w:rtl/>
              </w:rPr>
              <w:t xml:space="preserve">– </w:t>
            </w:r>
          </w:p>
        </w:tc>
      </w:tr>
      <w:tr w:rsidR="001C6415" w:rsidTr="006303FD">
        <w:trPr>
          <w:cantSplit/>
          <w:trHeight w:val="60"/>
        </w:trPr>
        <w:tc>
          <w:tcPr>
            <w:tcW w:w="1871" w:type="dxa"/>
          </w:tcPr>
          <w:p w:rsidR="001C6415" w:rsidRDefault="001C6415">
            <w:pPr>
              <w:pStyle w:val="TableSideHeading"/>
            </w:pPr>
          </w:p>
        </w:tc>
        <w:tc>
          <w:tcPr>
            <w:tcW w:w="624" w:type="dxa"/>
          </w:tcPr>
          <w:p w:rsidR="001C6415" w:rsidRDefault="001C6415">
            <w:pPr>
              <w:pStyle w:val="TableText"/>
            </w:pPr>
          </w:p>
        </w:tc>
        <w:tc>
          <w:tcPr>
            <w:tcW w:w="7146" w:type="dxa"/>
          </w:tcPr>
          <w:p w:rsidR="001C6415" w:rsidRDefault="001C6415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ברישה, אחרי "שאין החניה מותרת בו" יבוא "לרבות במקום המיועד לפריקה ולטעינה";</w:t>
            </w:r>
          </w:p>
        </w:tc>
      </w:tr>
      <w:tr w:rsidR="001C6415" w:rsidTr="005D7CD6">
        <w:trPr>
          <w:cantSplit/>
          <w:trHeight w:val="60"/>
        </w:trPr>
        <w:tc>
          <w:tcPr>
            <w:tcW w:w="1871" w:type="dxa"/>
          </w:tcPr>
          <w:p w:rsidR="001C6415" w:rsidRDefault="001C6415">
            <w:pPr>
              <w:pStyle w:val="TableSideHeading"/>
            </w:pPr>
          </w:p>
        </w:tc>
        <w:tc>
          <w:tcPr>
            <w:tcW w:w="624" w:type="dxa"/>
          </w:tcPr>
          <w:p w:rsidR="001C6415" w:rsidRDefault="001C6415" w:rsidP="00E83577">
            <w:pPr>
              <w:pStyle w:val="TableText"/>
            </w:pPr>
          </w:p>
        </w:tc>
        <w:tc>
          <w:tcPr>
            <w:tcW w:w="7146" w:type="dxa"/>
          </w:tcPr>
          <w:p w:rsidR="001C6415" w:rsidRDefault="001C6415" w:rsidP="001E3C32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בפסקה (4), בסופה יבוא "או נעשית באזור המיועד לפריקה ולטעינה".</w:t>
            </w:r>
          </w:p>
        </w:tc>
      </w:tr>
    </w:tbl>
    <w:p w:rsidR="00B865ED" w:rsidRPr="00B865ED" w:rsidRDefault="00B865ED" w:rsidP="00E13C27">
      <w:pPr>
        <w:pStyle w:val="HeadDivreiHesber"/>
        <w:spacing w:before="0" w:after="0"/>
        <w:rPr>
          <w:sz w:val="10"/>
          <w:szCs w:val="16"/>
          <w:rtl/>
        </w:rPr>
      </w:pPr>
    </w:p>
    <w:p w:rsidR="00E13C27" w:rsidRPr="00B865ED" w:rsidRDefault="00E13C27" w:rsidP="00E13C27">
      <w:pPr>
        <w:pStyle w:val="HeadDivreiHesber"/>
        <w:spacing w:before="0" w:after="0"/>
        <w:rPr>
          <w:sz w:val="2"/>
          <w:szCs w:val="8"/>
          <w:rtl/>
        </w:rPr>
      </w:pPr>
      <w:r>
        <w:rPr>
          <w:rFonts w:hint="cs"/>
          <w:rtl/>
        </w:rPr>
        <w:t>דברי הסבר</w:t>
      </w:r>
      <w:r w:rsidR="001A2D68">
        <w:rPr>
          <w:rFonts w:hint="cs"/>
          <w:rtl/>
        </w:rPr>
        <w:br/>
      </w:r>
    </w:p>
    <w:p w:rsidR="00E13C27" w:rsidRDefault="001C6415" w:rsidP="001C6415">
      <w:pPr>
        <w:pStyle w:val="Hesber"/>
        <w:spacing w:line="240" w:lineRule="auto"/>
        <w:rPr>
          <w:rtl/>
        </w:rPr>
      </w:pPr>
      <w:r>
        <w:rPr>
          <w:rFonts w:hint="cs"/>
          <w:rtl/>
        </w:rPr>
        <w:t>סוגיית החנ</w:t>
      </w:r>
      <w:r w:rsidR="001A2D68">
        <w:rPr>
          <w:rFonts w:hint="cs"/>
          <w:rtl/>
        </w:rPr>
        <w:t>יה היא אחת הבעיות הקשות העומדות לפתחם של אנשים עם מוגבלויות.</w:t>
      </w:r>
    </w:p>
    <w:p w:rsidR="009551FE" w:rsidRDefault="001A2D68" w:rsidP="001C6415">
      <w:pPr>
        <w:pStyle w:val="Hesber"/>
        <w:spacing w:line="240" w:lineRule="auto"/>
        <w:rPr>
          <w:rtl/>
        </w:rPr>
      </w:pPr>
      <w:r>
        <w:rPr>
          <w:rFonts w:hint="cs"/>
          <w:rtl/>
        </w:rPr>
        <w:t>המצב הקיים כיום יוצר לקונה חקיקתית בשאלה האם מותר לאנשים עם מוגבלויות להחנות במקום המיועד לפריקה ו</w:t>
      </w:r>
      <w:r w:rsidR="001E3C32">
        <w:rPr>
          <w:rFonts w:hint="cs"/>
          <w:rtl/>
        </w:rPr>
        <w:t>ל</w:t>
      </w:r>
      <w:r>
        <w:rPr>
          <w:rFonts w:hint="cs"/>
          <w:rtl/>
        </w:rPr>
        <w:t xml:space="preserve">טעינה. מתוך ההכרה בחשיבות הזכות לנגישות וההגנה על שלומם ורווחתם של אנשים עם מוגבלויות ומתוך הצורך להקל על </w:t>
      </w:r>
      <w:proofErr w:type="spellStart"/>
      <w:r>
        <w:rPr>
          <w:rFonts w:hint="cs"/>
          <w:rtl/>
        </w:rPr>
        <w:t>התנייד</w:t>
      </w:r>
      <w:r w:rsidR="00402FF2">
        <w:rPr>
          <w:rFonts w:hint="cs"/>
          <w:rtl/>
        </w:rPr>
        <w:t>ו</w:t>
      </w:r>
      <w:r>
        <w:rPr>
          <w:rFonts w:hint="cs"/>
          <w:rtl/>
        </w:rPr>
        <w:t>תם</w:t>
      </w:r>
      <w:proofErr w:type="spellEnd"/>
      <w:r>
        <w:rPr>
          <w:rFonts w:hint="cs"/>
          <w:rtl/>
        </w:rPr>
        <w:t xml:space="preserve"> של הזכאים לתו נכה יש </w:t>
      </w:r>
      <w:r w:rsidR="00B5599A">
        <w:rPr>
          <w:rFonts w:hint="cs"/>
          <w:rtl/>
        </w:rPr>
        <w:t xml:space="preserve">להבהיר כי </w:t>
      </w:r>
      <w:r>
        <w:rPr>
          <w:rFonts w:hint="cs"/>
          <w:rtl/>
        </w:rPr>
        <w:t xml:space="preserve">לאלו המחזיקים </w:t>
      </w:r>
      <w:r w:rsidR="00402FF2">
        <w:rPr>
          <w:rFonts w:hint="cs"/>
          <w:rtl/>
        </w:rPr>
        <w:t xml:space="preserve">בתו כאמור </w:t>
      </w:r>
      <w:r w:rsidR="00B5599A">
        <w:rPr>
          <w:rFonts w:hint="cs"/>
          <w:rtl/>
        </w:rPr>
        <w:t xml:space="preserve">מותר </w:t>
      </w:r>
      <w:r>
        <w:rPr>
          <w:rFonts w:hint="cs"/>
          <w:rtl/>
        </w:rPr>
        <w:t xml:space="preserve">להחנות את הרכב באזור </w:t>
      </w:r>
      <w:r w:rsidR="001C6415">
        <w:rPr>
          <w:rFonts w:hint="cs"/>
          <w:rtl/>
        </w:rPr>
        <w:t>ל</w:t>
      </w:r>
      <w:r>
        <w:rPr>
          <w:rFonts w:hint="cs"/>
          <w:rtl/>
        </w:rPr>
        <w:t>פריקה ו</w:t>
      </w:r>
      <w:r w:rsidR="001E3C32">
        <w:rPr>
          <w:rFonts w:hint="cs"/>
          <w:rtl/>
        </w:rPr>
        <w:t>ל</w:t>
      </w:r>
      <w:r>
        <w:rPr>
          <w:rFonts w:hint="cs"/>
          <w:rtl/>
        </w:rPr>
        <w:t>טעינה</w:t>
      </w:r>
      <w:r w:rsidR="00402FF2">
        <w:rPr>
          <w:rFonts w:hint="cs"/>
          <w:rtl/>
        </w:rPr>
        <w:t xml:space="preserve">, בשים לב לכך שהחניה אינה עוברת על הוראות חוק חניה לנכים, </w:t>
      </w:r>
      <w:proofErr w:type="spellStart"/>
      <w:r w:rsidR="00402FF2">
        <w:rPr>
          <w:rFonts w:hint="cs"/>
          <w:rtl/>
        </w:rPr>
        <w:t>התשנ"ד</w:t>
      </w:r>
      <w:proofErr w:type="spellEnd"/>
      <w:r w:rsidR="00402FF2">
        <w:rPr>
          <w:rFonts w:hint="eastAsia"/>
          <w:rtl/>
        </w:rPr>
        <w:t>–1993</w:t>
      </w:r>
      <w:r w:rsidR="001C6415">
        <w:rPr>
          <w:rFonts w:hint="cs"/>
          <w:rtl/>
        </w:rPr>
        <w:t>.</w:t>
      </w:r>
    </w:p>
    <w:p w:rsidR="001A2D68" w:rsidRDefault="00402FF2" w:rsidP="001C6415">
      <w:pPr>
        <w:pStyle w:val="Hesber"/>
        <w:spacing w:line="240" w:lineRule="auto"/>
        <w:rPr>
          <w:rtl/>
        </w:rPr>
      </w:pPr>
      <w:r>
        <w:rPr>
          <w:rFonts w:hint="cs"/>
          <w:rtl/>
        </w:rPr>
        <w:t xml:space="preserve">בית המשפט </w:t>
      </w:r>
      <w:r w:rsidR="00150150">
        <w:rPr>
          <w:rFonts w:hint="cs"/>
          <w:rtl/>
        </w:rPr>
        <w:t>העליון</w:t>
      </w:r>
      <w:r>
        <w:rPr>
          <w:rFonts w:hint="cs"/>
          <w:rtl/>
        </w:rPr>
        <w:t xml:space="preserve"> נדרש לשאלה זו ו</w:t>
      </w:r>
      <w:r w:rsidR="001A2D68">
        <w:rPr>
          <w:rFonts w:hint="cs"/>
          <w:rtl/>
        </w:rPr>
        <w:t>הכיר בזכותם של אנשים עם מוגבלויות להחנות את רכבם במקום המיועד לפריקה ו</w:t>
      </w:r>
      <w:r w:rsidR="001E3C32">
        <w:rPr>
          <w:rFonts w:hint="cs"/>
          <w:rtl/>
        </w:rPr>
        <w:t>ל</w:t>
      </w:r>
      <w:r w:rsidR="001A2D68">
        <w:rPr>
          <w:rFonts w:hint="cs"/>
          <w:rtl/>
        </w:rPr>
        <w:t xml:space="preserve">טעינה, </w:t>
      </w:r>
      <w:r w:rsidR="009551FE">
        <w:rPr>
          <w:rFonts w:hint="cs"/>
          <w:rtl/>
        </w:rPr>
        <w:t xml:space="preserve">בכפוף לתנאים </w:t>
      </w:r>
      <w:proofErr w:type="spellStart"/>
      <w:r w:rsidR="009551FE">
        <w:rPr>
          <w:rFonts w:hint="cs"/>
          <w:rtl/>
        </w:rPr>
        <w:t>מסויימים</w:t>
      </w:r>
      <w:proofErr w:type="spellEnd"/>
      <w:r w:rsidR="009551FE">
        <w:rPr>
          <w:rFonts w:hint="cs"/>
          <w:rtl/>
        </w:rPr>
        <w:t>.</w:t>
      </w:r>
      <w:r w:rsidR="00B5599A">
        <w:rPr>
          <w:rFonts w:hint="cs"/>
          <w:rtl/>
        </w:rPr>
        <w:t xml:space="preserve"> </w:t>
      </w:r>
      <w:r w:rsidR="001A2D68">
        <w:rPr>
          <w:rFonts w:hint="cs"/>
          <w:rtl/>
        </w:rPr>
        <w:t>זאת</w:t>
      </w:r>
      <w:r w:rsidR="009551FE">
        <w:rPr>
          <w:rFonts w:hint="cs"/>
          <w:rtl/>
        </w:rPr>
        <w:t>,</w:t>
      </w:r>
      <w:r w:rsidR="001C6415">
        <w:rPr>
          <w:rFonts w:hint="cs"/>
          <w:rtl/>
        </w:rPr>
        <w:t xml:space="preserve"> </w:t>
      </w:r>
      <w:r w:rsidR="001A2D68">
        <w:rPr>
          <w:rFonts w:hint="cs"/>
          <w:rtl/>
        </w:rPr>
        <w:t>כדי לאפשר לציבור זה הגעה למחוז חפצם ביעילות המרבית. כמו כן</w:t>
      </w:r>
      <w:r w:rsidR="009551FE">
        <w:rPr>
          <w:rFonts w:hint="cs"/>
          <w:rtl/>
        </w:rPr>
        <w:t>,</w:t>
      </w:r>
      <w:r w:rsidR="001A2D68">
        <w:rPr>
          <w:rFonts w:hint="cs"/>
          <w:rtl/>
        </w:rPr>
        <w:t xml:space="preserve"> דבר זה נגזר מתוך הרצון למנוע עוגמת נפש מיותרת הנגרמת מהעובדה שבסמוך</w:t>
      </w:r>
      <w:r w:rsidR="001C6415">
        <w:rPr>
          <w:rFonts w:hint="cs"/>
          <w:rtl/>
        </w:rPr>
        <w:t xml:space="preserve"> למקום לא קיימת חני</w:t>
      </w:r>
      <w:r w:rsidR="001A2D68">
        <w:rPr>
          <w:rFonts w:hint="cs"/>
          <w:rtl/>
        </w:rPr>
        <w:t xml:space="preserve">ה לנכים. </w:t>
      </w:r>
    </w:p>
    <w:p w:rsidR="001C6415" w:rsidRDefault="001A2D68" w:rsidP="001C6415">
      <w:pPr>
        <w:pStyle w:val="Hesber"/>
        <w:spacing w:line="240" w:lineRule="auto"/>
        <w:rPr>
          <w:rtl/>
        </w:rPr>
      </w:pPr>
      <w:r>
        <w:rPr>
          <w:rFonts w:hint="cs"/>
          <w:rtl/>
        </w:rPr>
        <w:t>תיקון זה בא לממש את זכ</w:t>
      </w:r>
      <w:r w:rsidR="001C6415">
        <w:rPr>
          <w:rFonts w:hint="cs"/>
          <w:rtl/>
        </w:rPr>
        <w:t>ו</w:t>
      </w:r>
      <w:r>
        <w:rPr>
          <w:rFonts w:hint="cs"/>
          <w:rtl/>
        </w:rPr>
        <w:t>יותיה</w:t>
      </w:r>
      <w:r>
        <w:rPr>
          <w:rFonts w:hint="eastAsia"/>
          <w:rtl/>
        </w:rPr>
        <w:t>ם</w:t>
      </w:r>
      <w:r>
        <w:rPr>
          <w:rFonts w:hint="cs"/>
          <w:rtl/>
        </w:rPr>
        <w:t xml:space="preserve"> של אנשים עם מוגבלות לשוויון ו</w:t>
      </w:r>
      <w:r w:rsidR="00402FF2">
        <w:rPr>
          <w:rFonts w:hint="cs"/>
          <w:rtl/>
        </w:rPr>
        <w:t xml:space="preserve">בא </w:t>
      </w:r>
      <w:r>
        <w:rPr>
          <w:rFonts w:hint="cs"/>
          <w:rtl/>
        </w:rPr>
        <w:t>להקל על אלו אשר אינם יכולים להחנות את רכבם הרחק ממחוז חפצם.</w:t>
      </w:r>
      <w:r w:rsidR="00402FF2">
        <w:rPr>
          <w:rFonts w:hint="cs"/>
          <w:rtl/>
        </w:rPr>
        <w:t xml:space="preserve"> </w:t>
      </w:r>
    </w:p>
    <w:p w:rsidR="001C6415" w:rsidRDefault="001C6415" w:rsidP="001C6415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</w:p>
    <w:p w:rsidR="001C6415" w:rsidRDefault="001C6415" w:rsidP="001C6415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---------------------------------</w:t>
      </w:r>
    </w:p>
    <w:p w:rsidR="001C6415" w:rsidRDefault="001C6415" w:rsidP="001C6415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הוגשה ליו"ר הכנסת והסגנים</w:t>
      </w:r>
    </w:p>
    <w:p w:rsidR="001C6415" w:rsidRDefault="001C6415" w:rsidP="001C6415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והונחה על שולחן הכנסת ביום</w:t>
      </w:r>
    </w:p>
    <w:p w:rsidR="001C6415" w:rsidRDefault="001C6415" w:rsidP="001C6415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כ"ז בטבת </w:t>
      </w:r>
      <w:proofErr w:type="spellStart"/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התשע"ד</w:t>
      </w:r>
      <w:proofErr w:type="spellEnd"/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– 30.12.13</w:t>
      </w:r>
    </w:p>
    <w:p w:rsidR="001C6415" w:rsidRDefault="001C6415" w:rsidP="001C6415">
      <w:pPr>
        <w:pStyle w:val="Hesber"/>
        <w:spacing w:line="240" w:lineRule="auto"/>
        <w:rPr>
          <w:rtl/>
        </w:rPr>
      </w:pPr>
    </w:p>
    <w:sectPr w:rsidR="001C6415" w:rsidSect="001C6415">
      <w:footerReference w:type="even" r:id="rId11"/>
      <w:footerReference w:type="default" r:id="rId12"/>
      <w:pgSz w:w="11907" w:h="16840" w:code="9"/>
      <w:pgMar w:top="993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5A5" w:rsidRDefault="006F35A5">
      <w:r>
        <w:separator/>
      </w:r>
    </w:p>
  </w:endnote>
  <w:endnote w:type="continuationSeparator" w:id="0">
    <w:p w:rsidR="006F35A5" w:rsidRDefault="006F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23" w:rsidRDefault="001A0623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1A0623" w:rsidRDefault="001A062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23" w:rsidRDefault="001A0623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1C6415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:rsidR="001A0623" w:rsidRDefault="001A06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5A5" w:rsidRDefault="006F35A5">
      <w:r>
        <w:separator/>
      </w:r>
    </w:p>
  </w:footnote>
  <w:footnote w:type="continuationSeparator" w:id="0">
    <w:p w:rsidR="006F35A5" w:rsidRDefault="006F35A5">
      <w:r>
        <w:continuationSeparator/>
      </w:r>
    </w:p>
  </w:footnote>
  <w:footnote w:type="continuationNotice" w:id="1">
    <w:p w:rsidR="006F35A5" w:rsidRDefault="006F35A5"/>
  </w:footnote>
  <w:footnote w:id="2">
    <w:p w:rsidR="00402FF2" w:rsidRDefault="00402FF2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התשנ"ד</w:t>
      </w:r>
      <w:proofErr w:type="spellEnd"/>
      <w:r>
        <w:rPr>
          <w:rFonts w:hint="cs"/>
          <w:rtl/>
        </w:rPr>
        <w:t>, עמ' 28.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8007lsCopyOriginal.docx"/>
    <w:docVar w:name="StartMode" w:val="2"/>
  </w:docVars>
  <w:rsids>
    <w:rsidRoot w:val="00DB7060"/>
    <w:rsid w:val="00015B27"/>
    <w:rsid w:val="000841D8"/>
    <w:rsid w:val="000A542E"/>
    <w:rsid w:val="000D3E96"/>
    <w:rsid w:val="001207F8"/>
    <w:rsid w:val="00121924"/>
    <w:rsid w:val="001279A8"/>
    <w:rsid w:val="0014195F"/>
    <w:rsid w:val="00150150"/>
    <w:rsid w:val="00152609"/>
    <w:rsid w:val="00153E1B"/>
    <w:rsid w:val="00155546"/>
    <w:rsid w:val="001A0623"/>
    <w:rsid w:val="001A2D68"/>
    <w:rsid w:val="001C23B0"/>
    <w:rsid w:val="001C6415"/>
    <w:rsid w:val="001E3C32"/>
    <w:rsid w:val="00203A7F"/>
    <w:rsid w:val="002200A1"/>
    <w:rsid w:val="002362BF"/>
    <w:rsid w:val="00241B97"/>
    <w:rsid w:val="00254605"/>
    <w:rsid w:val="002728B4"/>
    <w:rsid w:val="00292712"/>
    <w:rsid w:val="002C2E29"/>
    <w:rsid w:val="003232A2"/>
    <w:rsid w:val="003553CC"/>
    <w:rsid w:val="003710F6"/>
    <w:rsid w:val="00386E88"/>
    <w:rsid w:val="003C02EE"/>
    <w:rsid w:val="003D74A0"/>
    <w:rsid w:val="00402FF2"/>
    <w:rsid w:val="004033D8"/>
    <w:rsid w:val="00411ACA"/>
    <w:rsid w:val="00414252"/>
    <w:rsid w:val="00432B2D"/>
    <w:rsid w:val="004D3876"/>
    <w:rsid w:val="004E4552"/>
    <w:rsid w:val="005311C9"/>
    <w:rsid w:val="00553C9D"/>
    <w:rsid w:val="0057743F"/>
    <w:rsid w:val="005B064E"/>
    <w:rsid w:val="005D51AE"/>
    <w:rsid w:val="005F2363"/>
    <w:rsid w:val="00644940"/>
    <w:rsid w:val="00653BAF"/>
    <w:rsid w:val="006818A9"/>
    <w:rsid w:val="006C1D0D"/>
    <w:rsid w:val="006F35A5"/>
    <w:rsid w:val="0070601E"/>
    <w:rsid w:val="00765F66"/>
    <w:rsid w:val="007A0671"/>
    <w:rsid w:val="007D409E"/>
    <w:rsid w:val="007D5A12"/>
    <w:rsid w:val="007E59F9"/>
    <w:rsid w:val="00810BCD"/>
    <w:rsid w:val="00812C98"/>
    <w:rsid w:val="00814D92"/>
    <w:rsid w:val="00892135"/>
    <w:rsid w:val="00895449"/>
    <w:rsid w:val="00897879"/>
    <w:rsid w:val="008C2DDC"/>
    <w:rsid w:val="008F0D63"/>
    <w:rsid w:val="008F2C35"/>
    <w:rsid w:val="0091204F"/>
    <w:rsid w:val="009203DB"/>
    <w:rsid w:val="00943386"/>
    <w:rsid w:val="009551FE"/>
    <w:rsid w:val="00957589"/>
    <w:rsid w:val="00982412"/>
    <w:rsid w:val="009C2A82"/>
    <w:rsid w:val="00A26BD6"/>
    <w:rsid w:val="00A82CB7"/>
    <w:rsid w:val="00AC36F7"/>
    <w:rsid w:val="00B35784"/>
    <w:rsid w:val="00B5599A"/>
    <w:rsid w:val="00B865ED"/>
    <w:rsid w:val="00BC45FB"/>
    <w:rsid w:val="00C9176A"/>
    <w:rsid w:val="00CB4938"/>
    <w:rsid w:val="00CE0F8E"/>
    <w:rsid w:val="00D867D7"/>
    <w:rsid w:val="00DB7060"/>
    <w:rsid w:val="00DE3153"/>
    <w:rsid w:val="00E13C27"/>
    <w:rsid w:val="00E33BBD"/>
    <w:rsid w:val="00E45103"/>
    <w:rsid w:val="00E665B9"/>
    <w:rsid w:val="00E83577"/>
    <w:rsid w:val="00EA01E6"/>
    <w:rsid w:val="00EA758F"/>
    <w:rsid w:val="00ED4A6F"/>
    <w:rsid w:val="00EF3A3A"/>
    <w:rsid w:val="00F7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F8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Noparagraphstyle"/>
    <w:rsid w:val="00943386"/>
    <w:pPr>
      <w:tabs>
        <w:tab w:val="left" w:pos="1191"/>
        <w:tab w:val="left" w:pos="1587"/>
      </w:tabs>
      <w:spacing w:before="240" w:after="240" w:line="480" w:lineRule="auto"/>
      <w:jc w:val="center"/>
    </w:pPr>
  </w:style>
  <w:style w:type="paragraph" w:customStyle="1" w:styleId="Cover2-HatzaotHok">
    <w:name w:val="Cover 2-HatzaotHok"/>
    <w:basedOn w:val="Cover1-Reshumot"/>
    <w:rsid w:val="00943386"/>
    <w:rPr>
      <w:sz w:val="36"/>
      <w:szCs w:val="52"/>
    </w:rPr>
  </w:style>
  <w:style w:type="paragraph" w:customStyle="1" w:styleId="Cover3-Haknesset">
    <w:name w:val="Cover 3-Haknesset"/>
    <w:basedOn w:val="Cover1-Reshumot"/>
    <w:rsid w:val="00943386"/>
    <w:rPr>
      <w:b/>
      <w:bCs/>
      <w:spacing w:val="60"/>
    </w:rPr>
  </w:style>
  <w:style w:type="paragraph" w:customStyle="1" w:styleId="Cover4-Date">
    <w:name w:val="Cover 4-Date"/>
    <w:basedOn w:val="Noparagraphstyle"/>
    <w:rsid w:val="00943386"/>
    <w:pPr>
      <w:pBdr>
        <w:bottom w:val="single" w:sz="4" w:space="0" w:color="auto"/>
      </w:pBdr>
      <w:tabs>
        <w:tab w:val="center" w:pos="4820"/>
        <w:tab w:val="right" w:pos="9639"/>
      </w:tabs>
      <w:spacing w:before="240" w:after="240"/>
    </w:p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Noparagraphstyle"/>
    <w:rsid w:val="00943386"/>
    <w:pPr>
      <w:keepNext/>
      <w:keepLines/>
      <w:pageBreakBefore/>
      <w:spacing w:before="480"/>
      <w:jc w:val="both"/>
    </w:pPr>
    <w:rPr>
      <w:b/>
      <w:bCs/>
    </w:rPr>
  </w:style>
  <w:style w:type="paragraph" w:customStyle="1" w:styleId="HeadHatzaotHok">
    <w:name w:val="Head HatzaotHok"/>
    <w:basedOn w:val="Noparagraphstyle"/>
    <w:rsid w:val="00943386"/>
    <w:pPr>
      <w:keepNext/>
      <w:keepLines/>
      <w:spacing w:before="240"/>
      <w:jc w:val="center"/>
    </w:pPr>
    <w:rPr>
      <w:b/>
      <w:bCs/>
    </w:rPr>
  </w:style>
  <w:style w:type="paragraph" w:customStyle="1" w:styleId="HeadHatzaotHok4Futer">
    <w:name w:val="Head HatzaotHok4Futer"/>
    <w:basedOn w:val="HeadHatzaotHok"/>
    <w:rsid w:val="00943386"/>
    <w:pPr>
      <w:spacing w:before="120" w:after="120"/>
    </w:pPr>
    <w:rPr>
      <w:color w:val="FF0000"/>
      <w:w w:val="80"/>
    </w:rPr>
  </w:style>
  <w:style w:type="paragraph" w:styleId="a3">
    <w:name w:val="endnote text"/>
    <w:basedOn w:val="Ragil"/>
    <w:semiHidden/>
    <w:rsid w:val="00943386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Ragil"/>
    <w:rsid w:val="00943386"/>
    <w:pPr>
      <w:keepLines/>
      <w:tabs>
        <w:tab w:val="left" w:pos="624"/>
        <w:tab w:val="left" w:pos="1247"/>
      </w:tabs>
      <w:ind w:right="57" w:firstLine="0"/>
    </w:pPr>
  </w:style>
  <w:style w:type="paragraph" w:customStyle="1" w:styleId="TableSideHeading">
    <w:name w:val="Table SideHeading"/>
    <w:basedOn w:val="TableText"/>
    <w:rsid w:val="00943386"/>
  </w:style>
  <w:style w:type="paragraph" w:customStyle="1" w:styleId="TableBlock">
    <w:name w:val="Table Block"/>
    <w:basedOn w:val="TableText"/>
    <w:rsid w:val="00943386"/>
    <w:pPr>
      <w:ind w:right="0"/>
      <w:jc w:val="both"/>
    </w:pPr>
  </w:style>
  <w:style w:type="paragraph" w:customStyle="1" w:styleId="TableHead">
    <w:name w:val="Table Head"/>
    <w:basedOn w:val="TableText"/>
    <w:rsid w:val="00943386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943386"/>
  </w:style>
  <w:style w:type="paragraph" w:customStyle="1" w:styleId="Hesber">
    <w:name w:val="Hesber"/>
    <w:basedOn w:val="Ragil"/>
    <w:rsid w:val="00943386"/>
    <w:pPr>
      <w:jc w:val="both"/>
    </w:pPr>
  </w:style>
  <w:style w:type="paragraph" w:styleId="a4">
    <w:name w:val="footnote text"/>
    <w:basedOn w:val="Ragil"/>
    <w:autoRedefine/>
    <w:semiHidden/>
    <w:rsid w:val="00943386"/>
    <w:pPr>
      <w:spacing w:line="240" w:lineRule="auto"/>
      <w:ind w:left="227" w:hanging="227"/>
    </w:pPr>
    <w:rPr>
      <w:sz w:val="14"/>
      <w:szCs w:val="20"/>
    </w:rPr>
  </w:style>
  <w:style w:type="character" w:styleId="a5">
    <w:name w:val="footnote reference"/>
    <w:semiHidden/>
    <w:rsid w:val="00943386"/>
    <w:rPr>
      <w:vertAlign w:val="superscript"/>
    </w:rPr>
  </w:style>
  <w:style w:type="paragraph" w:customStyle="1" w:styleId="HesberHeading">
    <w:name w:val="Hesber Heading"/>
    <w:basedOn w:val="Hesber"/>
    <w:rsid w:val="00943386"/>
    <w:pPr>
      <w:keepNext/>
      <w:keepLines/>
      <w:spacing w:before="240"/>
      <w:ind w:firstLine="0"/>
    </w:pPr>
    <w:rPr>
      <w:b/>
      <w:bCs/>
    </w:rPr>
  </w:style>
  <w:style w:type="paragraph" w:customStyle="1" w:styleId="HesberWriters">
    <w:name w:val="Hesber Writers"/>
    <w:basedOn w:val="Hesber"/>
    <w:rsid w:val="00943386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943386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semiHidden/>
    <w:rsid w:val="00943386"/>
    <w:rPr>
      <w:vertAlign w:val="superscript"/>
    </w:rPr>
  </w:style>
  <w:style w:type="paragraph" w:customStyle="1" w:styleId="TableBlockOutdent">
    <w:name w:val="Table BlockOutdent"/>
    <w:basedOn w:val="TableBlock"/>
    <w:rsid w:val="00943386"/>
    <w:pPr>
      <w:ind w:left="624" w:hanging="624"/>
    </w:pPr>
  </w:style>
  <w:style w:type="paragraph" w:styleId="a7">
    <w:name w:val="header"/>
    <w:basedOn w:val="a"/>
    <w:rsid w:val="00943386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943386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Ragil"/>
    <w:rsid w:val="00943386"/>
    <w:pPr>
      <w:spacing w:before="360" w:after="120"/>
      <w:ind w:firstLine="0"/>
      <w:jc w:val="center"/>
    </w:pPr>
    <w:rPr>
      <w:b/>
      <w:spacing w:val="40"/>
    </w:rPr>
  </w:style>
  <w:style w:type="paragraph" w:customStyle="1" w:styleId="Ragil">
    <w:name w:val="Ragil"/>
    <w:basedOn w:val="Noparagraphstyle"/>
    <w:rsid w:val="00943386"/>
    <w:pPr>
      <w:ind w:firstLine="340"/>
    </w:p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1207F8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15554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155546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F8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Noparagraphstyle"/>
    <w:rsid w:val="00943386"/>
    <w:pPr>
      <w:tabs>
        <w:tab w:val="left" w:pos="1191"/>
        <w:tab w:val="left" w:pos="1587"/>
      </w:tabs>
      <w:spacing w:before="240" w:after="240" w:line="480" w:lineRule="auto"/>
      <w:jc w:val="center"/>
    </w:pPr>
  </w:style>
  <w:style w:type="paragraph" w:customStyle="1" w:styleId="Cover2-HatzaotHok">
    <w:name w:val="Cover 2-HatzaotHok"/>
    <w:basedOn w:val="Cover1-Reshumot"/>
    <w:rsid w:val="00943386"/>
    <w:rPr>
      <w:sz w:val="36"/>
      <w:szCs w:val="52"/>
    </w:rPr>
  </w:style>
  <w:style w:type="paragraph" w:customStyle="1" w:styleId="Cover3-Haknesset">
    <w:name w:val="Cover 3-Haknesset"/>
    <w:basedOn w:val="Cover1-Reshumot"/>
    <w:rsid w:val="00943386"/>
    <w:rPr>
      <w:b/>
      <w:bCs/>
      <w:spacing w:val="60"/>
    </w:rPr>
  </w:style>
  <w:style w:type="paragraph" w:customStyle="1" w:styleId="Cover4-Date">
    <w:name w:val="Cover 4-Date"/>
    <w:basedOn w:val="Noparagraphstyle"/>
    <w:rsid w:val="00943386"/>
    <w:pPr>
      <w:pBdr>
        <w:bottom w:val="single" w:sz="4" w:space="0" w:color="auto"/>
      </w:pBdr>
      <w:tabs>
        <w:tab w:val="center" w:pos="4820"/>
        <w:tab w:val="right" w:pos="9639"/>
      </w:tabs>
      <w:spacing w:before="240" w:after="240"/>
    </w:p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Noparagraphstyle"/>
    <w:rsid w:val="00943386"/>
    <w:pPr>
      <w:keepNext/>
      <w:keepLines/>
      <w:pageBreakBefore/>
      <w:spacing w:before="480"/>
      <w:jc w:val="both"/>
    </w:pPr>
    <w:rPr>
      <w:b/>
      <w:bCs/>
    </w:rPr>
  </w:style>
  <w:style w:type="paragraph" w:customStyle="1" w:styleId="HeadHatzaotHok">
    <w:name w:val="Head HatzaotHok"/>
    <w:basedOn w:val="Noparagraphstyle"/>
    <w:rsid w:val="00943386"/>
    <w:pPr>
      <w:keepNext/>
      <w:keepLines/>
      <w:spacing w:before="240"/>
      <w:jc w:val="center"/>
    </w:pPr>
    <w:rPr>
      <w:b/>
      <w:bCs/>
    </w:rPr>
  </w:style>
  <w:style w:type="paragraph" w:customStyle="1" w:styleId="HeadHatzaotHok4Futer">
    <w:name w:val="Head HatzaotHok4Futer"/>
    <w:basedOn w:val="HeadHatzaotHok"/>
    <w:rsid w:val="00943386"/>
    <w:pPr>
      <w:spacing w:before="120" w:after="120"/>
    </w:pPr>
    <w:rPr>
      <w:color w:val="FF0000"/>
      <w:w w:val="80"/>
    </w:rPr>
  </w:style>
  <w:style w:type="paragraph" w:styleId="a3">
    <w:name w:val="endnote text"/>
    <w:basedOn w:val="Ragil"/>
    <w:semiHidden/>
    <w:rsid w:val="00943386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Ragil"/>
    <w:rsid w:val="00943386"/>
    <w:pPr>
      <w:keepLines/>
      <w:tabs>
        <w:tab w:val="left" w:pos="624"/>
        <w:tab w:val="left" w:pos="1247"/>
      </w:tabs>
      <w:ind w:right="57" w:firstLine="0"/>
    </w:pPr>
  </w:style>
  <w:style w:type="paragraph" w:customStyle="1" w:styleId="TableSideHeading">
    <w:name w:val="Table SideHeading"/>
    <w:basedOn w:val="TableText"/>
    <w:rsid w:val="00943386"/>
  </w:style>
  <w:style w:type="paragraph" w:customStyle="1" w:styleId="TableBlock">
    <w:name w:val="Table Block"/>
    <w:basedOn w:val="TableText"/>
    <w:rsid w:val="00943386"/>
    <w:pPr>
      <w:ind w:right="0"/>
      <w:jc w:val="both"/>
    </w:pPr>
  </w:style>
  <w:style w:type="paragraph" w:customStyle="1" w:styleId="TableHead">
    <w:name w:val="Table Head"/>
    <w:basedOn w:val="TableText"/>
    <w:rsid w:val="00943386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943386"/>
  </w:style>
  <w:style w:type="paragraph" w:customStyle="1" w:styleId="Hesber">
    <w:name w:val="Hesber"/>
    <w:basedOn w:val="Ragil"/>
    <w:rsid w:val="00943386"/>
    <w:pPr>
      <w:jc w:val="both"/>
    </w:pPr>
  </w:style>
  <w:style w:type="paragraph" w:styleId="a4">
    <w:name w:val="footnote text"/>
    <w:basedOn w:val="Ragil"/>
    <w:autoRedefine/>
    <w:semiHidden/>
    <w:rsid w:val="00943386"/>
    <w:pPr>
      <w:spacing w:line="240" w:lineRule="auto"/>
      <w:ind w:left="227" w:hanging="227"/>
    </w:pPr>
    <w:rPr>
      <w:sz w:val="14"/>
      <w:szCs w:val="20"/>
    </w:rPr>
  </w:style>
  <w:style w:type="character" w:styleId="a5">
    <w:name w:val="footnote reference"/>
    <w:semiHidden/>
    <w:rsid w:val="00943386"/>
    <w:rPr>
      <w:vertAlign w:val="superscript"/>
    </w:rPr>
  </w:style>
  <w:style w:type="paragraph" w:customStyle="1" w:styleId="HesberHeading">
    <w:name w:val="Hesber Heading"/>
    <w:basedOn w:val="Hesber"/>
    <w:rsid w:val="00943386"/>
    <w:pPr>
      <w:keepNext/>
      <w:keepLines/>
      <w:spacing w:before="240"/>
      <w:ind w:firstLine="0"/>
    </w:pPr>
    <w:rPr>
      <w:b/>
      <w:bCs/>
    </w:rPr>
  </w:style>
  <w:style w:type="paragraph" w:customStyle="1" w:styleId="HesberWriters">
    <w:name w:val="Hesber Writers"/>
    <w:basedOn w:val="Hesber"/>
    <w:rsid w:val="00943386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943386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semiHidden/>
    <w:rsid w:val="00943386"/>
    <w:rPr>
      <w:vertAlign w:val="superscript"/>
    </w:rPr>
  </w:style>
  <w:style w:type="paragraph" w:customStyle="1" w:styleId="TableBlockOutdent">
    <w:name w:val="Table BlockOutdent"/>
    <w:basedOn w:val="TableBlock"/>
    <w:rsid w:val="00943386"/>
    <w:pPr>
      <w:ind w:left="624" w:hanging="624"/>
    </w:pPr>
  </w:style>
  <w:style w:type="paragraph" w:styleId="a7">
    <w:name w:val="header"/>
    <w:basedOn w:val="a"/>
    <w:rsid w:val="00943386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943386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Ragil"/>
    <w:rsid w:val="00943386"/>
    <w:pPr>
      <w:spacing w:before="360" w:after="120"/>
      <w:ind w:firstLine="0"/>
      <w:jc w:val="center"/>
    </w:pPr>
    <w:rPr>
      <w:b/>
      <w:spacing w:val="40"/>
    </w:rPr>
  </w:style>
  <w:style w:type="paragraph" w:customStyle="1" w:styleId="Ragil">
    <w:name w:val="Ragil"/>
    <w:basedOn w:val="Noparagraphstyle"/>
    <w:rsid w:val="00943386"/>
    <w:pPr>
      <w:ind w:firstLine="340"/>
    </w:p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1207F8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15554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155546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8EF1E9-A981-4411-BFD3-FD012DD21118}"/>
</file>

<file path=customXml/itemProps2.xml><?xml version="1.0" encoding="utf-8"?>
<ds:datastoreItem xmlns:ds="http://schemas.openxmlformats.org/officeDocument/2006/customXml" ds:itemID="{88F4AFE3-9455-419C-8851-785A55F44517}"/>
</file>

<file path=customXml/itemProps3.xml><?xml version="1.0" encoding="utf-8"?>
<ds:datastoreItem xmlns:ds="http://schemas.openxmlformats.org/officeDocument/2006/customXml" ds:itemID="{53CDC32B-DD97-493E-9196-3EF77D6F9C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 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subject/>
  <dc:creator>הדס זיגדון</dc:creator>
  <cp:keywords/>
  <dc:description/>
  <cp:lastModifiedBy>לילך יעיש</cp:lastModifiedBy>
  <cp:revision>2</cp:revision>
  <cp:lastPrinted>2013-12-26T11:45:00Z</cp:lastPrinted>
  <dcterms:created xsi:type="dcterms:W3CDTF">2013-12-26T11:46:00Z</dcterms:created>
  <dcterms:modified xsi:type="dcterms:W3CDTF">2013-12-26T11:46:00Z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</Properties>
</file>