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27" w:rsidRPr="00DB7060" w:rsidRDefault="00E13C27" w:rsidP="00E13C27">
      <w:pPr>
        <w:pStyle w:val="HeadHatzaotHok"/>
        <w:rPr>
          <w:rFonts w:hint="cs"/>
          <w:sz w:val="28"/>
          <w:szCs w:val="28"/>
          <w:rtl/>
        </w:rPr>
      </w:pPr>
      <w:bookmarkStart w:id="0" w:name="_GoBack"/>
      <w:bookmarkEnd w:id="0"/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02377F" w:rsidRPr="0002377F">
        <w:rPr>
          <w:sz w:val="28"/>
          <w:szCs w:val="28"/>
          <w:rtl/>
        </w:rPr>
        <w:t>השמונה-עשרה</w:t>
      </w:r>
      <w:bookmarkEnd w:id="1"/>
    </w:p>
    <w:p w:rsidR="00E13C27" w:rsidRDefault="00E13C27" w:rsidP="00E13C27">
      <w:pPr>
        <w:rPr>
          <w:rFonts w:cs="David" w:hint="cs"/>
          <w:sz w:val="26"/>
          <w:szCs w:val="26"/>
          <w:rtl/>
        </w:rPr>
      </w:pPr>
    </w:p>
    <w:p w:rsidR="00710401" w:rsidRPr="00760802" w:rsidRDefault="00485876" w:rsidP="0091204F">
      <w:pPr>
        <w:pStyle w:val="David"/>
        <w:ind w:left="2880" w:firstLine="663"/>
        <w:rPr>
          <w:b/>
          <w:bCs/>
        </w:rPr>
      </w:pPr>
      <w:bookmarkStart w:id="2" w:name="MKsSingleOrMulti"/>
      <w:r w:rsidRPr="00760802">
        <w:rPr>
          <w:b/>
          <w:bCs/>
          <w:rtl/>
        </w:rPr>
        <w:t>יוזמים:      חברי הכנסת</w:t>
      </w:r>
      <w:bookmarkEnd w:id="2"/>
      <w:r w:rsidR="00B35784" w:rsidRPr="00760802">
        <w:rPr>
          <w:b/>
          <w:bCs/>
        </w:rPr>
        <w:tab/>
      </w:r>
      <w:bookmarkStart w:id="3" w:name="MKs"/>
      <w:r w:rsidR="00710401" w:rsidRPr="00760802">
        <w:rPr>
          <w:b/>
          <w:bCs/>
          <w:rtl/>
        </w:rPr>
        <w:t>יוליה שמאלוב-ברקוביץ</w:t>
      </w:r>
    </w:p>
    <w:p w:rsidR="00710401" w:rsidRPr="00005AC2" w:rsidRDefault="00710401" w:rsidP="0091204F">
      <w:pPr>
        <w:pStyle w:val="David"/>
        <w:ind w:left="2880" w:firstLine="663"/>
        <w:rPr>
          <w:b/>
          <w:bCs/>
        </w:rPr>
      </w:pP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  <w:rtl/>
        </w:rPr>
        <w:t>נסים זאב</w:t>
      </w:r>
    </w:p>
    <w:p w:rsidR="00710401" w:rsidRPr="00005AC2" w:rsidRDefault="00710401" w:rsidP="0091204F">
      <w:pPr>
        <w:pStyle w:val="David"/>
        <w:ind w:left="2880" w:firstLine="663"/>
        <w:rPr>
          <w:b/>
          <w:bCs/>
        </w:rPr>
      </w:pP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  <w:rtl/>
        </w:rPr>
        <w:t>אברהם דואן</w:t>
      </w:r>
    </w:p>
    <w:p w:rsidR="00710401" w:rsidRPr="00005AC2" w:rsidRDefault="00710401" w:rsidP="0091204F">
      <w:pPr>
        <w:pStyle w:val="David"/>
        <w:ind w:left="2880" w:firstLine="663"/>
        <w:rPr>
          <w:b/>
          <w:bCs/>
        </w:rPr>
      </w:pP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  <w:rtl/>
        </w:rPr>
        <w:t>רונית תירוש</w:t>
      </w:r>
    </w:p>
    <w:p w:rsidR="005B48CC" w:rsidRDefault="00710401" w:rsidP="00005AC2">
      <w:pPr>
        <w:pStyle w:val="David"/>
        <w:ind w:left="2880" w:firstLine="663"/>
        <w:rPr>
          <w:rFonts w:hint="cs"/>
          <w:b/>
          <w:bCs/>
          <w:rtl/>
        </w:rPr>
      </w:pP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</w:rPr>
        <w:tab/>
      </w:r>
      <w:r w:rsidRPr="00005AC2">
        <w:rPr>
          <w:b/>
          <w:bCs/>
          <w:rtl/>
        </w:rPr>
        <w:t>מיכאל בן-ארי</w:t>
      </w:r>
      <w:bookmarkEnd w:id="3"/>
    </w:p>
    <w:p w:rsidR="00E13C27" w:rsidRPr="00005AC2" w:rsidRDefault="00897879" w:rsidP="00005AC2">
      <w:pPr>
        <w:pStyle w:val="David"/>
        <w:ind w:left="2880" w:firstLine="663"/>
        <w:rPr>
          <w:rFonts w:hint="cs"/>
          <w:b/>
          <w:bCs/>
          <w:rtl/>
        </w:rPr>
      </w:pPr>
      <w:r w:rsidRPr="00005AC2">
        <w:rPr>
          <w:rFonts w:hint="cs"/>
          <w:b/>
          <w:bCs/>
          <w:noProof/>
          <w:rtl/>
          <w:lang w:eastAsia="en-US"/>
        </w:rPr>
        <w:pict>
          <v:polyline id="_x0000_s1032" style="position:absolute;left:0;text-align:left;z-index:251658240" points=".1pt,5.1pt,304.8pt,3.85pt" coordsize="6094,25" filled="f" stroked="f">
            <v:path arrowok="t"/>
            <w10:wrap anchorx="page"/>
          </v:polyline>
        </w:pict>
      </w:r>
      <w:bookmarkStart w:id="4" w:name="MKsSingleOrMulti1"/>
      <w:bookmarkStart w:id="5" w:name="MKs1"/>
      <w:bookmarkEnd w:id="4"/>
      <w:bookmarkEnd w:id="5"/>
    </w:p>
    <w:p w:rsidR="00E13C27" w:rsidRDefault="00E13C27" w:rsidP="00292712">
      <w:pPr>
        <w:ind w:left="2919" w:firstLine="720"/>
        <w:rPr>
          <w:rFonts w:cs="David" w:hint="cs"/>
          <w:sz w:val="26"/>
          <w:szCs w:val="26"/>
          <w:rtl/>
        </w:rPr>
      </w:pPr>
      <w:r>
        <w:rPr>
          <w:rFonts w:cs="David" w:hint="cs"/>
          <w:noProof/>
          <w:sz w:val="26"/>
          <w:szCs w:val="26"/>
          <w:rtl/>
          <w:lang w:eastAsia="en-US"/>
        </w:rPr>
        <w:pict>
          <v:polyline id="_x0000_s1031" style="position:absolute;left:0;text-align:left;z-index:251657216" points=".1pt,5.1pt,305.55pt,3.75pt" coordsize="6109,27" filled="f">
            <v:path arrowok="t"/>
            <w10:wrap anchorx="page"/>
          </v:polyline>
        </w:pict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bookmarkStart w:id="6" w:name="LawNum"/>
      <w:r w:rsidR="00D20C86" w:rsidRPr="00D20C86">
        <w:rPr>
          <w:rFonts w:cs="David"/>
          <w:sz w:val="26"/>
          <w:szCs w:val="26"/>
          <w:rtl/>
        </w:rPr>
        <w:t>פ/4499/18</w:t>
      </w:r>
      <w:bookmarkEnd w:id="6"/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</w:p>
    <w:p w:rsidR="00E13C27" w:rsidRDefault="00E13C27" w:rsidP="00E13C27">
      <w:pPr>
        <w:spacing w:before="0" w:line="360" w:lineRule="auto"/>
        <w:ind w:left="2880" w:firstLine="720"/>
        <w:rPr>
          <w:rFonts w:cs="David" w:hint="cs"/>
          <w:sz w:val="26"/>
          <w:szCs w:val="26"/>
          <w:rtl/>
        </w:rPr>
      </w:pPr>
    </w:p>
    <w:p w:rsidR="00E13C27" w:rsidRDefault="00C078AF" w:rsidP="005B48CC">
      <w:pPr>
        <w:pStyle w:val="HeadHatzaotHok"/>
        <w:tabs>
          <w:tab w:val="left" w:pos="4071"/>
          <w:tab w:val="center" w:pos="4819"/>
        </w:tabs>
        <w:spacing w:before="0"/>
        <w:rPr>
          <w:rFonts w:hint="cs"/>
          <w:sz w:val="26"/>
          <w:rtl/>
        </w:rPr>
      </w:pPr>
      <w:bookmarkStart w:id="7" w:name="Title"/>
      <w:r w:rsidRPr="00C078AF">
        <w:rPr>
          <w:sz w:val="26"/>
          <w:rtl/>
        </w:rPr>
        <w:t xml:space="preserve">הצעת חוק הרשות השנייה לטלוויזיה ורדיו (תיקון </w:t>
      </w:r>
      <w:r w:rsidR="000639EE">
        <w:rPr>
          <w:rFonts w:hint="cs"/>
          <w:sz w:val="26"/>
          <w:rtl/>
        </w:rPr>
        <w:t>–</w:t>
      </w:r>
      <w:r w:rsidRPr="00C078AF">
        <w:rPr>
          <w:sz w:val="26"/>
          <w:rtl/>
        </w:rPr>
        <w:t xml:space="preserve"> חובת קבלת אישור רפואי להשתתפות בשידורים), התשע"ב</w:t>
      </w:r>
      <w:r w:rsidR="005B48CC">
        <w:rPr>
          <w:rFonts w:hint="cs"/>
          <w:sz w:val="26"/>
          <w:rtl/>
        </w:rPr>
        <w:t>–</w:t>
      </w:r>
      <w:r w:rsidRPr="00C078AF">
        <w:rPr>
          <w:sz w:val="26"/>
          <w:rtl/>
        </w:rPr>
        <w:t>2012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4"/>
        <w:gridCol w:w="624"/>
        <w:gridCol w:w="624"/>
        <w:gridCol w:w="624"/>
        <w:gridCol w:w="624"/>
        <w:gridCol w:w="624"/>
        <w:gridCol w:w="4025"/>
      </w:tblGrid>
      <w:tr w:rsidR="002D3333" w:rsidRPr="002D3333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D3333" w:rsidRPr="002522B7" w:rsidRDefault="002D3333" w:rsidP="002522B7">
            <w:pPr>
              <w:pStyle w:val="TableSideHeading"/>
              <w:tabs>
                <w:tab w:val="left" w:pos="624"/>
                <w:tab w:val="left" w:pos="1247"/>
              </w:tabs>
              <w:ind w:right="0"/>
              <w:rPr>
                <w:rFonts w:hint="cs"/>
              </w:rPr>
            </w:pPr>
            <w:r w:rsidRPr="002522B7">
              <w:rPr>
                <w:rtl/>
              </w:rPr>
              <w:t xml:space="preserve">הוספת סעיף </w:t>
            </w:r>
            <w:r w:rsidRPr="002522B7">
              <w:rPr>
                <w:rFonts w:hint="cs"/>
                <w:rtl/>
              </w:rPr>
              <w:t>46</w:t>
            </w:r>
            <w:r w:rsidR="002522B7" w:rsidRPr="002522B7">
              <w:rPr>
                <w:rFonts w:hint="cs"/>
                <w:rtl/>
              </w:rPr>
              <w:t>א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D3333" w:rsidRPr="002522B7" w:rsidRDefault="002D3333" w:rsidP="002522B7">
            <w:pPr>
              <w:pStyle w:val="TableText"/>
              <w:tabs>
                <w:tab w:val="left" w:pos="624"/>
                <w:tab w:val="left" w:pos="1247"/>
              </w:tabs>
              <w:ind w:right="0"/>
              <w:jc w:val="both"/>
            </w:pPr>
            <w:r w:rsidRPr="002522B7">
              <w:rPr>
                <w:rtl/>
              </w:rPr>
              <w:t>1.</w:t>
            </w:r>
          </w:p>
        </w:tc>
        <w:tc>
          <w:tcPr>
            <w:tcW w:w="71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3333" w:rsidRPr="002522B7" w:rsidRDefault="002D3333" w:rsidP="002522B7">
            <w:pPr>
              <w:pStyle w:val="TableBlock"/>
              <w:tabs>
                <w:tab w:val="left" w:pos="624"/>
                <w:tab w:val="left" w:pos="1247"/>
              </w:tabs>
            </w:pPr>
            <w:r w:rsidRPr="002522B7">
              <w:rPr>
                <w:rtl/>
              </w:rPr>
              <w:t xml:space="preserve">בחוק </w:t>
            </w:r>
            <w:r w:rsidRPr="002522B7">
              <w:rPr>
                <w:rFonts w:hint="cs"/>
                <w:rtl/>
              </w:rPr>
              <w:t>הרשות השנייה לטלוויזיה ורדיו</w:t>
            </w:r>
            <w:r w:rsidRPr="002522B7">
              <w:rPr>
                <w:rtl/>
              </w:rPr>
              <w:t>, התש"ן–1990</w:t>
            </w:r>
            <w:r w:rsidRPr="00F76E75">
              <w:rPr>
                <w:szCs w:val="20"/>
                <w:rtl/>
              </w:rPr>
              <w:footnoteReference w:id="2"/>
            </w:r>
            <w:r w:rsidRPr="002522B7">
              <w:rPr>
                <w:rtl/>
              </w:rPr>
              <w:t xml:space="preserve">, </w:t>
            </w:r>
            <w:r w:rsidR="002522B7" w:rsidRPr="002522B7">
              <w:rPr>
                <w:rFonts w:hint="cs"/>
                <w:rtl/>
              </w:rPr>
              <w:t>אחרי</w:t>
            </w:r>
            <w:r w:rsidRPr="002522B7">
              <w:rPr>
                <w:rFonts w:hint="cs"/>
                <w:rtl/>
              </w:rPr>
              <w:t xml:space="preserve"> סעיף </w:t>
            </w:r>
            <w:r w:rsidR="002522B7" w:rsidRPr="002522B7">
              <w:rPr>
                <w:rFonts w:hint="cs"/>
                <w:rtl/>
              </w:rPr>
              <w:t xml:space="preserve">46 </w:t>
            </w:r>
            <w:r w:rsidRPr="002522B7">
              <w:rPr>
                <w:rtl/>
              </w:rPr>
              <w:t>יבוא:</w:t>
            </w:r>
          </w:p>
        </w:tc>
      </w:tr>
      <w:tr w:rsidR="002522B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69" w:type="dxa"/>
          </w:tcPr>
          <w:p w:rsidR="002522B7" w:rsidRDefault="002522B7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:rsidR="002522B7" w:rsidRDefault="002522B7">
            <w:pPr>
              <w:pStyle w:val="TableInnerSideHeading"/>
            </w:pPr>
            <w:r>
              <w:rPr>
                <w:rFonts w:hint="cs"/>
                <w:sz w:val="26"/>
                <w:rtl/>
              </w:rPr>
              <w:t>"</w:t>
            </w:r>
            <w:r w:rsidRPr="008077B8">
              <w:rPr>
                <w:sz w:val="26"/>
                <w:rtl/>
              </w:rPr>
              <w:t xml:space="preserve">חובת קבלת אישור </w:t>
            </w:r>
            <w:r>
              <w:rPr>
                <w:rFonts w:hint="cs"/>
                <w:sz w:val="26"/>
                <w:rtl/>
              </w:rPr>
              <w:t>גורם מקצועי</w:t>
            </w:r>
            <w:r w:rsidRPr="008077B8">
              <w:rPr>
                <w:sz w:val="26"/>
                <w:rtl/>
              </w:rPr>
              <w:t xml:space="preserve"> להשתתפות בשידורים</w:t>
            </w:r>
          </w:p>
        </w:tc>
        <w:tc>
          <w:tcPr>
            <w:tcW w:w="624" w:type="dxa"/>
          </w:tcPr>
          <w:p w:rsidR="002522B7" w:rsidRPr="00760802" w:rsidRDefault="002522B7">
            <w:pPr>
              <w:pStyle w:val="TableText"/>
              <w:rPr>
                <w:rFonts w:hint="cs"/>
              </w:rPr>
            </w:pPr>
            <w:r>
              <w:rPr>
                <w:rFonts w:hint="cs"/>
                <w:rtl/>
              </w:rPr>
              <w:t>46א.</w:t>
            </w:r>
          </w:p>
        </w:tc>
        <w:tc>
          <w:tcPr>
            <w:tcW w:w="4649" w:type="dxa"/>
            <w:gridSpan w:val="2"/>
          </w:tcPr>
          <w:p w:rsidR="002522B7" w:rsidRPr="002522B7" w:rsidRDefault="002522B7" w:rsidP="000639EE">
            <w:pPr>
              <w:pStyle w:val="TableBlock"/>
              <w:tabs>
                <w:tab w:val="left" w:pos="624"/>
                <w:tab w:val="left" w:pos="1247"/>
              </w:tabs>
              <w:rPr>
                <w:rFonts w:hint="cs"/>
              </w:rPr>
            </w:pPr>
            <w:r>
              <w:rPr>
                <w:rFonts w:hint="cs"/>
                <w:rtl/>
              </w:rPr>
              <w:t xml:space="preserve">מורשה לשידורים לא ישדר שידורים </w:t>
            </w:r>
            <w:r w:rsidR="00760802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>בהם מ</w:t>
            </w:r>
            <w:r w:rsidR="00760802">
              <w:rPr>
                <w:rFonts w:hint="cs"/>
                <w:rtl/>
              </w:rPr>
              <w:t>שתת</w:t>
            </w:r>
            <w:r w:rsidR="0037597C">
              <w:rPr>
                <w:rFonts w:hint="cs"/>
                <w:rtl/>
              </w:rPr>
              <w:t xml:space="preserve">ף </w:t>
            </w:r>
            <w:r w:rsidR="00760802">
              <w:rPr>
                <w:rFonts w:hint="cs"/>
                <w:rtl/>
              </w:rPr>
              <w:t>ע</w:t>
            </w:r>
            <w:r>
              <w:rPr>
                <w:rFonts w:hint="cs"/>
                <w:rtl/>
              </w:rPr>
              <w:t>לול להיפגע נפשית או פיזית כתוצאה מ</w:t>
            </w:r>
            <w:r w:rsidR="00760802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השתתפות, </w:t>
            </w:r>
            <w:r w:rsidR="00760802">
              <w:rPr>
                <w:rFonts w:hint="cs"/>
                <w:rtl/>
              </w:rPr>
              <w:t xml:space="preserve">אלא אם כן </w:t>
            </w:r>
            <w:r>
              <w:rPr>
                <w:rFonts w:hint="cs"/>
                <w:rtl/>
              </w:rPr>
              <w:t xml:space="preserve">נערכה לכל </w:t>
            </w:r>
            <w:r w:rsidR="00760802">
              <w:rPr>
                <w:rFonts w:hint="cs"/>
                <w:rtl/>
              </w:rPr>
              <w:t>משתתף</w:t>
            </w:r>
            <w:r>
              <w:rPr>
                <w:rFonts w:hint="cs"/>
                <w:rtl/>
              </w:rPr>
              <w:t xml:space="preserve"> בדיקה על ידי גורם מקצועי אשר נתן את אישורו בכתב להשתתפות; בסעיף זה, "גורם מקצועי" – אחד מאלה: </w:t>
            </w:r>
          </w:p>
        </w:tc>
      </w:tr>
      <w:tr w:rsidR="002522B7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522B7" w:rsidRDefault="002522B7">
            <w:pPr>
              <w:pStyle w:val="TableSideHeading"/>
              <w:rPr>
                <w:rFonts w:hint="cs"/>
              </w:rPr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  <w:rPr>
                <w:rFonts w:hint="cs"/>
              </w:rPr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  <w:rPr>
                <w:rFonts w:hint="cs"/>
              </w:rPr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4025" w:type="dxa"/>
          </w:tcPr>
          <w:p w:rsidR="002522B7" w:rsidRPr="00760802" w:rsidRDefault="002522B7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פסיכיאטר;</w:t>
            </w:r>
          </w:p>
        </w:tc>
      </w:tr>
      <w:tr w:rsidR="002522B7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522B7" w:rsidRDefault="002522B7">
            <w:pPr>
              <w:pStyle w:val="TableSideHeading"/>
              <w:rPr>
                <w:rFonts w:hint="cs"/>
              </w:rPr>
            </w:pPr>
          </w:p>
        </w:tc>
        <w:tc>
          <w:tcPr>
            <w:tcW w:w="624" w:type="dxa"/>
          </w:tcPr>
          <w:p w:rsidR="002522B7" w:rsidRDefault="002522B7" w:rsidP="00760802">
            <w:pPr>
              <w:pStyle w:val="TableText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  <w:rPr>
                <w:rFonts w:hint="cs"/>
              </w:rPr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  <w:rPr>
                <w:rFonts w:hint="cs"/>
              </w:rPr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4025" w:type="dxa"/>
          </w:tcPr>
          <w:p w:rsidR="002522B7" w:rsidRDefault="002522B7">
            <w:pPr>
              <w:pStyle w:val="TableBlock"/>
              <w:rPr>
                <w:rFonts w:hint="cs"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פסיכיאטר מומחה לילדים ולנוער;</w:t>
            </w:r>
          </w:p>
        </w:tc>
      </w:tr>
      <w:tr w:rsidR="002522B7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522B7" w:rsidRDefault="002522B7">
            <w:pPr>
              <w:pStyle w:val="TableSideHeading"/>
              <w:rPr>
                <w:rFonts w:hint="cs"/>
              </w:rPr>
            </w:pPr>
          </w:p>
        </w:tc>
        <w:tc>
          <w:tcPr>
            <w:tcW w:w="624" w:type="dxa"/>
          </w:tcPr>
          <w:p w:rsidR="002522B7" w:rsidRDefault="002522B7" w:rsidP="00760802">
            <w:pPr>
              <w:pStyle w:val="TableText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  <w:rPr>
                <w:rFonts w:hint="cs"/>
              </w:rPr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  <w:rPr>
                <w:rFonts w:hint="cs"/>
              </w:rPr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624" w:type="dxa"/>
          </w:tcPr>
          <w:p w:rsidR="002522B7" w:rsidRDefault="002522B7">
            <w:pPr>
              <w:pStyle w:val="TableText"/>
            </w:pPr>
          </w:p>
        </w:tc>
        <w:tc>
          <w:tcPr>
            <w:tcW w:w="4025" w:type="dxa"/>
          </w:tcPr>
          <w:p w:rsidR="002522B7" w:rsidRDefault="002522B7">
            <w:pPr>
              <w:pStyle w:val="TableBlock"/>
              <w:rPr>
                <w:rFonts w:hint="cs"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Fonts w:hint="cs"/>
                <w:rtl/>
              </w:rPr>
              <w:tab/>
            </w:r>
            <w:r w:rsidRPr="002522B7">
              <w:rPr>
                <w:rtl/>
              </w:rPr>
              <w:t>פסיכולוג קליני אשר קיבל הכשרה בתחום בריאות הנפש באבחון ו</w:t>
            </w:r>
            <w:r>
              <w:rPr>
                <w:rFonts w:hint="cs"/>
                <w:rtl/>
              </w:rPr>
              <w:t>ב</w:t>
            </w:r>
            <w:r w:rsidRPr="002522B7">
              <w:rPr>
                <w:rtl/>
              </w:rPr>
              <w:t>טיפול</w:t>
            </w:r>
            <w:r>
              <w:rPr>
                <w:rFonts w:hint="cs"/>
                <w:rtl/>
              </w:rPr>
              <w:t>.</w:t>
            </w:r>
            <w:r w:rsidR="00F76E75">
              <w:rPr>
                <w:rFonts w:hint="cs"/>
                <w:rtl/>
              </w:rPr>
              <w:t>"</w:t>
            </w:r>
          </w:p>
        </w:tc>
      </w:tr>
    </w:tbl>
    <w:p w:rsidR="002D3333" w:rsidRPr="002D3333" w:rsidRDefault="002D3333" w:rsidP="002522B7">
      <w:pPr>
        <w:pStyle w:val="HeadDivreiHesber"/>
        <w:rPr>
          <w:rFonts w:hint="cs"/>
          <w:rtl/>
        </w:rPr>
      </w:pPr>
      <w:r w:rsidRPr="002D3333">
        <w:rPr>
          <w:rtl/>
        </w:rPr>
        <w:t>דברי הסבר</w:t>
      </w:r>
    </w:p>
    <w:p w:rsidR="002D3333" w:rsidRPr="002522B7" w:rsidRDefault="002D3333" w:rsidP="000639EE">
      <w:pPr>
        <w:pStyle w:val="Hesber"/>
        <w:rPr>
          <w:rFonts w:hint="cs"/>
          <w:rtl/>
        </w:rPr>
      </w:pPr>
      <w:r w:rsidRPr="002522B7">
        <w:rPr>
          <w:rtl/>
        </w:rPr>
        <w:t>תכניות הריאליטי הפכו</w:t>
      </w:r>
      <w:r w:rsidR="002522B7">
        <w:rPr>
          <w:rFonts w:hint="cs"/>
          <w:rtl/>
        </w:rPr>
        <w:t xml:space="preserve"> בשנים האחרונות</w:t>
      </w:r>
      <w:r w:rsidRPr="002522B7">
        <w:rPr>
          <w:rtl/>
        </w:rPr>
        <w:t xml:space="preserve"> </w:t>
      </w:r>
      <w:r w:rsidR="002522B7" w:rsidRPr="002522B7">
        <w:rPr>
          <w:rFonts w:hint="cs"/>
          <w:rtl/>
        </w:rPr>
        <w:t>לפופולאריות</w:t>
      </w:r>
      <w:r w:rsidRPr="002522B7">
        <w:rPr>
          <w:rtl/>
        </w:rPr>
        <w:t xml:space="preserve"> עד מאוד. כנגד עיניהם של מפיקי ומשדרי התכניות עומד רצונם העז להעלות את אחוזי הרייטינג ולהגדיל את רווחיהם מהתכנית אשר לעיתים בא על חשבון פגיעה במצבם הנפשי של המשתתפים,</w:t>
      </w:r>
      <w:r w:rsidRPr="002522B7">
        <w:rPr>
          <w:rFonts w:hint="cs"/>
          <w:rtl/>
        </w:rPr>
        <w:t xml:space="preserve"> </w:t>
      </w:r>
      <w:r w:rsidRPr="002522B7">
        <w:rPr>
          <w:rtl/>
        </w:rPr>
        <w:t xml:space="preserve">אשר לא צולחים את החשיפה המוגברת ועוד פחות את הדחתם מהתכנית. </w:t>
      </w:r>
    </w:p>
    <w:p w:rsidR="002522B7" w:rsidRDefault="002D3333" w:rsidP="002522B7">
      <w:pPr>
        <w:pStyle w:val="Hesber"/>
        <w:rPr>
          <w:rFonts w:hint="cs"/>
          <w:rtl/>
        </w:rPr>
      </w:pPr>
      <w:r w:rsidRPr="002522B7">
        <w:rPr>
          <w:rtl/>
        </w:rPr>
        <w:t xml:space="preserve">סגנון </w:t>
      </w:r>
      <w:r w:rsidRPr="002522B7">
        <w:rPr>
          <w:rFonts w:hint="cs"/>
          <w:rtl/>
        </w:rPr>
        <w:t>תכניות</w:t>
      </w:r>
      <w:r w:rsidRPr="002522B7">
        <w:rPr>
          <w:rtl/>
        </w:rPr>
        <w:t xml:space="preserve"> הריאליטי מוביל את המשתתפים</w:t>
      </w:r>
      <w:r w:rsidR="002522B7">
        <w:rPr>
          <w:rFonts w:hint="cs"/>
          <w:rtl/>
        </w:rPr>
        <w:t xml:space="preserve"> בו</w:t>
      </w:r>
      <w:r w:rsidRPr="002522B7">
        <w:rPr>
          <w:rtl/>
        </w:rPr>
        <w:t xml:space="preserve"> לפרובוקציות לא מעטות ומקצין את התנהגותם</w:t>
      </w:r>
      <w:r w:rsidR="002522B7">
        <w:rPr>
          <w:rFonts w:hint="cs"/>
          <w:rtl/>
        </w:rPr>
        <w:t xml:space="preserve">. </w:t>
      </w:r>
      <w:r w:rsidRPr="002522B7">
        <w:rPr>
          <w:rtl/>
        </w:rPr>
        <w:t>דבר שלא פעם פוגע בראיית המצ</w:t>
      </w:r>
      <w:r w:rsidR="00B97F8C">
        <w:rPr>
          <w:rtl/>
        </w:rPr>
        <w:t>יאות של הילדים והנוער הצופים בת</w:t>
      </w:r>
      <w:r w:rsidRPr="002522B7">
        <w:rPr>
          <w:rtl/>
        </w:rPr>
        <w:t>כניות. לתכניות אלה השפעה ניכרת הן על המשתתפים והן על הצופים</w:t>
      </w:r>
      <w:r w:rsidR="002522B7">
        <w:rPr>
          <w:rFonts w:hint="cs"/>
          <w:rtl/>
        </w:rPr>
        <w:t xml:space="preserve"> ובמיוחד על הילדים שבהם</w:t>
      </w:r>
      <w:r w:rsidRPr="002522B7">
        <w:rPr>
          <w:rtl/>
        </w:rPr>
        <w:t xml:space="preserve">. </w:t>
      </w:r>
    </w:p>
    <w:p w:rsidR="002D3333" w:rsidRPr="002522B7" w:rsidRDefault="002D3333" w:rsidP="002522B7">
      <w:pPr>
        <w:pStyle w:val="Hesber"/>
        <w:rPr>
          <w:rFonts w:hint="cs"/>
          <w:rtl/>
        </w:rPr>
      </w:pPr>
      <w:r w:rsidRPr="002522B7">
        <w:rPr>
          <w:rtl/>
        </w:rPr>
        <w:t>מצפ</w:t>
      </w:r>
      <w:r w:rsidR="002522B7">
        <w:rPr>
          <w:rFonts w:hint="cs"/>
          <w:rtl/>
        </w:rPr>
        <w:t>י</w:t>
      </w:r>
      <w:r w:rsidRPr="002522B7">
        <w:rPr>
          <w:rtl/>
        </w:rPr>
        <w:t xml:space="preserve">יה בקטעים של תכניות </w:t>
      </w:r>
      <w:r w:rsidR="002522B7">
        <w:rPr>
          <w:rFonts w:hint="cs"/>
          <w:rtl/>
        </w:rPr>
        <w:t xml:space="preserve">מסוג זה בארצות אחרות, </w:t>
      </w:r>
      <w:r w:rsidRPr="002522B7">
        <w:rPr>
          <w:rtl/>
        </w:rPr>
        <w:t xml:space="preserve">ניתן לראות קטעים הגובלים בפגיעה קשה בבני </w:t>
      </w:r>
      <w:r w:rsidRPr="002522B7">
        <w:rPr>
          <w:rtl/>
        </w:rPr>
        <w:lastRenderedPageBreak/>
        <w:t>אדם, ובהם אלימות פיזית, אונס</w:t>
      </w:r>
      <w:r w:rsidR="002522B7">
        <w:rPr>
          <w:rFonts w:hint="cs"/>
          <w:rtl/>
        </w:rPr>
        <w:t xml:space="preserve"> ו</w:t>
      </w:r>
      <w:r w:rsidRPr="002522B7">
        <w:rPr>
          <w:rtl/>
        </w:rPr>
        <w:t xml:space="preserve">השפלות פיזיות ונפשיות של המשתתפים. </w:t>
      </w:r>
    </w:p>
    <w:p w:rsidR="002D3333" w:rsidRPr="002522B7" w:rsidRDefault="00B97F8C" w:rsidP="000639EE">
      <w:pPr>
        <w:pStyle w:val="Hesber"/>
        <w:rPr>
          <w:rFonts w:hint="cs"/>
          <w:rtl/>
        </w:rPr>
      </w:pPr>
      <w:r>
        <w:rPr>
          <w:rFonts w:hint="cs"/>
          <w:rtl/>
        </w:rPr>
        <w:t>כדי</w:t>
      </w:r>
      <w:r w:rsidR="002D3333" w:rsidRPr="002522B7">
        <w:rPr>
          <w:rtl/>
        </w:rPr>
        <w:t xml:space="preserve"> לשרוד את ההשתתפות בתכניות אלו, ו</w:t>
      </w:r>
      <w:r w:rsidR="002522B7">
        <w:rPr>
          <w:rFonts w:hint="cs"/>
          <w:rtl/>
        </w:rPr>
        <w:t>ה</w:t>
      </w:r>
      <w:r w:rsidR="002D3333" w:rsidRPr="002522B7">
        <w:rPr>
          <w:rtl/>
        </w:rPr>
        <w:t xml:space="preserve">קשיים בהתמודדות גם עם ההצלחה וגם עם </w:t>
      </w:r>
      <w:r w:rsidR="002D3333" w:rsidRPr="002522B7">
        <w:rPr>
          <w:rFonts w:hint="cs"/>
          <w:rtl/>
        </w:rPr>
        <w:t>כישלו</w:t>
      </w:r>
      <w:r w:rsidR="002D3333" w:rsidRPr="002522B7">
        <w:rPr>
          <w:rFonts w:hint="eastAsia"/>
          <w:rtl/>
        </w:rPr>
        <w:t>ן</w:t>
      </w:r>
      <w:r w:rsidR="002D3333" w:rsidRPr="002522B7">
        <w:rPr>
          <w:rtl/>
        </w:rPr>
        <w:t>, המשתתף חייב להיות בעל חוסן נפשי חזק ביותר.</w:t>
      </w:r>
      <w:r w:rsidR="002D3333" w:rsidRPr="002522B7">
        <w:rPr>
          <w:rFonts w:hint="cs"/>
          <w:rtl/>
        </w:rPr>
        <w:t xml:space="preserve"> </w:t>
      </w:r>
      <w:r w:rsidR="002D3333" w:rsidRPr="002522B7">
        <w:rPr>
          <w:rtl/>
        </w:rPr>
        <w:t xml:space="preserve">השתתפותם של אנשים </w:t>
      </w:r>
      <w:r w:rsidR="002522B7">
        <w:rPr>
          <w:rFonts w:hint="cs"/>
          <w:rtl/>
        </w:rPr>
        <w:t>הסובלים</w:t>
      </w:r>
      <w:r w:rsidR="002D3333" w:rsidRPr="002522B7">
        <w:rPr>
          <w:rtl/>
        </w:rPr>
        <w:t xml:space="preserve"> </w:t>
      </w:r>
      <w:r w:rsidR="002522B7">
        <w:rPr>
          <w:rFonts w:hint="cs"/>
          <w:rtl/>
        </w:rPr>
        <w:t>מ</w:t>
      </w:r>
      <w:r w:rsidR="002D3333" w:rsidRPr="002522B7">
        <w:rPr>
          <w:rtl/>
        </w:rPr>
        <w:t xml:space="preserve">בעיות נפשיות ופיזיות עלול להביא להקצנה במצבם, ולהחרפת </w:t>
      </w:r>
      <w:r w:rsidR="002522B7">
        <w:rPr>
          <w:rFonts w:hint="cs"/>
          <w:rtl/>
        </w:rPr>
        <w:t>הבעיה</w:t>
      </w:r>
      <w:r w:rsidR="002D3333" w:rsidRPr="002522B7">
        <w:rPr>
          <w:rtl/>
        </w:rPr>
        <w:t xml:space="preserve"> הרפואית</w:t>
      </w:r>
      <w:r w:rsidR="002522B7">
        <w:rPr>
          <w:rFonts w:hint="cs"/>
          <w:rtl/>
        </w:rPr>
        <w:t xml:space="preserve"> ממנה הם סובלים</w:t>
      </w:r>
      <w:r w:rsidR="002D3333" w:rsidRPr="002522B7">
        <w:rPr>
          <w:rtl/>
        </w:rPr>
        <w:t xml:space="preserve"> בייחוד כאשר מדובר בבעיות נפשיות מורכבות. אין לאפשר תופעה זו מבלי שנבחנה באופן יסודי, מקצועי ורפואי על ידי אנשי מקצוע מתאימים כגון פסיכיאטר ופסיכולוג ונבחנה השפעת השתתפותם על עתידם הרפואי.</w:t>
      </w:r>
      <w:r w:rsidR="002D3333" w:rsidRPr="002522B7">
        <w:rPr>
          <w:rFonts w:hint="cs"/>
          <w:rtl/>
        </w:rPr>
        <w:t xml:space="preserve"> </w:t>
      </w:r>
      <w:r w:rsidR="002D3333" w:rsidRPr="002522B7">
        <w:rPr>
          <w:rtl/>
        </w:rPr>
        <w:t>אי</w:t>
      </w:r>
      <w:r w:rsidR="000639EE">
        <w:rPr>
          <w:rFonts w:hint="cs"/>
          <w:rtl/>
        </w:rPr>
        <w:t>-</w:t>
      </w:r>
      <w:r w:rsidR="002D3333" w:rsidRPr="002522B7">
        <w:rPr>
          <w:rtl/>
        </w:rPr>
        <w:t xml:space="preserve">הקפדה על הוראות אלו עלולה להביא להתגברות בעיות התאבדות בקרב אוכלוסייה זו, או פגיעה קשה בתפקודם החברתי והמשפחתי עד כדי צורך בטיפול רפואי שוטף כדי להתגבר על </w:t>
      </w:r>
      <w:r w:rsidR="002522B7">
        <w:rPr>
          <w:rtl/>
        </w:rPr>
        <w:t>טראומות הנגרמות מהשתתפות בתכני</w:t>
      </w:r>
      <w:r w:rsidR="002522B7">
        <w:rPr>
          <w:rFonts w:hint="cs"/>
          <w:rtl/>
        </w:rPr>
        <w:t>ת</w:t>
      </w:r>
      <w:r w:rsidR="002D3333" w:rsidRPr="002522B7">
        <w:rPr>
          <w:rtl/>
        </w:rPr>
        <w:t>.</w:t>
      </w:r>
      <w:r w:rsidR="002D3333" w:rsidRPr="002522B7">
        <w:rPr>
          <w:rFonts w:hint="cs"/>
          <w:rtl/>
        </w:rPr>
        <w:t xml:space="preserve"> </w:t>
      </w:r>
    </w:p>
    <w:p w:rsidR="002D3333" w:rsidRDefault="002522B7" w:rsidP="000639EE">
      <w:pPr>
        <w:pStyle w:val="Hesber"/>
        <w:rPr>
          <w:rFonts w:hint="cs"/>
          <w:rtl/>
        </w:rPr>
      </w:pPr>
      <w:r>
        <w:rPr>
          <w:rFonts w:hint="cs"/>
          <w:rtl/>
        </w:rPr>
        <w:t>מכיוון ש</w:t>
      </w:r>
      <w:r w:rsidR="002D3333" w:rsidRPr="002522B7">
        <w:rPr>
          <w:rtl/>
        </w:rPr>
        <w:t>בריאותם הנפשית ושלומם של משתתפי תכניות הריאליטי, ו</w:t>
      </w:r>
      <w:r>
        <w:rPr>
          <w:rFonts w:hint="cs"/>
          <w:rtl/>
        </w:rPr>
        <w:t>הרצון למזער את ה</w:t>
      </w:r>
      <w:r>
        <w:rPr>
          <w:rtl/>
        </w:rPr>
        <w:t>השפע</w:t>
      </w:r>
      <w:r>
        <w:rPr>
          <w:rFonts w:hint="cs"/>
          <w:rtl/>
        </w:rPr>
        <w:t>ה</w:t>
      </w:r>
      <w:r w:rsidR="002D3333" w:rsidRPr="002522B7">
        <w:rPr>
          <w:rtl/>
        </w:rPr>
        <w:t xml:space="preserve"> השלילית של תכניות </w:t>
      </w:r>
      <w:r>
        <w:rPr>
          <w:rFonts w:hint="cs"/>
          <w:rtl/>
        </w:rPr>
        <w:t>מסוג זה</w:t>
      </w:r>
      <w:r>
        <w:rPr>
          <w:rtl/>
        </w:rPr>
        <w:t xml:space="preserve"> על הילדים והנוער הצופים בה</w:t>
      </w:r>
      <w:r w:rsidR="000639EE">
        <w:rPr>
          <w:rFonts w:hint="cs"/>
          <w:rtl/>
        </w:rPr>
        <w:t>ן</w:t>
      </w:r>
      <w:r>
        <w:rPr>
          <w:rtl/>
        </w:rPr>
        <w:t>,</w:t>
      </w:r>
      <w:r>
        <w:rPr>
          <w:rFonts w:hint="cs"/>
          <w:rtl/>
        </w:rPr>
        <w:t xml:space="preserve"> ח</w:t>
      </w:r>
      <w:r w:rsidR="002D3333" w:rsidRPr="002522B7">
        <w:rPr>
          <w:rtl/>
        </w:rPr>
        <w:t>שובים יותר מהגדלת אחוזי הרייטינג וגריפת ההון ממכירת הפרסומות בה</w:t>
      </w:r>
      <w:r w:rsidR="000639EE">
        <w:rPr>
          <w:rFonts w:hint="cs"/>
          <w:rtl/>
        </w:rPr>
        <w:t>ן</w:t>
      </w:r>
      <w:r w:rsidR="002D3333" w:rsidRPr="002522B7">
        <w:rPr>
          <w:rtl/>
        </w:rPr>
        <w:t xml:space="preserve">, </w:t>
      </w:r>
      <w:r>
        <w:rPr>
          <w:rFonts w:hint="cs"/>
          <w:rtl/>
        </w:rPr>
        <w:t>אין מנוס מלחייב את הגופ</w:t>
      </w:r>
      <w:r w:rsidR="00B97F8C">
        <w:rPr>
          <w:rFonts w:hint="cs"/>
          <w:rtl/>
        </w:rPr>
        <w:t>ים המשדרים לבדוק כי המשתתפים בת</w:t>
      </w:r>
      <w:r>
        <w:rPr>
          <w:rFonts w:hint="cs"/>
          <w:rtl/>
        </w:rPr>
        <w:t>כניות עברו בדיקה אצל גורם מקצועי אשר יאשר את השתתפותם בתכנית, טרם שידור התכנית.</w:t>
      </w:r>
      <w:r w:rsidR="002D3333" w:rsidRPr="002522B7">
        <w:rPr>
          <w:rFonts w:hint="cs"/>
          <w:rtl/>
        </w:rPr>
        <w:t xml:space="preserve"> </w:t>
      </w:r>
    </w:p>
    <w:p w:rsidR="00B97F8C" w:rsidRDefault="00B97F8C" w:rsidP="000639EE">
      <w:pPr>
        <w:pStyle w:val="Hesber"/>
        <w:rPr>
          <w:rFonts w:hint="cs"/>
          <w:rtl/>
        </w:rPr>
      </w:pPr>
    </w:p>
    <w:p w:rsidR="00B97F8C" w:rsidRDefault="00B97F8C" w:rsidP="000639EE">
      <w:pPr>
        <w:pStyle w:val="Hesber"/>
        <w:rPr>
          <w:rFonts w:hint="cs"/>
          <w:rtl/>
        </w:rPr>
      </w:pPr>
    </w:p>
    <w:p w:rsidR="00B97F8C" w:rsidRDefault="00B97F8C" w:rsidP="000639EE">
      <w:pPr>
        <w:pStyle w:val="Hesber"/>
        <w:rPr>
          <w:rFonts w:hint="cs"/>
          <w:rtl/>
        </w:rPr>
      </w:pPr>
    </w:p>
    <w:p w:rsidR="00B97F8C" w:rsidRDefault="00B97F8C" w:rsidP="000639EE">
      <w:pPr>
        <w:pStyle w:val="Hesber"/>
        <w:rPr>
          <w:rFonts w:hint="cs"/>
          <w:rtl/>
        </w:rPr>
      </w:pPr>
    </w:p>
    <w:p w:rsidR="00B97F8C" w:rsidRDefault="00B97F8C" w:rsidP="000639EE">
      <w:pPr>
        <w:pStyle w:val="Hesber"/>
        <w:rPr>
          <w:rFonts w:hint="cs"/>
          <w:rtl/>
        </w:rPr>
      </w:pPr>
    </w:p>
    <w:p w:rsidR="000639EE" w:rsidRDefault="000639EE" w:rsidP="000639EE">
      <w:pPr>
        <w:pStyle w:val="Hesber"/>
        <w:rPr>
          <w:rFonts w:hint="cs"/>
          <w:rtl/>
        </w:rPr>
      </w:pPr>
    </w:p>
    <w:p w:rsidR="000639EE" w:rsidRDefault="000639EE" w:rsidP="000639EE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---------------------------------</w:t>
      </w:r>
    </w:p>
    <w:p w:rsidR="000639EE" w:rsidRDefault="000639EE" w:rsidP="000639EE">
      <w:pPr>
        <w:spacing w:before="0" w:line="360" w:lineRule="auto"/>
        <w:ind w:left="340" w:firstLine="0"/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הוגשה ליו"ר הכנסת והסגנים</w:t>
      </w:r>
    </w:p>
    <w:p w:rsidR="000639EE" w:rsidRDefault="000639EE" w:rsidP="000639EE">
      <w:pPr>
        <w:spacing w:before="0" w:line="360" w:lineRule="auto"/>
        <w:ind w:left="340" w:firstLine="0"/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0639EE" w:rsidRDefault="000639EE" w:rsidP="000639EE">
      <w:pPr>
        <w:spacing w:before="0" w:line="360" w:lineRule="auto"/>
        <w:ind w:left="340" w:firstLine="0"/>
        <w:rPr>
          <w:rFonts w:hint="cs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ד' באב התשע"ב – 23.7.12</w:t>
      </w:r>
    </w:p>
    <w:p w:rsidR="000639EE" w:rsidRPr="002522B7" w:rsidRDefault="000639EE" w:rsidP="000639EE">
      <w:pPr>
        <w:pStyle w:val="Hesber"/>
        <w:rPr>
          <w:rFonts w:hint="cs"/>
          <w:rtl/>
        </w:rPr>
      </w:pPr>
    </w:p>
    <w:sectPr w:rsidR="000639EE" w:rsidRPr="002522B7" w:rsidSect="001207F8">
      <w:footerReference w:type="even" r:id="rId10"/>
      <w:footerReference w:type="default" r:id="rId11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8D" w:rsidRDefault="00CF098D">
      <w:r>
        <w:separator/>
      </w:r>
    </w:p>
  </w:endnote>
  <w:endnote w:type="continuationSeparator" w:id="0">
    <w:p w:rsidR="00CF098D" w:rsidRDefault="00CF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C2" w:rsidRDefault="00005AC2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05AC2" w:rsidRDefault="00005A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C2" w:rsidRDefault="00005AC2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077522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005AC2" w:rsidRDefault="00005A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8D" w:rsidRDefault="00CF098D">
      <w:r>
        <w:separator/>
      </w:r>
    </w:p>
  </w:footnote>
  <w:footnote w:type="continuationSeparator" w:id="0">
    <w:p w:rsidR="00CF098D" w:rsidRDefault="00CF098D">
      <w:r>
        <w:continuationSeparator/>
      </w:r>
    </w:p>
  </w:footnote>
  <w:footnote w:type="continuationNotice" w:id="1">
    <w:p w:rsidR="00CF098D" w:rsidRDefault="00CF098D">
      <w:pPr>
        <w:rPr>
          <w:rFonts w:hint="cs"/>
        </w:rPr>
      </w:pPr>
    </w:p>
  </w:footnote>
  <w:footnote w:id="2">
    <w:p w:rsidR="00005AC2" w:rsidRDefault="00005AC2" w:rsidP="002D3333">
      <w:pPr>
        <w:pStyle w:val="a4"/>
      </w:pPr>
      <w:r>
        <w:rPr>
          <w:rStyle w:val="a5"/>
        </w:rPr>
        <w:footnoteRef/>
      </w:r>
      <w:r>
        <w:rPr>
          <w:sz w:val="20"/>
          <w:rtl/>
        </w:rPr>
        <w:t xml:space="preserve"> </w:t>
      </w:r>
      <w:r>
        <w:rPr>
          <w:sz w:val="20"/>
          <w:rtl/>
        </w:rPr>
        <w:tab/>
        <w:t>ס"ח התש"ן, עמ' 59.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tmp435473lsCopyOriginal.doc"/>
    <w:docVar w:name="StartMode" w:val="4"/>
  </w:docVars>
  <w:rsids>
    <w:rsidRoot w:val="00EA089D"/>
    <w:rsid w:val="00005AC2"/>
    <w:rsid w:val="00015B27"/>
    <w:rsid w:val="0002377F"/>
    <w:rsid w:val="000639EE"/>
    <w:rsid w:val="00077522"/>
    <w:rsid w:val="000A542E"/>
    <w:rsid w:val="001207F8"/>
    <w:rsid w:val="00121924"/>
    <w:rsid w:val="001279A8"/>
    <w:rsid w:val="00152609"/>
    <w:rsid w:val="0015383F"/>
    <w:rsid w:val="00153E1B"/>
    <w:rsid w:val="001A0623"/>
    <w:rsid w:val="001C23B0"/>
    <w:rsid w:val="00203A7F"/>
    <w:rsid w:val="002200A1"/>
    <w:rsid w:val="002362BF"/>
    <w:rsid w:val="002522B7"/>
    <w:rsid w:val="0025418E"/>
    <w:rsid w:val="00254605"/>
    <w:rsid w:val="00264FF6"/>
    <w:rsid w:val="002728B4"/>
    <w:rsid w:val="00280CD7"/>
    <w:rsid w:val="00292712"/>
    <w:rsid w:val="002D3333"/>
    <w:rsid w:val="002F3F98"/>
    <w:rsid w:val="003113CD"/>
    <w:rsid w:val="003232A2"/>
    <w:rsid w:val="003333AD"/>
    <w:rsid w:val="00356A37"/>
    <w:rsid w:val="003710F6"/>
    <w:rsid w:val="0037597C"/>
    <w:rsid w:val="00386E88"/>
    <w:rsid w:val="003D74A0"/>
    <w:rsid w:val="0047671E"/>
    <w:rsid w:val="00485876"/>
    <w:rsid w:val="004D3876"/>
    <w:rsid w:val="004E4552"/>
    <w:rsid w:val="00553C9D"/>
    <w:rsid w:val="00576A8F"/>
    <w:rsid w:val="005B064E"/>
    <w:rsid w:val="005B48CC"/>
    <w:rsid w:val="005B7F33"/>
    <w:rsid w:val="005D51AE"/>
    <w:rsid w:val="00600478"/>
    <w:rsid w:val="00644940"/>
    <w:rsid w:val="006818A9"/>
    <w:rsid w:val="006C1D0D"/>
    <w:rsid w:val="0070601E"/>
    <w:rsid w:val="00710401"/>
    <w:rsid w:val="00760802"/>
    <w:rsid w:val="00765F66"/>
    <w:rsid w:val="00785987"/>
    <w:rsid w:val="007C45A9"/>
    <w:rsid w:val="007D5A12"/>
    <w:rsid w:val="007E59F9"/>
    <w:rsid w:val="008077B8"/>
    <w:rsid w:val="00810BCD"/>
    <w:rsid w:val="00812C98"/>
    <w:rsid w:val="00814D92"/>
    <w:rsid w:val="00816E31"/>
    <w:rsid w:val="00892135"/>
    <w:rsid w:val="00895449"/>
    <w:rsid w:val="00897879"/>
    <w:rsid w:val="008C2DDC"/>
    <w:rsid w:val="008F0D63"/>
    <w:rsid w:val="008F2C35"/>
    <w:rsid w:val="0091204F"/>
    <w:rsid w:val="00933A24"/>
    <w:rsid w:val="00943386"/>
    <w:rsid w:val="00957589"/>
    <w:rsid w:val="009E5FCA"/>
    <w:rsid w:val="00A26BD6"/>
    <w:rsid w:val="00A60119"/>
    <w:rsid w:val="00A650B4"/>
    <w:rsid w:val="00A6768A"/>
    <w:rsid w:val="00A82CB7"/>
    <w:rsid w:val="00AC36F7"/>
    <w:rsid w:val="00B35784"/>
    <w:rsid w:val="00B97F8C"/>
    <w:rsid w:val="00BC45FB"/>
    <w:rsid w:val="00C078AF"/>
    <w:rsid w:val="00C9176A"/>
    <w:rsid w:val="00CF098D"/>
    <w:rsid w:val="00CF58AE"/>
    <w:rsid w:val="00D20C86"/>
    <w:rsid w:val="00D23334"/>
    <w:rsid w:val="00D867D7"/>
    <w:rsid w:val="00DB7060"/>
    <w:rsid w:val="00DD6C8B"/>
    <w:rsid w:val="00DE3153"/>
    <w:rsid w:val="00E13C27"/>
    <w:rsid w:val="00E33BBD"/>
    <w:rsid w:val="00E45103"/>
    <w:rsid w:val="00E665B9"/>
    <w:rsid w:val="00EA01E6"/>
    <w:rsid w:val="00EA089D"/>
    <w:rsid w:val="00EA758F"/>
    <w:rsid w:val="00ED4A6F"/>
    <w:rsid w:val="00EF3A3A"/>
    <w:rsid w:val="00EF5164"/>
    <w:rsid w:val="00F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B7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semiHidden/>
    <w:rsid w:val="002522B7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522B7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2522B7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2522B7"/>
    <w:rPr>
      <w:sz w:val="36"/>
      <w:szCs w:val="52"/>
    </w:rPr>
  </w:style>
  <w:style w:type="paragraph" w:customStyle="1" w:styleId="Cover3-Haknesset">
    <w:name w:val="Cover 3-Haknesset"/>
    <w:basedOn w:val="Cover1-Reshumot"/>
    <w:rsid w:val="002522B7"/>
    <w:rPr>
      <w:b/>
      <w:bCs/>
      <w:spacing w:val="60"/>
    </w:rPr>
  </w:style>
  <w:style w:type="paragraph" w:customStyle="1" w:styleId="Cover4-Date">
    <w:name w:val="Cover 4-Date"/>
    <w:basedOn w:val="a"/>
    <w:rsid w:val="002522B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2522B7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2522B7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2522B7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2522B7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2522B7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2522B7"/>
  </w:style>
  <w:style w:type="paragraph" w:customStyle="1" w:styleId="TableBlock">
    <w:name w:val="Table Block"/>
    <w:basedOn w:val="TableText"/>
    <w:rsid w:val="002522B7"/>
    <w:pPr>
      <w:ind w:right="0"/>
      <w:jc w:val="both"/>
    </w:pPr>
  </w:style>
  <w:style w:type="paragraph" w:customStyle="1" w:styleId="TableHead">
    <w:name w:val="Table Head"/>
    <w:basedOn w:val="TableText"/>
    <w:rsid w:val="002522B7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2522B7"/>
  </w:style>
  <w:style w:type="paragraph" w:customStyle="1" w:styleId="Hesber">
    <w:name w:val="Hesber"/>
    <w:basedOn w:val="a"/>
    <w:rsid w:val="002522B7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2522B7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semiHidden/>
    <w:rsid w:val="002522B7"/>
    <w:rPr>
      <w:vertAlign w:val="superscript"/>
    </w:rPr>
  </w:style>
  <w:style w:type="paragraph" w:customStyle="1" w:styleId="HesberHeading">
    <w:name w:val="Hesber Heading"/>
    <w:basedOn w:val="Hesber"/>
    <w:rsid w:val="002522B7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2522B7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2522B7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semiHidden/>
    <w:rsid w:val="002522B7"/>
    <w:rPr>
      <w:vertAlign w:val="superscript"/>
    </w:rPr>
  </w:style>
  <w:style w:type="paragraph" w:customStyle="1" w:styleId="TableBlockOutdent">
    <w:name w:val="Table BlockOutdent"/>
    <w:basedOn w:val="TableBlock"/>
    <w:rsid w:val="002522B7"/>
    <w:pPr>
      <w:ind w:left="624" w:hanging="624"/>
    </w:pPr>
  </w:style>
  <w:style w:type="paragraph" w:styleId="a7">
    <w:name w:val="header"/>
    <w:basedOn w:val="a"/>
    <w:rsid w:val="002522B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522B7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2522B7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2522B7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2522B7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nhedrinTempDoc\helens\lsNew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nhedrinLibrary" ma:contentTypeID="0x0101004AEDB822EB0F7C488BBBAE3C0C973DE700B965A852105D78438198CA75A0485B8A" ma:contentTypeVersion="4" ma:contentTypeDescription="" ma:contentTypeScope="" ma:versionID="c38b24e8f7322fb0c0a042d74e58b75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2256bd0c61fc03d0c288ef087d4d879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anhedrinDocumentType"/>
                <xsd:element ref="ns2:SanhedrinItem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anhedrinDocumentType" ma:index="8" ma:displayName="SanhedrinDocumentType" ma:decimals="0" ma:internalName="SanhedrinDocumentType" ma:readOnly="false">
      <xsd:simpleType>
        <xsd:restriction base="dms:Number"/>
      </xsd:simpleType>
    </xsd:element>
    <xsd:element name="SanhedrinItemID" ma:index="9" ma:displayName="SanhedrinItemID" ma:decimals="0" ma:internalName="SanhedrinItemID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nhedrinItemID xmlns="290d5b49-c690-4c6f-bbb9-1e50dab33eee">435473</SanhedrinItemID>
    <SanhedrinDocumentType xmlns="290d5b49-c690-4c6f-bbb9-1e50dab33eee">10</SanhedrinDocumentType>
  </documentManagement>
</p:properties>
</file>

<file path=customXml/itemProps1.xml><?xml version="1.0" encoding="utf-8"?>
<ds:datastoreItem xmlns:ds="http://schemas.openxmlformats.org/officeDocument/2006/customXml" ds:itemID="{17D1FCBB-1A3F-47D1-ADF2-A11A463ABC72}"/>
</file>

<file path=customXml/itemProps2.xml><?xml version="1.0" encoding="utf-8"?>
<ds:datastoreItem xmlns:ds="http://schemas.openxmlformats.org/officeDocument/2006/customXml" ds:itemID="{8E8440AB-5C36-41FF-868E-C7C812B702AE}"/>
</file>

<file path=customXml/itemProps3.xml><?xml version="1.0" encoding="utf-8"?>
<ds:datastoreItem xmlns:ds="http://schemas.openxmlformats.org/officeDocument/2006/customXml" ds:itemID="{F2185C78-599B-494E-AA00-ADEBC27FD0FF}"/>
</file>

<file path=docProps/app.xml><?xml version="1.0" encoding="utf-8"?>
<Properties xmlns="http://schemas.openxmlformats.org/officeDocument/2006/extended-properties" xmlns:vt="http://schemas.openxmlformats.org/officeDocument/2006/docPropsVTypes">
  <Template>lsNew.dot</Template>
  <TotalTime>0</TotalTime>
  <Pages>2</Pages>
  <Words>412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הלן שוורץ</dc:creator>
  <cp:keywords/>
  <dc:description/>
  <cp:lastModifiedBy>ShareDocs3 Administrator</cp:lastModifiedBy>
  <cp:revision>2</cp:revision>
  <cp:lastPrinted>2012-07-17T10:42:00Z</cp:lastPrinted>
  <dcterms:created xsi:type="dcterms:W3CDTF">2015-02-27T15:11:00Z</dcterms:created>
  <dcterms:modified xsi:type="dcterms:W3CDTF">2015-02-27T15:11:00Z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0x0101004AEDB822EB0F7C488BBBAE3C0C973DE700B965A852105D78438198CA75A0485B8A</vt:lpwstr>
  </property>
</Properties>
</file>