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27" w:rsidRPr="00DB7060" w:rsidRDefault="00E13C27" w:rsidP="00E13C27">
      <w:pPr>
        <w:pStyle w:val="HeadHatzaotHok"/>
        <w:rPr>
          <w:rFonts w:hint="cs"/>
          <w:sz w:val="28"/>
          <w:szCs w:val="28"/>
          <w:rtl/>
        </w:rPr>
      </w:pPr>
      <w:bookmarkStart w:id="0" w:name="_GoBack"/>
      <w:bookmarkEnd w:id="0"/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="00296B45" w:rsidRPr="00296B45">
        <w:rPr>
          <w:sz w:val="28"/>
          <w:szCs w:val="28"/>
          <w:rtl/>
        </w:rPr>
        <w:t>השמונה-עשרה</w:t>
      </w:r>
      <w:bookmarkEnd w:id="1"/>
    </w:p>
    <w:p w:rsidR="00E13C27" w:rsidRDefault="00E13C27" w:rsidP="00E13C27">
      <w:pPr>
        <w:rPr>
          <w:rFonts w:cs="David" w:hint="cs"/>
          <w:sz w:val="26"/>
          <w:szCs w:val="26"/>
          <w:rtl/>
        </w:rPr>
      </w:pPr>
    </w:p>
    <w:p w:rsidR="00E13C27" w:rsidRPr="00172320" w:rsidRDefault="00296B45" w:rsidP="0091204F">
      <w:pPr>
        <w:pStyle w:val="David"/>
        <w:ind w:left="2880" w:firstLine="663"/>
        <w:rPr>
          <w:rFonts w:hint="cs"/>
          <w:b/>
          <w:bCs/>
          <w:rtl/>
        </w:rPr>
      </w:pPr>
      <w:bookmarkStart w:id="2" w:name="MKsSingleOrMulti"/>
      <w:r w:rsidRPr="00172320">
        <w:rPr>
          <w:b/>
          <w:bCs/>
          <w:rtl/>
        </w:rPr>
        <w:t>יוזמת:           חברת הכנסת</w:t>
      </w:r>
      <w:bookmarkEnd w:id="2"/>
      <w:r w:rsidR="00B35784" w:rsidRPr="00172320">
        <w:rPr>
          <w:b/>
          <w:bCs/>
        </w:rPr>
        <w:tab/>
      </w:r>
      <w:bookmarkStart w:id="3" w:name="MKs"/>
      <w:r w:rsidRPr="00172320">
        <w:rPr>
          <w:b/>
          <w:bCs/>
          <w:rtl/>
        </w:rPr>
        <w:t>נינו אבסדזה</w:t>
      </w:r>
      <w:bookmarkEnd w:id="3"/>
    </w:p>
    <w:p w:rsidR="00E13C27" w:rsidRPr="00172320" w:rsidRDefault="00897879" w:rsidP="00B35784">
      <w:pPr>
        <w:ind w:firstLine="3543"/>
        <w:rPr>
          <w:rFonts w:cs="David" w:hint="cs"/>
          <w:b/>
          <w:bCs/>
          <w:sz w:val="26"/>
          <w:szCs w:val="26"/>
          <w:rtl/>
        </w:rPr>
      </w:pPr>
      <w:r w:rsidRPr="00172320">
        <w:rPr>
          <w:rFonts w:hint="cs"/>
          <w:b/>
          <w:bCs/>
          <w:noProof/>
          <w:rtl/>
          <w:lang w:eastAsia="en-US"/>
        </w:rPr>
        <w:pict>
          <v:polyline id="_x0000_s1032" style="position:absolute;left:0;text-align:left;z-index:251658240" points=".1pt,5.1pt,304.8pt,3.85pt" coordsize="6094,25" filled="f" stroked="f">
            <v:path arrowok="t"/>
            <w10:wrap anchorx="page"/>
          </v:polyline>
        </w:pict>
      </w:r>
      <w:bookmarkStart w:id="4" w:name="MKsSingleOrMulti1"/>
      <w:bookmarkEnd w:id="4"/>
      <w:r w:rsidR="002200A1" w:rsidRPr="00172320">
        <w:rPr>
          <w:rFonts w:cs="David" w:hint="cs"/>
          <w:b/>
          <w:bCs/>
          <w:sz w:val="26"/>
          <w:szCs w:val="26"/>
          <w:rtl/>
        </w:rPr>
        <w:tab/>
      </w:r>
      <w:bookmarkStart w:id="5" w:name="MKs1"/>
      <w:bookmarkEnd w:id="5"/>
    </w:p>
    <w:p w:rsidR="00E13C27" w:rsidRDefault="00E13C27" w:rsidP="00292712">
      <w:pPr>
        <w:ind w:left="2919" w:firstLine="720"/>
        <w:rPr>
          <w:rFonts w:cs="David" w:hint="cs"/>
          <w:sz w:val="26"/>
          <w:szCs w:val="26"/>
          <w:rtl/>
        </w:rPr>
      </w:pPr>
      <w:r>
        <w:rPr>
          <w:rFonts w:cs="David" w:hint="cs"/>
          <w:noProof/>
          <w:sz w:val="26"/>
          <w:szCs w:val="26"/>
          <w:rtl/>
          <w:lang w:eastAsia="en-US"/>
        </w:rPr>
        <w:pict>
          <v:polyline id="_x0000_s1031" style="position:absolute;left:0;text-align:left;z-index:251657216" points=".1pt,5.1pt,305.55pt,3.75pt" coordsize="6109,27" filled="f">
            <v:path arrowok="t"/>
            <w10:wrap anchorx="page"/>
          </v:polyline>
        </w:pict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bookmarkStart w:id="6" w:name="LawNum"/>
      <w:r w:rsidR="00DA6CCB" w:rsidRPr="00DA6CCB">
        <w:rPr>
          <w:rFonts w:cs="David"/>
          <w:sz w:val="26"/>
          <w:szCs w:val="26"/>
          <w:rtl/>
        </w:rPr>
        <w:t>פ/4252/18</w:t>
      </w:r>
      <w:bookmarkEnd w:id="6"/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</w:p>
    <w:p w:rsidR="00574EEB" w:rsidRDefault="00574EEB" w:rsidP="00520662">
      <w:pPr>
        <w:pStyle w:val="HeadHatzaotHok"/>
        <w:tabs>
          <w:tab w:val="left" w:pos="4071"/>
          <w:tab w:val="center" w:pos="4819"/>
        </w:tabs>
        <w:spacing w:before="0"/>
        <w:rPr>
          <w:rFonts w:hint="cs"/>
          <w:sz w:val="26"/>
          <w:rtl/>
        </w:rPr>
      </w:pPr>
      <w:bookmarkStart w:id="7" w:name="Title"/>
    </w:p>
    <w:p w:rsidR="004D0B2B" w:rsidRDefault="0081266A" w:rsidP="00574EEB">
      <w:pPr>
        <w:pStyle w:val="HeadHatzaotHok"/>
        <w:tabs>
          <w:tab w:val="left" w:pos="4071"/>
          <w:tab w:val="center" w:pos="4819"/>
        </w:tabs>
        <w:spacing w:before="0"/>
        <w:rPr>
          <w:rFonts w:hint="cs"/>
          <w:sz w:val="26"/>
          <w:rtl/>
        </w:rPr>
      </w:pPr>
      <w:r w:rsidRPr="0081266A">
        <w:rPr>
          <w:sz w:val="26"/>
          <w:rtl/>
        </w:rPr>
        <w:t xml:space="preserve">הצעת חוק צער בעלי חיים (תיקון </w:t>
      </w:r>
      <w:r w:rsidR="00574EEB">
        <w:rPr>
          <w:rFonts w:hint="cs"/>
          <w:sz w:val="26"/>
          <w:rtl/>
        </w:rPr>
        <w:t xml:space="preserve">– </w:t>
      </w:r>
      <w:r w:rsidRPr="0081266A">
        <w:rPr>
          <w:sz w:val="26"/>
          <w:rtl/>
        </w:rPr>
        <w:t xml:space="preserve"> דיווח על המתת בעלי חיים), התשע"ב</w:t>
      </w:r>
      <w:r w:rsidR="00574EEB">
        <w:rPr>
          <w:rFonts w:hint="cs"/>
          <w:sz w:val="26"/>
          <w:rtl/>
        </w:rPr>
        <w:t>–</w:t>
      </w:r>
      <w:r w:rsidRPr="0081266A">
        <w:rPr>
          <w:sz w:val="26"/>
          <w:rtl/>
        </w:rPr>
        <w:t>2012</w:t>
      </w:r>
      <w:bookmarkEnd w:id="7"/>
    </w:p>
    <w:p w:rsidR="00574EEB" w:rsidRDefault="00574EEB" w:rsidP="00520662">
      <w:pPr>
        <w:pStyle w:val="HeadHatzaotHok"/>
        <w:tabs>
          <w:tab w:val="left" w:pos="4071"/>
          <w:tab w:val="center" w:pos="4819"/>
        </w:tabs>
        <w:spacing w:before="0"/>
        <w:rPr>
          <w:rFonts w:hint="cs"/>
          <w:sz w:val="26"/>
          <w:rtl/>
        </w:rPr>
      </w:pPr>
    </w:p>
    <w:tbl>
      <w:tblPr>
        <w:bidiVisual/>
        <w:tblW w:w="961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622"/>
        <w:gridCol w:w="622"/>
        <w:gridCol w:w="623"/>
        <w:gridCol w:w="623"/>
        <w:gridCol w:w="623"/>
        <w:gridCol w:w="622"/>
        <w:gridCol w:w="3956"/>
        <w:gridCol w:w="38"/>
        <w:gridCol w:w="12"/>
        <w:gridCol w:w="11"/>
      </w:tblGrid>
      <w:tr w:rsidR="004D0B2B" w:rsidTr="00C42178">
        <w:trPr>
          <w:gridAfter w:val="3"/>
          <w:wAfter w:w="61" w:type="dxa"/>
          <w:cantSplit/>
        </w:trPr>
        <w:tc>
          <w:tcPr>
            <w:tcW w:w="1866" w:type="dxa"/>
          </w:tcPr>
          <w:p w:rsidR="004D0B2B" w:rsidRDefault="004D0B2B" w:rsidP="004D0B2B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הוספת סעיף 13א</w:t>
            </w:r>
          </w:p>
        </w:tc>
        <w:tc>
          <w:tcPr>
            <w:tcW w:w="622" w:type="dxa"/>
          </w:tcPr>
          <w:p w:rsidR="004D0B2B" w:rsidRDefault="004D0B2B" w:rsidP="004D0B2B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069" w:type="dxa"/>
            <w:gridSpan w:val="6"/>
          </w:tcPr>
          <w:p w:rsidR="004D0B2B" w:rsidRDefault="004D0B2B" w:rsidP="004D0B2B">
            <w:pPr>
              <w:pStyle w:val="TableBlock"/>
            </w:pPr>
            <w:r>
              <w:rPr>
                <w:rFonts w:hint="cs"/>
                <w:rtl/>
              </w:rPr>
              <w:t>בחוק צער בעלי חיים (הגנה על בעלי חיים), התשנ"ד–1994</w:t>
            </w:r>
            <w:r>
              <w:rPr>
                <w:rStyle w:val="a6"/>
                <w:rtl/>
              </w:rPr>
              <w:footnoteReference w:id="2"/>
            </w:r>
            <w:r>
              <w:rPr>
                <w:rFonts w:hint="cs"/>
                <w:rtl/>
              </w:rPr>
              <w:t>, אחרי סעיף 13 יבוא –</w:t>
            </w:r>
          </w:p>
        </w:tc>
      </w:tr>
      <w:tr w:rsidR="00C42178" w:rsidTr="00C42178">
        <w:tblPrEx>
          <w:tblLook w:val="01E0" w:firstRow="1" w:lastRow="1" w:firstColumn="1" w:lastColumn="1" w:noHBand="0" w:noVBand="0"/>
        </w:tblPrEx>
        <w:trPr>
          <w:gridAfter w:val="1"/>
          <w:wAfter w:w="11" w:type="dxa"/>
          <w:cantSplit/>
          <w:trHeight w:val="60"/>
        </w:trPr>
        <w:tc>
          <w:tcPr>
            <w:tcW w:w="1866" w:type="dxa"/>
          </w:tcPr>
          <w:p w:rsidR="00C42178" w:rsidRDefault="00C42178">
            <w:pPr>
              <w:pStyle w:val="TableSideHeading"/>
              <w:keepLines w:val="0"/>
            </w:pPr>
          </w:p>
        </w:tc>
        <w:tc>
          <w:tcPr>
            <w:tcW w:w="622" w:type="dxa"/>
          </w:tcPr>
          <w:p w:rsidR="00C42178" w:rsidRDefault="00C42178">
            <w:pPr>
              <w:pStyle w:val="TableText"/>
              <w:keepLines w:val="0"/>
            </w:pPr>
          </w:p>
        </w:tc>
        <w:tc>
          <w:tcPr>
            <w:tcW w:w="1868" w:type="dxa"/>
            <w:gridSpan w:val="3"/>
          </w:tcPr>
          <w:p w:rsidR="00C42178" w:rsidRDefault="00C42178">
            <w:pPr>
              <w:pStyle w:val="TableInnerSideHeading"/>
            </w:pPr>
            <w:r>
              <w:rPr>
                <w:rFonts w:hint="cs"/>
                <w:rtl/>
              </w:rPr>
              <w:t>"חובת דיווח על המתה</w:t>
            </w:r>
          </w:p>
        </w:tc>
        <w:tc>
          <w:tcPr>
            <w:tcW w:w="623" w:type="dxa"/>
          </w:tcPr>
          <w:p w:rsidR="00C42178" w:rsidRDefault="00C42178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>13א</w:t>
            </w:r>
            <w:r w:rsidR="00574EEB">
              <w:rPr>
                <w:rFonts w:hint="cs"/>
                <w:rtl/>
              </w:rPr>
              <w:t>.</w:t>
            </w:r>
          </w:p>
        </w:tc>
        <w:tc>
          <w:tcPr>
            <w:tcW w:w="4628" w:type="dxa"/>
            <w:gridSpan w:val="4"/>
          </w:tcPr>
          <w:p w:rsidR="00C42178" w:rsidRDefault="00C42178" w:rsidP="00C42178">
            <w:pPr>
              <w:pStyle w:val="TableBlock"/>
            </w:pPr>
            <w:r w:rsidRPr="00C42178">
              <w:rPr>
                <w:rFonts w:hint="cs"/>
                <w:rtl/>
              </w:rPr>
              <w:t>(א</w:t>
            </w:r>
            <w:r>
              <w:rPr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רופא וטרינר עירוני –</w:t>
            </w:r>
          </w:p>
        </w:tc>
      </w:tr>
      <w:tr w:rsidR="004D0B2B" w:rsidTr="00C42178">
        <w:tblPrEx>
          <w:tblLook w:val="01E0" w:firstRow="1" w:lastRow="1" w:firstColumn="1" w:lastColumn="1" w:noHBand="0" w:noVBand="0"/>
        </w:tblPrEx>
        <w:trPr>
          <w:gridAfter w:val="2"/>
          <w:wAfter w:w="23" w:type="dxa"/>
          <w:cantSplit/>
          <w:trHeight w:val="60"/>
        </w:trPr>
        <w:tc>
          <w:tcPr>
            <w:tcW w:w="1866" w:type="dxa"/>
          </w:tcPr>
          <w:p w:rsidR="004D0B2B" w:rsidRDefault="004D0B2B" w:rsidP="004D0B2B">
            <w:pPr>
              <w:pStyle w:val="TableSideHeading"/>
              <w:rPr>
                <w:rFonts w:hint="cs"/>
              </w:rPr>
            </w:pPr>
          </w:p>
        </w:tc>
        <w:tc>
          <w:tcPr>
            <w:tcW w:w="622" w:type="dxa"/>
          </w:tcPr>
          <w:p w:rsidR="004D0B2B" w:rsidRDefault="004D0B2B" w:rsidP="004D0B2B">
            <w:pPr>
              <w:pStyle w:val="TableText"/>
            </w:pPr>
          </w:p>
        </w:tc>
        <w:tc>
          <w:tcPr>
            <w:tcW w:w="622" w:type="dxa"/>
          </w:tcPr>
          <w:p w:rsidR="004D0B2B" w:rsidRDefault="004D0B2B" w:rsidP="004D0B2B">
            <w:pPr>
              <w:pStyle w:val="TableText"/>
              <w:rPr>
                <w:rFonts w:hint="cs"/>
              </w:rPr>
            </w:pPr>
          </w:p>
        </w:tc>
        <w:tc>
          <w:tcPr>
            <w:tcW w:w="623" w:type="dxa"/>
          </w:tcPr>
          <w:p w:rsidR="004D0B2B" w:rsidRDefault="004D0B2B" w:rsidP="004D0B2B">
            <w:pPr>
              <w:pStyle w:val="TableText"/>
              <w:rPr>
                <w:rFonts w:hint="cs"/>
              </w:rPr>
            </w:pPr>
          </w:p>
        </w:tc>
        <w:tc>
          <w:tcPr>
            <w:tcW w:w="623" w:type="dxa"/>
          </w:tcPr>
          <w:p w:rsidR="004D0B2B" w:rsidRDefault="004D0B2B" w:rsidP="004D0B2B">
            <w:pPr>
              <w:pStyle w:val="TableText"/>
            </w:pPr>
          </w:p>
        </w:tc>
        <w:tc>
          <w:tcPr>
            <w:tcW w:w="623" w:type="dxa"/>
          </w:tcPr>
          <w:p w:rsidR="004D0B2B" w:rsidRDefault="004D0B2B" w:rsidP="004D0B2B">
            <w:pPr>
              <w:pStyle w:val="TableText"/>
            </w:pPr>
          </w:p>
        </w:tc>
        <w:tc>
          <w:tcPr>
            <w:tcW w:w="622" w:type="dxa"/>
          </w:tcPr>
          <w:p w:rsidR="004D0B2B" w:rsidRDefault="004D0B2B" w:rsidP="004D0B2B">
            <w:pPr>
              <w:pStyle w:val="TableText"/>
              <w:rPr>
                <w:rFonts w:hint="cs"/>
              </w:rPr>
            </w:pPr>
          </w:p>
        </w:tc>
        <w:tc>
          <w:tcPr>
            <w:tcW w:w="3994" w:type="dxa"/>
            <w:gridSpan w:val="2"/>
          </w:tcPr>
          <w:p w:rsidR="004D0B2B" w:rsidRDefault="00410313" w:rsidP="00410313">
            <w:pPr>
              <w:pStyle w:val="TableBlock"/>
              <w:textAlignment w:val="auto"/>
            </w:pPr>
            <w:r w:rsidRPr="00410313">
              <w:rPr>
                <w:rFonts w:hint="cs"/>
                <w:rtl/>
              </w:rPr>
              <w:t>(1</w:t>
            </w:r>
            <w:r>
              <w:rPr>
                <w:rFonts w:hint="cs"/>
                <w:rtl/>
              </w:rPr>
              <w:t>)</w:t>
            </w:r>
            <w:r>
              <w:rPr>
                <w:rFonts w:hint="cs"/>
                <w:rtl/>
              </w:rPr>
              <w:tab/>
            </w:r>
            <w:r w:rsidR="004D0B2B">
              <w:rPr>
                <w:rFonts w:hint="cs"/>
                <w:rtl/>
              </w:rPr>
              <w:t>ינהל רישום של המתות בעלי החיים שהוחזקו במאורת הרשות, וישמור כל רישום כאמור למשך שנתיים מיום עריכתו;</w:t>
            </w:r>
          </w:p>
        </w:tc>
      </w:tr>
      <w:tr w:rsidR="004D0B2B" w:rsidTr="00C42178">
        <w:tblPrEx>
          <w:tblLook w:val="01E0" w:firstRow="1" w:lastRow="1" w:firstColumn="1" w:lastColumn="1" w:noHBand="0" w:noVBand="0"/>
        </w:tblPrEx>
        <w:trPr>
          <w:gridAfter w:val="2"/>
          <w:wAfter w:w="23" w:type="dxa"/>
          <w:cantSplit/>
          <w:trHeight w:val="60"/>
        </w:trPr>
        <w:tc>
          <w:tcPr>
            <w:tcW w:w="1866" w:type="dxa"/>
          </w:tcPr>
          <w:p w:rsidR="004D0B2B" w:rsidRDefault="004D0B2B" w:rsidP="004D0B2B">
            <w:pPr>
              <w:pStyle w:val="TableSideHeading"/>
              <w:rPr>
                <w:rFonts w:hint="cs"/>
              </w:rPr>
            </w:pPr>
          </w:p>
        </w:tc>
        <w:tc>
          <w:tcPr>
            <w:tcW w:w="622" w:type="dxa"/>
          </w:tcPr>
          <w:p w:rsidR="004D0B2B" w:rsidRDefault="004D0B2B" w:rsidP="004D0B2B">
            <w:pPr>
              <w:pStyle w:val="TableText"/>
            </w:pPr>
          </w:p>
        </w:tc>
        <w:tc>
          <w:tcPr>
            <w:tcW w:w="622" w:type="dxa"/>
          </w:tcPr>
          <w:p w:rsidR="004D0B2B" w:rsidRDefault="004D0B2B" w:rsidP="004D0B2B">
            <w:pPr>
              <w:pStyle w:val="TableText"/>
              <w:rPr>
                <w:rFonts w:hint="cs"/>
              </w:rPr>
            </w:pPr>
          </w:p>
        </w:tc>
        <w:tc>
          <w:tcPr>
            <w:tcW w:w="623" w:type="dxa"/>
          </w:tcPr>
          <w:p w:rsidR="004D0B2B" w:rsidRDefault="004D0B2B" w:rsidP="004D0B2B">
            <w:pPr>
              <w:pStyle w:val="TableText"/>
              <w:rPr>
                <w:rFonts w:hint="cs"/>
              </w:rPr>
            </w:pPr>
          </w:p>
        </w:tc>
        <w:tc>
          <w:tcPr>
            <w:tcW w:w="623" w:type="dxa"/>
          </w:tcPr>
          <w:p w:rsidR="004D0B2B" w:rsidRDefault="004D0B2B" w:rsidP="004D0B2B">
            <w:pPr>
              <w:pStyle w:val="TableText"/>
            </w:pPr>
          </w:p>
        </w:tc>
        <w:tc>
          <w:tcPr>
            <w:tcW w:w="623" w:type="dxa"/>
          </w:tcPr>
          <w:p w:rsidR="004D0B2B" w:rsidRDefault="004D0B2B" w:rsidP="004D0B2B">
            <w:pPr>
              <w:pStyle w:val="TableText"/>
            </w:pPr>
          </w:p>
        </w:tc>
        <w:tc>
          <w:tcPr>
            <w:tcW w:w="622" w:type="dxa"/>
          </w:tcPr>
          <w:p w:rsidR="004D0B2B" w:rsidRDefault="004D0B2B" w:rsidP="004D0B2B">
            <w:pPr>
              <w:pStyle w:val="TableText"/>
            </w:pPr>
          </w:p>
        </w:tc>
        <w:tc>
          <w:tcPr>
            <w:tcW w:w="3994" w:type="dxa"/>
            <w:gridSpan w:val="2"/>
          </w:tcPr>
          <w:p w:rsidR="004D0B2B" w:rsidRDefault="00410313" w:rsidP="006B1611">
            <w:pPr>
              <w:pStyle w:val="TableBlock"/>
              <w:textAlignment w:val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 w:rsidR="004D0B2B">
              <w:rPr>
                <w:rFonts w:hint="cs"/>
                <w:rtl/>
              </w:rPr>
              <w:t>יעביר למנהל</w:t>
            </w:r>
            <w:r w:rsidR="00520662">
              <w:rPr>
                <w:rFonts w:hint="cs"/>
                <w:rtl/>
              </w:rPr>
              <w:t xml:space="preserve"> דיווח, מ</w:t>
            </w:r>
            <w:r w:rsidR="006B1611">
              <w:rPr>
                <w:rFonts w:hint="cs"/>
                <w:rtl/>
              </w:rPr>
              <w:t>די שנה,</w:t>
            </w:r>
            <w:r w:rsidR="0047305B">
              <w:rPr>
                <w:rFonts w:hint="cs"/>
                <w:rtl/>
              </w:rPr>
              <w:t xml:space="preserve"> לא יאוחר מ</w:t>
            </w:r>
            <w:r w:rsidR="006B1611">
              <w:rPr>
                <w:rFonts w:hint="cs"/>
                <w:rtl/>
              </w:rPr>
              <w:t>-</w:t>
            </w:r>
            <w:r w:rsidR="0047305B">
              <w:rPr>
                <w:rFonts w:hint="cs"/>
                <w:rtl/>
              </w:rPr>
              <w:t>31 בדצמבר</w:t>
            </w:r>
            <w:r w:rsidR="006B1611">
              <w:rPr>
                <w:rFonts w:hint="cs"/>
                <w:rtl/>
              </w:rPr>
              <w:t>,</w:t>
            </w:r>
            <w:r w:rsidR="0047305B">
              <w:rPr>
                <w:rFonts w:hint="cs"/>
                <w:rtl/>
              </w:rPr>
              <w:t xml:space="preserve"> </w:t>
            </w:r>
            <w:r w:rsidR="004D0B2B">
              <w:rPr>
                <w:rFonts w:hint="cs"/>
                <w:rtl/>
              </w:rPr>
              <w:t>על בעלי החיים שהומתו במאורת הרשות בתקופה שקדמה לדיווח.</w:t>
            </w:r>
          </w:p>
        </w:tc>
      </w:tr>
      <w:tr w:rsidR="00C42178" w:rsidTr="00C42178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6" w:type="dxa"/>
          </w:tcPr>
          <w:p w:rsidR="00C42178" w:rsidRDefault="00C42178">
            <w:pPr>
              <w:pStyle w:val="TableSideHeading"/>
              <w:rPr>
                <w:rFonts w:hint="cs"/>
              </w:rPr>
            </w:pPr>
          </w:p>
        </w:tc>
        <w:tc>
          <w:tcPr>
            <w:tcW w:w="622" w:type="dxa"/>
          </w:tcPr>
          <w:p w:rsidR="00C42178" w:rsidRDefault="00C42178">
            <w:pPr>
              <w:pStyle w:val="TableText"/>
            </w:pPr>
          </w:p>
        </w:tc>
        <w:tc>
          <w:tcPr>
            <w:tcW w:w="622" w:type="dxa"/>
          </w:tcPr>
          <w:p w:rsidR="00C42178" w:rsidRDefault="00C42178">
            <w:pPr>
              <w:pStyle w:val="TableText"/>
              <w:rPr>
                <w:rFonts w:hint="cs"/>
              </w:rPr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4639" w:type="dxa"/>
            <w:gridSpan w:val="5"/>
          </w:tcPr>
          <w:p w:rsidR="00C42178" w:rsidRDefault="00C42178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דיווחי הרופאים הווטרינרים העירוניים לפי סעיף זה יהיו פתוחים לעיון הציבור באתר האינטרנט של משרד החקלאות ופיתוח הכפר.</w:t>
            </w:r>
          </w:p>
        </w:tc>
      </w:tr>
      <w:tr w:rsidR="00C42178" w:rsidTr="00C42178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6" w:type="dxa"/>
          </w:tcPr>
          <w:p w:rsidR="00C42178" w:rsidRDefault="00C42178">
            <w:pPr>
              <w:pStyle w:val="TableSideHeading"/>
              <w:rPr>
                <w:rFonts w:hint="cs"/>
              </w:rPr>
            </w:pPr>
          </w:p>
        </w:tc>
        <w:tc>
          <w:tcPr>
            <w:tcW w:w="622" w:type="dxa"/>
          </w:tcPr>
          <w:p w:rsidR="00C42178" w:rsidRDefault="00C42178" w:rsidP="00C42178">
            <w:pPr>
              <w:pStyle w:val="TableText"/>
            </w:pPr>
          </w:p>
        </w:tc>
        <w:tc>
          <w:tcPr>
            <w:tcW w:w="622" w:type="dxa"/>
          </w:tcPr>
          <w:p w:rsidR="00C42178" w:rsidRDefault="00C42178">
            <w:pPr>
              <w:pStyle w:val="TableText"/>
              <w:rPr>
                <w:rFonts w:hint="cs"/>
              </w:rPr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4639" w:type="dxa"/>
            <w:gridSpan w:val="5"/>
          </w:tcPr>
          <w:p w:rsidR="00C42178" w:rsidRDefault="00574EEB">
            <w:pPr>
              <w:pStyle w:val="TableBlock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="00C42178">
              <w:rPr>
                <w:rFonts w:hint="cs"/>
                <w:rtl/>
              </w:rPr>
              <w:t>בסעיף זה –</w:t>
            </w:r>
          </w:p>
        </w:tc>
      </w:tr>
      <w:tr w:rsidR="00C42178" w:rsidTr="00C42178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6" w:type="dxa"/>
          </w:tcPr>
          <w:p w:rsidR="00C42178" w:rsidRDefault="00C42178">
            <w:pPr>
              <w:pStyle w:val="TableSideHeading"/>
              <w:rPr>
                <w:rFonts w:hint="cs"/>
              </w:rPr>
            </w:pPr>
          </w:p>
        </w:tc>
        <w:tc>
          <w:tcPr>
            <w:tcW w:w="622" w:type="dxa"/>
          </w:tcPr>
          <w:p w:rsidR="00C42178" w:rsidRDefault="00C42178" w:rsidP="00C42178">
            <w:pPr>
              <w:pStyle w:val="TableText"/>
            </w:pPr>
          </w:p>
        </w:tc>
        <w:tc>
          <w:tcPr>
            <w:tcW w:w="622" w:type="dxa"/>
          </w:tcPr>
          <w:p w:rsidR="00C42178" w:rsidRDefault="00C42178">
            <w:pPr>
              <w:pStyle w:val="TableText"/>
              <w:rPr>
                <w:rFonts w:hint="cs"/>
              </w:rPr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4639" w:type="dxa"/>
            <w:gridSpan w:val="5"/>
          </w:tcPr>
          <w:p w:rsidR="00C42178" w:rsidRPr="00C42178" w:rsidRDefault="00C42178" w:rsidP="00C42178">
            <w:pPr>
              <w:pStyle w:val="TableBlockOutdent"/>
              <w:tabs>
                <w:tab w:val="left" w:pos="624"/>
                <w:tab w:val="left" w:pos="1247"/>
              </w:tabs>
              <w:rPr>
                <w:rFonts w:hint="cs"/>
                <w:rtl/>
              </w:rPr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מאורת הרשות" – כהגדרתה בחוק להסדרת הפיקוח על כלבים, התשס"ג–2002</w:t>
            </w:r>
            <w:r>
              <w:rPr>
                <w:rStyle w:val="a6"/>
                <w:rtl/>
              </w:rPr>
              <w:footnoteReference w:id="3"/>
            </w:r>
            <w:r>
              <w:rPr>
                <w:rFonts w:hint="cs"/>
                <w:rtl/>
              </w:rPr>
              <w:t>;</w:t>
            </w:r>
          </w:p>
        </w:tc>
      </w:tr>
      <w:tr w:rsidR="00C42178" w:rsidTr="00C42178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6" w:type="dxa"/>
          </w:tcPr>
          <w:p w:rsidR="00C42178" w:rsidRDefault="00C42178">
            <w:pPr>
              <w:pStyle w:val="TableSideHeading"/>
              <w:rPr>
                <w:rFonts w:hint="cs"/>
              </w:rPr>
            </w:pPr>
          </w:p>
        </w:tc>
        <w:tc>
          <w:tcPr>
            <w:tcW w:w="622" w:type="dxa"/>
          </w:tcPr>
          <w:p w:rsidR="00C42178" w:rsidRDefault="00C42178" w:rsidP="00C42178">
            <w:pPr>
              <w:pStyle w:val="TableText"/>
            </w:pPr>
          </w:p>
        </w:tc>
        <w:tc>
          <w:tcPr>
            <w:tcW w:w="622" w:type="dxa"/>
          </w:tcPr>
          <w:p w:rsidR="00C42178" w:rsidRDefault="00C42178">
            <w:pPr>
              <w:pStyle w:val="TableText"/>
              <w:rPr>
                <w:rFonts w:hint="cs"/>
              </w:rPr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623" w:type="dxa"/>
          </w:tcPr>
          <w:p w:rsidR="00C42178" w:rsidRDefault="00C42178">
            <w:pPr>
              <w:pStyle w:val="TableText"/>
            </w:pPr>
          </w:p>
        </w:tc>
        <w:tc>
          <w:tcPr>
            <w:tcW w:w="4639" w:type="dxa"/>
            <w:gridSpan w:val="5"/>
          </w:tcPr>
          <w:p w:rsidR="00C42178" w:rsidRPr="00C42178" w:rsidRDefault="00C42178" w:rsidP="00C42178">
            <w:pPr>
              <w:pStyle w:val="TableBlockOutdent"/>
              <w:tabs>
                <w:tab w:val="left" w:pos="624"/>
                <w:tab w:val="left" w:pos="1247"/>
              </w:tabs>
              <w:rPr>
                <w:rtl/>
              </w:rPr>
            </w:pPr>
            <w:r>
              <w:rPr>
                <w:rtl/>
              </w:rPr>
              <w:t>"</w:t>
            </w:r>
            <w:r w:rsidR="00F67E93">
              <w:rPr>
                <w:rFonts w:hint="cs"/>
                <w:rtl/>
              </w:rPr>
              <w:t>רופא וטרינר עירוני" –</w:t>
            </w:r>
            <w:r>
              <w:rPr>
                <w:rFonts w:hint="cs"/>
                <w:rtl/>
              </w:rPr>
              <w:t xml:space="preserve"> כהגדרתו בפקודת הכלבת, 1934</w:t>
            </w:r>
            <w:r>
              <w:rPr>
                <w:rStyle w:val="a6"/>
                <w:rtl/>
              </w:rPr>
              <w:footnoteReference w:id="4"/>
            </w:r>
            <w:r w:rsidR="00410313">
              <w:rPr>
                <w:rFonts w:hint="cs"/>
                <w:rtl/>
              </w:rPr>
              <w:t>."</w:t>
            </w:r>
          </w:p>
        </w:tc>
      </w:tr>
    </w:tbl>
    <w:p w:rsidR="004D0B2B" w:rsidRDefault="004D0B2B" w:rsidP="004D0B2B">
      <w:pPr>
        <w:pStyle w:val="Hesber"/>
        <w:jc w:val="center"/>
        <w:rPr>
          <w:rFonts w:hint="cs"/>
          <w:rtl/>
        </w:rPr>
      </w:pPr>
    </w:p>
    <w:p w:rsidR="00574EEB" w:rsidRDefault="00574EEB" w:rsidP="00695D6A">
      <w:pPr>
        <w:pStyle w:val="HeadDivreiHesber"/>
        <w:spacing w:before="200"/>
        <w:rPr>
          <w:rFonts w:hint="cs"/>
          <w:sz w:val="26"/>
          <w:rtl/>
        </w:rPr>
      </w:pPr>
    </w:p>
    <w:p w:rsidR="00D64235" w:rsidRPr="00695D6A" w:rsidRDefault="00695D6A" w:rsidP="00695D6A">
      <w:pPr>
        <w:pStyle w:val="HeadDivreiHesber"/>
        <w:spacing w:before="200"/>
        <w:rPr>
          <w:rFonts w:hint="cs"/>
          <w:sz w:val="26"/>
          <w:rtl/>
        </w:rPr>
      </w:pPr>
      <w:r w:rsidRPr="0007295C">
        <w:rPr>
          <w:sz w:val="26"/>
          <w:rtl/>
        </w:rPr>
        <w:lastRenderedPageBreak/>
        <w:t>דברי הסבר</w:t>
      </w:r>
    </w:p>
    <w:p w:rsidR="00D64235" w:rsidRPr="00574EEB" w:rsidRDefault="00F67E93" w:rsidP="00574EEB">
      <w:pPr>
        <w:pStyle w:val="Hesber"/>
        <w:rPr>
          <w:rFonts w:hint="cs"/>
          <w:rtl/>
        </w:rPr>
      </w:pPr>
      <w:r w:rsidRPr="00574EEB">
        <w:rPr>
          <w:rFonts w:hint="cs"/>
          <w:rtl/>
        </w:rPr>
        <w:t xml:space="preserve">במכלאות העירוניות </w:t>
      </w:r>
      <w:r w:rsidR="00D64235" w:rsidRPr="00574EEB">
        <w:rPr>
          <w:rFonts w:hint="cs"/>
          <w:rtl/>
        </w:rPr>
        <w:t>מוחזקים</w:t>
      </w:r>
      <w:r w:rsidRPr="00574EEB">
        <w:rPr>
          <w:rFonts w:hint="cs"/>
          <w:rtl/>
        </w:rPr>
        <w:t xml:space="preserve"> בעלי חיים, ובעיקר</w:t>
      </w:r>
      <w:r w:rsidR="00D64235" w:rsidRPr="00574EEB">
        <w:rPr>
          <w:rFonts w:hint="cs"/>
          <w:rtl/>
        </w:rPr>
        <w:t xml:space="preserve"> </w:t>
      </w:r>
      <w:r w:rsidRPr="00574EEB">
        <w:rPr>
          <w:rFonts w:hint="cs"/>
          <w:rtl/>
        </w:rPr>
        <w:t xml:space="preserve">כלבים וחתולים, </w:t>
      </w:r>
      <w:r w:rsidR="00D64235" w:rsidRPr="00574EEB">
        <w:rPr>
          <w:rFonts w:hint="cs"/>
          <w:rtl/>
        </w:rPr>
        <w:t>לאחר שנתפ</w:t>
      </w:r>
      <w:r w:rsidRPr="00574EEB">
        <w:rPr>
          <w:rFonts w:hint="cs"/>
          <w:rtl/>
        </w:rPr>
        <w:t xml:space="preserve">סו ברחוב או </w:t>
      </w:r>
      <w:r w:rsidR="00695D6A" w:rsidRPr="00574EEB">
        <w:rPr>
          <w:rFonts w:hint="cs"/>
          <w:rtl/>
        </w:rPr>
        <w:t>ננטשו על ידי בעליהם</w:t>
      </w:r>
      <w:r w:rsidR="00D64235" w:rsidRPr="00574EEB">
        <w:rPr>
          <w:rFonts w:hint="cs"/>
          <w:rtl/>
        </w:rPr>
        <w:t>.</w:t>
      </w:r>
      <w:r w:rsidR="00695D6A" w:rsidRPr="00574EEB">
        <w:rPr>
          <w:rFonts w:hint="cs"/>
          <w:rtl/>
        </w:rPr>
        <w:t xml:space="preserve"> </w:t>
      </w:r>
      <w:r w:rsidRPr="00574EEB">
        <w:rPr>
          <w:rFonts w:hint="cs"/>
          <w:rtl/>
        </w:rPr>
        <w:t xml:space="preserve">לאחר תקופה מסוימת בה </w:t>
      </w:r>
      <w:r w:rsidR="00D64235" w:rsidRPr="00574EEB">
        <w:rPr>
          <w:rFonts w:hint="cs"/>
          <w:rtl/>
        </w:rPr>
        <w:t>הם מוחזקים במכלאה</w:t>
      </w:r>
      <w:r w:rsidRPr="00574EEB">
        <w:rPr>
          <w:rFonts w:hint="cs"/>
          <w:rtl/>
        </w:rPr>
        <w:t>,</w:t>
      </w:r>
      <w:r w:rsidR="00D64235" w:rsidRPr="00574EEB">
        <w:rPr>
          <w:rFonts w:hint="cs"/>
          <w:rtl/>
        </w:rPr>
        <w:t xml:space="preserve"> ו</w:t>
      </w:r>
      <w:r w:rsidRPr="00574EEB">
        <w:rPr>
          <w:rFonts w:hint="cs"/>
          <w:rtl/>
        </w:rPr>
        <w:t>במידה ש</w:t>
      </w:r>
      <w:r w:rsidR="00D64235" w:rsidRPr="00574EEB">
        <w:rPr>
          <w:rFonts w:hint="cs"/>
          <w:rtl/>
        </w:rPr>
        <w:t>לא נמצא להם מאמץ</w:t>
      </w:r>
      <w:r w:rsidRPr="00574EEB">
        <w:rPr>
          <w:rFonts w:hint="cs"/>
          <w:rtl/>
        </w:rPr>
        <w:t>,</w:t>
      </w:r>
      <w:r w:rsidR="00D64235" w:rsidRPr="00574EEB">
        <w:rPr>
          <w:rFonts w:hint="cs"/>
          <w:rtl/>
        </w:rPr>
        <w:t xml:space="preserve"> הם מומתים </w:t>
      </w:r>
      <w:r w:rsidRPr="00574EEB">
        <w:rPr>
          <w:rFonts w:hint="cs"/>
          <w:rtl/>
        </w:rPr>
        <w:t>באמצעות</w:t>
      </w:r>
      <w:r w:rsidR="00D64235" w:rsidRPr="00574EEB">
        <w:rPr>
          <w:rFonts w:hint="cs"/>
          <w:rtl/>
        </w:rPr>
        <w:t xml:space="preserve"> הרדמה.</w:t>
      </w:r>
      <w:r w:rsidR="00695D6A" w:rsidRPr="00574EEB">
        <w:rPr>
          <w:rFonts w:hint="cs"/>
          <w:rtl/>
        </w:rPr>
        <w:t xml:space="preserve"> </w:t>
      </w:r>
      <w:r w:rsidR="00D64235" w:rsidRPr="00574EEB">
        <w:rPr>
          <w:rFonts w:hint="cs"/>
          <w:rtl/>
        </w:rPr>
        <w:t xml:space="preserve">התיקון </w:t>
      </w:r>
      <w:r w:rsidRPr="00574EEB">
        <w:rPr>
          <w:rFonts w:hint="cs"/>
          <w:rtl/>
        </w:rPr>
        <w:t xml:space="preserve">המוצע </w:t>
      </w:r>
      <w:r w:rsidR="00D64235" w:rsidRPr="00574EEB">
        <w:rPr>
          <w:rFonts w:hint="cs"/>
          <w:rtl/>
        </w:rPr>
        <w:t>לחוק קובע כי ה</w:t>
      </w:r>
      <w:r w:rsidR="00695D6A" w:rsidRPr="00574EEB">
        <w:rPr>
          <w:rFonts w:hint="cs"/>
          <w:rtl/>
        </w:rPr>
        <w:t>ו</w:t>
      </w:r>
      <w:r w:rsidR="00D64235" w:rsidRPr="00574EEB">
        <w:rPr>
          <w:rFonts w:hint="cs"/>
          <w:rtl/>
        </w:rPr>
        <w:t xml:space="preserve">וטרינרים הראשיים יהיו מחויבים לדווח כמה בעלי חיים הם מרדימים </w:t>
      </w:r>
      <w:r w:rsidRPr="00574EEB">
        <w:rPr>
          <w:rFonts w:hint="cs"/>
          <w:rtl/>
        </w:rPr>
        <w:t>ב</w:t>
      </w:r>
      <w:r w:rsidR="00D64235" w:rsidRPr="00574EEB">
        <w:rPr>
          <w:rFonts w:hint="cs"/>
          <w:rtl/>
        </w:rPr>
        <w:t xml:space="preserve">כל שנה, והמידע </w:t>
      </w:r>
      <w:r w:rsidRPr="00574EEB">
        <w:rPr>
          <w:rFonts w:hint="cs"/>
          <w:rtl/>
        </w:rPr>
        <w:t xml:space="preserve">על כך יהיה נגיש לציבור באתר </w:t>
      </w:r>
      <w:r w:rsidR="00D64235" w:rsidRPr="00574EEB">
        <w:rPr>
          <w:rFonts w:hint="cs"/>
          <w:rtl/>
        </w:rPr>
        <w:t>משרד החקלאות.</w:t>
      </w:r>
      <w:r w:rsidR="00695D6A" w:rsidRPr="00574EEB">
        <w:rPr>
          <w:rFonts w:hint="cs"/>
          <w:rtl/>
        </w:rPr>
        <w:t xml:space="preserve"> </w:t>
      </w:r>
      <w:r w:rsidR="00574EEB">
        <w:rPr>
          <w:rFonts w:hint="cs"/>
          <w:rtl/>
        </w:rPr>
        <w:t xml:space="preserve">מטרת </w:t>
      </w:r>
      <w:r w:rsidR="00D64235" w:rsidRPr="00574EEB">
        <w:rPr>
          <w:rFonts w:hint="cs"/>
          <w:rtl/>
        </w:rPr>
        <w:t>תיקון</w:t>
      </w:r>
      <w:r w:rsidRPr="00574EEB">
        <w:rPr>
          <w:rFonts w:hint="cs"/>
          <w:rtl/>
        </w:rPr>
        <w:t xml:space="preserve"> זה</w:t>
      </w:r>
      <w:r w:rsidR="00D64235" w:rsidRPr="00574EEB">
        <w:rPr>
          <w:rFonts w:hint="cs"/>
          <w:rtl/>
        </w:rPr>
        <w:t xml:space="preserve"> </w:t>
      </w:r>
      <w:r w:rsidR="00574EEB">
        <w:rPr>
          <w:rFonts w:hint="cs"/>
          <w:rtl/>
        </w:rPr>
        <w:t>היא</w:t>
      </w:r>
      <w:r w:rsidR="00D64235" w:rsidRPr="00574EEB">
        <w:rPr>
          <w:rFonts w:hint="cs"/>
          <w:rtl/>
        </w:rPr>
        <w:t xml:space="preserve"> להעלות את המודעות לתו</w:t>
      </w:r>
      <w:r w:rsidRPr="00574EEB">
        <w:rPr>
          <w:rFonts w:hint="cs"/>
          <w:rtl/>
        </w:rPr>
        <w:t>צאות של הימנעות מעיקור חיות בית</w:t>
      </w:r>
      <w:r w:rsidR="00695D6A" w:rsidRPr="00574EEB">
        <w:rPr>
          <w:rFonts w:hint="cs"/>
          <w:rtl/>
        </w:rPr>
        <w:t xml:space="preserve"> </w:t>
      </w:r>
      <w:r w:rsidR="00D64235" w:rsidRPr="00574EEB">
        <w:rPr>
          <w:rFonts w:hint="cs"/>
          <w:rtl/>
        </w:rPr>
        <w:t>וכן</w:t>
      </w:r>
      <w:r w:rsidR="00574EEB">
        <w:rPr>
          <w:rFonts w:hint="cs"/>
          <w:rtl/>
        </w:rPr>
        <w:t xml:space="preserve"> </w:t>
      </w:r>
      <w:r w:rsidR="00D64235" w:rsidRPr="00574EEB">
        <w:rPr>
          <w:rFonts w:hint="cs"/>
          <w:rtl/>
        </w:rPr>
        <w:t>לעודד אזרחים לאמץ</w:t>
      </w:r>
      <w:r w:rsidRPr="00574EEB">
        <w:rPr>
          <w:rFonts w:hint="cs"/>
          <w:rtl/>
        </w:rPr>
        <w:t xml:space="preserve"> </w:t>
      </w:r>
      <w:r w:rsidR="00D64235" w:rsidRPr="00574EEB">
        <w:rPr>
          <w:rFonts w:hint="cs"/>
          <w:rtl/>
        </w:rPr>
        <w:t>ולקחת תחת חסותם בעלי חיים שמוחזקים במכלאות העירוניות.</w:t>
      </w:r>
    </w:p>
    <w:p w:rsidR="00574EEB" w:rsidRPr="00574EEB" w:rsidRDefault="00574EEB" w:rsidP="00574EEB">
      <w:pPr>
        <w:pStyle w:val="Hesber"/>
        <w:rPr>
          <w:rFonts w:hint="cs"/>
          <w:rtl/>
        </w:rPr>
      </w:pPr>
    </w:p>
    <w:p w:rsidR="00574EEB" w:rsidRDefault="00574EEB" w:rsidP="00F67E93">
      <w:pPr>
        <w:pStyle w:val="Hesber1st"/>
        <w:tabs>
          <w:tab w:val="clear" w:pos="680"/>
          <w:tab w:val="left" w:pos="1020"/>
        </w:tabs>
        <w:rPr>
          <w:rFonts w:hint="cs"/>
          <w:rtl/>
        </w:rPr>
      </w:pPr>
    </w:p>
    <w:p w:rsidR="00574EEB" w:rsidRDefault="00574EEB" w:rsidP="00F67E93">
      <w:pPr>
        <w:pStyle w:val="Hesber1st"/>
        <w:tabs>
          <w:tab w:val="clear" w:pos="680"/>
          <w:tab w:val="left" w:pos="1020"/>
        </w:tabs>
        <w:rPr>
          <w:rFonts w:hint="cs"/>
          <w:rtl/>
        </w:rPr>
      </w:pPr>
    </w:p>
    <w:p w:rsidR="0014494C" w:rsidRDefault="0014494C" w:rsidP="00F67E93">
      <w:pPr>
        <w:pStyle w:val="Hesber1st"/>
        <w:tabs>
          <w:tab w:val="clear" w:pos="680"/>
          <w:tab w:val="left" w:pos="1020"/>
        </w:tabs>
        <w:rPr>
          <w:rFonts w:hint="cs"/>
          <w:rtl/>
        </w:rPr>
      </w:pPr>
    </w:p>
    <w:p w:rsidR="0014494C" w:rsidRDefault="0014494C" w:rsidP="00F67E93">
      <w:pPr>
        <w:pStyle w:val="Hesber1st"/>
        <w:tabs>
          <w:tab w:val="clear" w:pos="680"/>
          <w:tab w:val="left" w:pos="1020"/>
        </w:tabs>
        <w:rPr>
          <w:rFonts w:hint="cs"/>
          <w:rtl/>
        </w:rPr>
      </w:pPr>
    </w:p>
    <w:p w:rsidR="00574EEB" w:rsidRDefault="00574EEB" w:rsidP="00F67E93">
      <w:pPr>
        <w:pStyle w:val="Hesber1st"/>
        <w:tabs>
          <w:tab w:val="clear" w:pos="680"/>
          <w:tab w:val="left" w:pos="1020"/>
        </w:tabs>
        <w:rPr>
          <w:rFonts w:hint="cs"/>
          <w:rtl/>
        </w:rPr>
      </w:pPr>
    </w:p>
    <w:p w:rsidR="00574EEB" w:rsidRDefault="00574EEB" w:rsidP="00F67E93">
      <w:pPr>
        <w:pStyle w:val="Hesber1st"/>
        <w:tabs>
          <w:tab w:val="clear" w:pos="680"/>
          <w:tab w:val="left" w:pos="1020"/>
        </w:tabs>
        <w:rPr>
          <w:rFonts w:hint="cs"/>
          <w:rtl/>
        </w:rPr>
      </w:pPr>
    </w:p>
    <w:p w:rsidR="00574EEB" w:rsidRPr="00EE4A52" w:rsidRDefault="00574EEB" w:rsidP="00574EEB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EE4A52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:rsidR="00574EEB" w:rsidRPr="00EE4A52" w:rsidRDefault="00574EEB" w:rsidP="00574EEB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EE4A52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:rsidR="00574EEB" w:rsidRDefault="00574EEB" w:rsidP="00574EEB">
      <w:pPr>
        <w:spacing w:before="0" w:line="360" w:lineRule="auto"/>
        <w:ind w:left="340" w:firstLine="0"/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</w:pPr>
      <w:r w:rsidRPr="00EE4A52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574EEB" w:rsidRPr="005B064E" w:rsidRDefault="00574EEB" w:rsidP="00574EEB">
      <w:pPr>
        <w:spacing w:before="0" w:line="360" w:lineRule="auto"/>
        <w:ind w:left="340" w:firstLine="0"/>
        <w:rPr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ח' באייר התשע"ב </w:t>
      </w:r>
      <w:r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–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30.4.12</w:t>
      </w:r>
    </w:p>
    <w:p w:rsidR="00574EEB" w:rsidRPr="00BE2391" w:rsidRDefault="00574EEB" w:rsidP="00574EEB">
      <w:pPr>
        <w:spacing w:line="360" w:lineRule="auto"/>
      </w:pPr>
    </w:p>
    <w:p w:rsidR="00574EEB" w:rsidRPr="00695D6A" w:rsidRDefault="00574EEB" w:rsidP="00F67E93">
      <w:pPr>
        <w:pStyle w:val="Hesber1st"/>
        <w:tabs>
          <w:tab w:val="clear" w:pos="680"/>
          <w:tab w:val="left" w:pos="1020"/>
        </w:tabs>
        <w:rPr>
          <w:rFonts w:hint="cs"/>
          <w:rtl/>
        </w:rPr>
      </w:pPr>
    </w:p>
    <w:sectPr w:rsidR="00574EEB" w:rsidRPr="00695D6A" w:rsidSect="001207F8">
      <w:footerReference w:type="even" r:id="rId10"/>
      <w:footerReference w:type="default" r:id="rId11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61" w:rsidRDefault="00786161">
      <w:r>
        <w:separator/>
      </w:r>
    </w:p>
  </w:endnote>
  <w:endnote w:type="continuationSeparator" w:id="0">
    <w:p w:rsidR="00786161" w:rsidRDefault="0078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4C" w:rsidRDefault="0014494C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:rsidR="0014494C" w:rsidRDefault="0014494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4C" w:rsidRDefault="0014494C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C76F51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:rsidR="0014494C" w:rsidRDefault="001449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61" w:rsidRDefault="00786161">
      <w:r>
        <w:separator/>
      </w:r>
    </w:p>
  </w:footnote>
  <w:footnote w:type="continuationSeparator" w:id="0">
    <w:p w:rsidR="00786161" w:rsidRDefault="00786161">
      <w:r>
        <w:continuationSeparator/>
      </w:r>
    </w:p>
  </w:footnote>
  <w:footnote w:type="continuationNotice" w:id="1">
    <w:p w:rsidR="00786161" w:rsidRDefault="00786161">
      <w:pPr>
        <w:rPr>
          <w:rFonts w:hint="cs"/>
        </w:rPr>
      </w:pPr>
    </w:p>
  </w:footnote>
  <w:footnote w:id="2">
    <w:p w:rsidR="0014494C" w:rsidRDefault="0014494C" w:rsidP="004D0B2B">
      <w:pPr>
        <w:pStyle w:val="a4"/>
        <w:rPr>
          <w:rFonts w:hint="cs"/>
          <w:rtl/>
        </w:rPr>
      </w:pPr>
      <w:r>
        <w:rPr>
          <w:rStyle w:val="a6"/>
        </w:rPr>
        <w:footnoteRef/>
      </w:r>
      <w:r>
        <w:rPr>
          <w:rFonts w:hint="cs"/>
          <w:rtl/>
        </w:rPr>
        <w:t xml:space="preserve"> ס"ח התשנ"ד, עמ' 56.</w:t>
      </w:r>
    </w:p>
  </w:footnote>
  <w:footnote w:id="3">
    <w:p w:rsidR="0014494C" w:rsidRDefault="0014494C" w:rsidP="00C42178">
      <w:pPr>
        <w:pStyle w:val="a4"/>
        <w:rPr>
          <w:rFonts w:hint="cs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התשס"ג, עמ' 216.</w:t>
      </w:r>
    </w:p>
  </w:footnote>
  <w:footnote w:id="4">
    <w:p w:rsidR="0014494C" w:rsidRDefault="0014494C" w:rsidP="00C42178">
      <w:pPr>
        <w:pStyle w:val="a4"/>
        <w:rPr>
          <w:rFonts w:hint="cs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ע"ר 481, תוס' 1, עמ' (ע)242, (א)242.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259CE"/>
    <w:multiLevelType w:val="hybridMultilevel"/>
    <w:tmpl w:val="AF561D4C"/>
    <w:lvl w:ilvl="0" w:tplc="51DCDB38">
      <w:start w:val="1"/>
      <w:numFmt w:val="decimal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B78A8"/>
    <w:multiLevelType w:val="hybridMultilevel"/>
    <w:tmpl w:val="5CD4C87A"/>
    <w:lvl w:ilvl="0" w:tplc="2F94AE40">
      <w:start w:val="2"/>
      <w:numFmt w:val="decimal"/>
      <w:lvlText w:val="(%1)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3">
    <w:nsid w:val="28B30FCD"/>
    <w:multiLevelType w:val="hybridMultilevel"/>
    <w:tmpl w:val="EF6827BA"/>
    <w:lvl w:ilvl="0" w:tplc="9306E85E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6257DD"/>
    <w:multiLevelType w:val="hybridMultilevel"/>
    <w:tmpl w:val="BD2A8C62"/>
    <w:lvl w:ilvl="0" w:tplc="C70C9258">
      <w:start w:val="1"/>
      <w:numFmt w:val="decimal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52ADE"/>
    <w:multiLevelType w:val="hybridMultilevel"/>
    <w:tmpl w:val="C264FA30"/>
    <w:lvl w:ilvl="0" w:tplc="E83AB8A2">
      <w:start w:val="1"/>
      <w:numFmt w:val="hebrew1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80DB6"/>
    <w:multiLevelType w:val="hybridMultilevel"/>
    <w:tmpl w:val="00A4E28E"/>
    <w:lvl w:ilvl="0" w:tplc="6626174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01280"/>
    <w:multiLevelType w:val="hybridMultilevel"/>
    <w:tmpl w:val="A08EE870"/>
    <w:lvl w:ilvl="0" w:tplc="527A772E">
      <w:start w:val="2"/>
      <w:numFmt w:val="decimal"/>
      <w:lvlText w:val="(%1)"/>
      <w:lvlJc w:val="left"/>
      <w:pPr>
        <w:ind w:left="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8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FD4070"/>
    <w:multiLevelType w:val="hybridMultilevel"/>
    <w:tmpl w:val="1CF8BD54"/>
    <w:lvl w:ilvl="0" w:tplc="A456FBF2">
      <w:start w:val="1"/>
      <w:numFmt w:val="decimal"/>
      <w:lvlText w:val="(%1)"/>
      <w:lvlJc w:val="left"/>
      <w:pPr>
        <w:ind w:left="429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13"/>
  </w:num>
  <w:num w:numId="14">
    <w:abstractNumId w:val="15"/>
  </w:num>
  <w:num w:numId="15">
    <w:abstractNumId w:val="19"/>
  </w:num>
  <w:num w:numId="16">
    <w:abstractNumId w:val="10"/>
  </w:num>
  <w:num w:numId="17">
    <w:abstractNumId w:val="14"/>
  </w:num>
  <w:num w:numId="18">
    <w:abstractNumId w:val="1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tmp433310lsCopyOriginal.doc"/>
    <w:docVar w:name="StartMode" w:val="4"/>
  </w:docVars>
  <w:rsids>
    <w:rsidRoot w:val="005078A4"/>
    <w:rsid w:val="00004BE8"/>
    <w:rsid w:val="00015B27"/>
    <w:rsid w:val="00034841"/>
    <w:rsid w:val="000A542E"/>
    <w:rsid w:val="001207F8"/>
    <w:rsid w:val="00121924"/>
    <w:rsid w:val="00127563"/>
    <w:rsid w:val="001279A8"/>
    <w:rsid w:val="0014494C"/>
    <w:rsid w:val="00152609"/>
    <w:rsid w:val="00153E1B"/>
    <w:rsid w:val="00172320"/>
    <w:rsid w:val="001A0623"/>
    <w:rsid w:val="001C23B0"/>
    <w:rsid w:val="00203A7F"/>
    <w:rsid w:val="002200A1"/>
    <w:rsid w:val="002362BF"/>
    <w:rsid w:val="00254605"/>
    <w:rsid w:val="002728B4"/>
    <w:rsid w:val="00292712"/>
    <w:rsid w:val="00296B45"/>
    <w:rsid w:val="003232A2"/>
    <w:rsid w:val="003710F6"/>
    <w:rsid w:val="00386E88"/>
    <w:rsid w:val="003D74A0"/>
    <w:rsid w:val="00402A53"/>
    <w:rsid w:val="00410313"/>
    <w:rsid w:val="0047305B"/>
    <w:rsid w:val="00487A67"/>
    <w:rsid w:val="004D0B2B"/>
    <w:rsid w:val="004D3876"/>
    <w:rsid w:val="004E4552"/>
    <w:rsid w:val="005078A4"/>
    <w:rsid w:val="005124D2"/>
    <w:rsid w:val="00520662"/>
    <w:rsid w:val="00523EB9"/>
    <w:rsid w:val="00553C9D"/>
    <w:rsid w:val="00574EEB"/>
    <w:rsid w:val="005B064E"/>
    <w:rsid w:val="005D51AE"/>
    <w:rsid w:val="005E7130"/>
    <w:rsid w:val="00611954"/>
    <w:rsid w:val="00644940"/>
    <w:rsid w:val="006818A9"/>
    <w:rsid w:val="00695D6A"/>
    <w:rsid w:val="006B1611"/>
    <w:rsid w:val="006C1D0D"/>
    <w:rsid w:val="0070601E"/>
    <w:rsid w:val="0071786F"/>
    <w:rsid w:val="00765F66"/>
    <w:rsid w:val="00786161"/>
    <w:rsid w:val="007D5A12"/>
    <w:rsid w:val="007E59F9"/>
    <w:rsid w:val="00810BCD"/>
    <w:rsid w:val="0081266A"/>
    <w:rsid w:val="00812C98"/>
    <w:rsid w:val="00814D92"/>
    <w:rsid w:val="00821C42"/>
    <w:rsid w:val="00836BEE"/>
    <w:rsid w:val="0085551C"/>
    <w:rsid w:val="008732A7"/>
    <w:rsid w:val="00892135"/>
    <w:rsid w:val="00895449"/>
    <w:rsid w:val="00897879"/>
    <w:rsid w:val="008C2DDC"/>
    <w:rsid w:val="008F0D63"/>
    <w:rsid w:val="008F2C35"/>
    <w:rsid w:val="0091204F"/>
    <w:rsid w:val="00943386"/>
    <w:rsid w:val="00957589"/>
    <w:rsid w:val="00A26BD6"/>
    <w:rsid w:val="00A426C8"/>
    <w:rsid w:val="00A82CB7"/>
    <w:rsid w:val="00AC36F7"/>
    <w:rsid w:val="00B35784"/>
    <w:rsid w:val="00BC45FB"/>
    <w:rsid w:val="00C40B4C"/>
    <w:rsid w:val="00C42178"/>
    <w:rsid w:val="00C76F51"/>
    <w:rsid w:val="00C82FB5"/>
    <w:rsid w:val="00C9176A"/>
    <w:rsid w:val="00CF0A58"/>
    <w:rsid w:val="00D02F43"/>
    <w:rsid w:val="00D64235"/>
    <w:rsid w:val="00D867D7"/>
    <w:rsid w:val="00DA6CCB"/>
    <w:rsid w:val="00DB7060"/>
    <w:rsid w:val="00DE3153"/>
    <w:rsid w:val="00E13C27"/>
    <w:rsid w:val="00E33BBD"/>
    <w:rsid w:val="00E45103"/>
    <w:rsid w:val="00E665B9"/>
    <w:rsid w:val="00EA01E6"/>
    <w:rsid w:val="00EA758F"/>
    <w:rsid w:val="00ED4A6F"/>
    <w:rsid w:val="00EF3A3A"/>
    <w:rsid w:val="00EF56DA"/>
    <w:rsid w:val="00F6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semiHidden/>
    <w:rsid w:val="00943386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943386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link w:val="a5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8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character" w:customStyle="1" w:styleId="a5">
    <w:name w:val="טקסט הערת שוליים תו"/>
    <w:link w:val="a4"/>
    <w:semiHidden/>
    <w:rsid w:val="004D0B2B"/>
    <w:rPr>
      <w:rFonts w:ascii="Arial" w:eastAsia="Arial Unicode MS" w:hAnsi="Arial" w:cs="David"/>
      <w:snapToGrid w:val="0"/>
      <w:color w:val="000000"/>
      <w:sz w:val="14"/>
      <w:lang w:val="en-US"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nhedrinTempDoc\rama\lsNew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nhedrinLibrary" ma:contentTypeID="0x0101004AEDB822EB0F7C488BBBAE3C0C973DE700B965A852105D78438198CA75A0485B8A" ma:contentTypeVersion="4" ma:contentTypeDescription="" ma:contentTypeScope="" ma:versionID="c38b24e8f7322fb0c0a042d74e58b75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2256bd0c61fc03d0c288ef087d4d879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anhedrinDocumentType"/>
                <xsd:element ref="ns2:SanhedrinItem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anhedrinDocumentType" ma:index="8" ma:displayName="SanhedrinDocumentType" ma:decimals="0" ma:internalName="SanhedrinDocumentType" ma:readOnly="false">
      <xsd:simpleType>
        <xsd:restriction base="dms:Number"/>
      </xsd:simpleType>
    </xsd:element>
    <xsd:element name="SanhedrinItemID" ma:index="9" ma:displayName="SanhedrinItemID" ma:decimals="0" ma:internalName="SanhedrinItemID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nhedrinItemID xmlns="290d5b49-c690-4c6f-bbb9-1e50dab33eee">433310</SanhedrinItemID>
    <SanhedrinDocumentType xmlns="290d5b49-c690-4c6f-bbb9-1e50dab33eee">10</SanhedrinDocumentType>
  </documentManagement>
</p:properties>
</file>

<file path=customXml/itemProps1.xml><?xml version="1.0" encoding="utf-8"?>
<ds:datastoreItem xmlns:ds="http://schemas.openxmlformats.org/officeDocument/2006/customXml" ds:itemID="{79F23AB1-D9EA-4C7D-92A3-49EE315BB2D6}"/>
</file>

<file path=customXml/itemProps2.xml><?xml version="1.0" encoding="utf-8"?>
<ds:datastoreItem xmlns:ds="http://schemas.openxmlformats.org/officeDocument/2006/customXml" ds:itemID="{ADF6C742-251F-45C5-9C27-EE5DE89CA2B1}"/>
</file>

<file path=customXml/itemProps3.xml><?xml version="1.0" encoding="utf-8"?>
<ds:datastoreItem xmlns:ds="http://schemas.openxmlformats.org/officeDocument/2006/customXml" ds:itemID="{DCBDEC3D-E22B-4E58-9FB0-8AAA3E9A6A42}"/>
</file>

<file path=docProps/app.xml><?xml version="1.0" encoding="utf-8"?>
<Properties xmlns="http://schemas.openxmlformats.org/officeDocument/2006/extended-properties" xmlns:vt="http://schemas.openxmlformats.org/officeDocument/2006/docPropsVTypes">
  <Template>lsNew.dot</Template>
  <TotalTime>0</TotalTime>
  <Pages>2</Pages>
  <Words>238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רשומות</vt:lpstr>
    </vt:vector>
  </TitlesOfParts>
  <Company> 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Knesset</dc:creator>
  <cp:keywords/>
  <dc:description/>
  <cp:lastModifiedBy>ShareDocs3 Administrator</cp:lastModifiedBy>
  <cp:revision>2</cp:revision>
  <cp:lastPrinted>2012-04-22T10:38:00Z</cp:lastPrinted>
  <dcterms:created xsi:type="dcterms:W3CDTF">2015-02-27T13:53:00Z</dcterms:created>
  <dcterms:modified xsi:type="dcterms:W3CDTF">2015-02-27T13:53:00Z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0x0101004AEDB822EB0F7C488BBBAE3C0C973DE700B965A852105D78438198CA75A0485B8A</vt:lpwstr>
  </property>
</Properties>
</file>