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7D" w:rsidRDefault="00372B7D" w:rsidP="00530768">
      <w:pPr>
        <w:pStyle w:val="a3"/>
        <w:spacing w:line="360" w:lineRule="auto"/>
        <w:rPr>
          <w:rFonts w:hint="cs"/>
          <w:b w:val="0"/>
          <w:bCs w:val="0"/>
          <w:sz w:val="26"/>
          <w:szCs w:val="26"/>
          <w:u w:val="none"/>
          <w:rtl/>
        </w:rPr>
      </w:pPr>
      <w:bookmarkStart w:id="0" w:name="_GoBack"/>
      <w:bookmarkEnd w:id="0"/>
      <w:r>
        <w:rPr>
          <w:rFonts w:hint="cs"/>
          <w:u w:val="none"/>
          <w:rtl/>
        </w:rPr>
        <w:t>הכנסת השבע-עשרה</w:t>
      </w:r>
    </w:p>
    <w:p w:rsidR="00372B7D" w:rsidRDefault="00372B7D" w:rsidP="00530768">
      <w:pPr>
        <w:spacing w:line="360" w:lineRule="auto"/>
        <w:rPr>
          <w:rFonts w:cs="David" w:hint="cs"/>
          <w:sz w:val="26"/>
          <w:szCs w:val="26"/>
          <w:rtl/>
        </w:rPr>
      </w:pPr>
    </w:p>
    <w:tbl>
      <w:tblPr>
        <w:bidiVisual/>
        <w:tblW w:w="0" w:type="auto"/>
        <w:jc w:val="righ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755"/>
      </w:tblGrid>
      <w:tr w:rsidR="00372B7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755" w:type="dxa"/>
          </w:tcPr>
          <w:p w:rsidR="00372B7D" w:rsidRDefault="00372B7D" w:rsidP="00530768">
            <w:pPr>
              <w:spacing w:after="120"/>
              <w:rPr>
                <w:rFonts w:cs="David" w:hint="cs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הצעת</w:t>
            </w:r>
            <w:r>
              <w:rPr>
                <w:rFonts w:cs="David"/>
                <w:sz w:val="26"/>
                <w:szCs w:val="26"/>
              </w:rPr>
              <w:t xml:space="preserve"> </w:t>
            </w:r>
            <w:r>
              <w:rPr>
                <w:rFonts w:cs="David"/>
                <w:sz w:val="26"/>
                <w:szCs w:val="26"/>
                <w:rtl/>
              </w:rPr>
              <w:t>חוק של חבר הכנסת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Pr="00530768">
              <w:rPr>
                <w:rFonts w:cs="David" w:hint="cs"/>
                <w:b/>
                <w:bCs/>
                <w:sz w:val="26"/>
                <w:szCs w:val="26"/>
                <w:rtl/>
              </w:rPr>
              <w:t>צבי הנדל</w:t>
            </w:r>
          </w:p>
        </w:tc>
      </w:tr>
    </w:tbl>
    <w:p w:rsidR="00372B7D" w:rsidRPr="00BF513F" w:rsidRDefault="00372B7D" w:rsidP="00530768">
      <w:pPr>
        <w:spacing w:line="360" w:lineRule="auto"/>
        <w:jc w:val="center"/>
        <w:rPr>
          <w:rFonts w:cs="David" w:hint="cs"/>
          <w:b/>
          <w:bCs/>
          <w:rtl/>
        </w:rPr>
      </w:pP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 w:rsidR="00BF513F">
        <w:rPr>
          <w:rFonts w:cs="David" w:hint="cs"/>
          <w:sz w:val="32"/>
          <w:szCs w:val="32"/>
          <w:rtl/>
        </w:rPr>
        <w:t xml:space="preserve">                         </w:t>
      </w:r>
      <w:r w:rsidR="00BF513F" w:rsidRPr="00BF513F">
        <w:rPr>
          <w:rFonts w:cs="David" w:hint="cs"/>
          <w:b/>
          <w:bCs/>
          <w:rtl/>
        </w:rPr>
        <w:t>פ/498/17</w:t>
      </w:r>
    </w:p>
    <w:p w:rsidR="00372B7D" w:rsidRDefault="00372B7D" w:rsidP="00530768">
      <w:pPr>
        <w:spacing w:line="360" w:lineRule="auto"/>
        <w:rPr>
          <w:rFonts w:cs="David" w:hint="cs"/>
          <w:sz w:val="26"/>
          <w:szCs w:val="26"/>
          <w:rtl/>
        </w:rPr>
      </w:pPr>
    </w:p>
    <w:p w:rsidR="00372B7D" w:rsidRDefault="00372B7D" w:rsidP="00530768">
      <w:pPr>
        <w:spacing w:line="360" w:lineRule="auto"/>
        <w:jc w:val="center"/>
        <w:rPr>
          <w:rFonts w:cs="David" w:hint="cs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fldChar w:fldCharType="begin">
          <w:ffData>
            <w:name w:val="Title"/>
            <w:enabled/>
            <w:calcOnExit w:val="0"/>
            <w:textInput/>
          </w:ffData>
        </w:fldChar>
      </w:r>
      <w:r>
        <w:rPr>
          <w:rFonts w:cs="David"/>
          <w:b/>
          <w:bCs/>
          <w:sz w:val="28"/>
          <w:szCs w:val="28"/>
          <w:rtl/>
        </w:rPr>
        <w:instrText xml:space="preserve"> </w:instrText>
      </w:r>
      <w:r>
        <w:rPr>
          <w:rFonts w:cs="David"/>
          <w:b/>
          <w:bCs/>
          <w:sz w:val="28"/>
          <w:szCs w:val="28"/>
        </w:rPr>
        <w:instrText>FORMTEXT</w:instrText>
      </w:r>
      <w:r>
        <w:rPr>
          <w:rFonts w:cs="David"/>
          <w:b/>
          <w:bCs/>
          <w:sz w:val="28"/>
          <w:szCs w:val="28"/>
          <w:rtl/>
        </w:rPr>
        <w:instrText xml:space="preserve"> </w:instrText>
      </w:r>
      <w:r>
        <w:rPr>
          <w:rFonts w:cs="David"/>
          <w:b/>
          <w:bCs/>
          <w:sz w:val="28"/>
          <w:szCs w:val="28"/>
        </w:rPr>
      </w:r>
      <w:r>
        <w:rPr>
          <w:rFonts w:cs="David"/>
          <w:b/>
          <w:bCs/>
          <w:sz w:val="28"/>
          <w:szCs w:val="28"/>
          <w:rtl/>
        </w:rPr>
        <w:fldChar w:fldCharType="separate"/>
      </w:r>
      <w:r>
        <w:rPr>
          <w:rFonts w:cs="David"/>
          <w:b/>
          <w:bCs/>
          <w:sz w:val="28"/>
          <w:szCs w:val="28"/>
          <w:rtl/>
        </w:rPr>
        <w:t>הצעת חוק-יסוד: הכנסת (תיקון - התייצבות לפני הוועדות)</w:t>
      </w:r>
      <w:r>
        <w:rPr>
          <w:rFonts w:cs="David"/>
          <w:b/>
          <w:bCs/>
          <w:sz w:val="28"/>
          <w:szCs w:val="28"/>
          <w:rtl/>
        </w:rPr>
        <w:fldChar w:fldCharType="end"/>
      </w:r>
    </w:p>
    <w:p w:rsidR="00372B7D" w:rsidRDefault="00372B7D" w:rsidP="00530768">
      <w:pPr>
        <w:spacing w:line="360" w:lineRule="auto"/>
        <w:rPr>
          <w:rFonts w:cs="David"/>
          <w:sz w:val="26"/>
          <w:szCs w:val="26"/>
        </w:rPr>
      </w:pPr>
    </w:p>
    <w:tbl>
      <w:tblPr>
        <w:bidiVisual/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3"/>
        <w:gridCol w:w="550"/>
        <w:gridCol w:w="567"/>
        <w:gridCol w:w="567"/>
        <w:gridCol w:w="5573"/>
      </w:tblGrid>
      <w:tr w:rsidR="00372B7D">
        <w:tc>
          <w:tcPr>
            <w:tcW w:w="1163" w:type="dxa"/>
          </w:tcPr>
          <w:p w:rsidR="00372B7D" w:rsidRDefault="00372B7D" w:rsidP="00530768">
            <w:pPr>
              <w:rPr>
                <w:rFonts w:cs="David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תיקון</w:t>
            </w:r>
            <w:r>
              <w:rPr>
                <w:rFonts w:cs="David"/>
                <w:sz w:val="26"/>
                <w:szCs w:val="26"/>
                <w:rtl/>
              </w:rPr>
              <w:t xml:space="preserve"> סעיף 21</w:t>
            </w:r>
          </w:p>
        </w:tc>
        <w:tc>
          <w:tcPr>
            <w:tcW w:w="550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1.</w:t>
            </w:r>
          </w:p>
        </w:tc>
        <w:tc>
          <w:tcPr>
            <w:tcW w:w="6707" w:type="dxa"/>
            <w:gridSpan w:val="3"/>
          </w:tcPr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בחוק</w:t>
            </w:r>
            <w:r>
              <w:rPr>
                <w:rFonts w:cs="David"/>
                <w:sz w:val="26"/>
                <w:szCs w:val="26"/>
                <w:rtl/>
              </w:rPr>
              <w:t>-יסוד: הכנסת</w:t>
            </w:r>
            <w:r>
              <w:rPr>
                <w:rStyle w:val="a7"/>
                <w:rFonts w:cs="David"/>
                <w:sz w:val="26"/>
                <w:szCs w:val="26"/>
                <w:rtl/>
              </w:rPr>
              <w:footnoteReference w:id="1"/>
            </w:r>
            <w:r>
              <w:rPr>
                <w:rFonts w:cs="David"/>
                <w:sz w:val="26"/>
                <w:szCs w:val="26"/>
                <w:rtl/>
              </w:rPr>
              <w:t xml:space="preserve">, </w:t>
            </w:r>
            <w:r>
              <w:rPr>
                <w:rFonts w:cs="David" w:hint="eastAsia"/>
                <w:sz w:val="26"/>
                <w:szCs w:val="26"/>
                <w:rtl/>
              </w:rPr>
              <w:t>בסעיף</w:t>
            </w:r>
            <w:r>
              <w:rPr>
                <w:rFonts w:cs="David"/>
                <w:sz w:val="26"/>
                <w:szCs w:val="26"/>
                <w:rtl/>
              </w:rPr>
              <w:t xml:space="preserve"> 21</w:t>
            </w:r>
            <w:r>
              <w:rPr>
                <w:rFonts w:cs="David" w:hint="cs"/>
                <w:sz w:val="26"/>
                <w:szCs w:val="26"/>
                <w:rtl/>
              </w:rPr>
              <w:t xml:space="preserve">, בסעיף קטן </w:t>
            </w:r>
            <w:r>
              <w:rPr>
                <w:rFonts w:cs="David"/>
                <w:sz w:val="26"/>
                <w:szCs w:val="26"/>
                <w:rtl/>
              </w:rPr>
              <w:t xml:space="preserve">(ב) - </w:t>
            </w:r>
          </w:p>
        </w:tc>
      </w:tr>
      <w:tr w:rsidR="00372B7D">
        <w:tc>
          <w:tcPr>
            <w:tcW w:w="1163" w:type="dxa"/>
          </w:tcPr>
          <w:p w:rsidR="00372B7D" w:rsidRDefault="00372B7D" w:rsidP="00530768">
            <w:pPr>
              <w:rPr>
                <w:rFonts w:cs="David"/>
                <w:sz w:val="26"/>
                <w:szCs w:val="26"/>
              </w:rPr>
            </w:pPr>
          </w:p>
        </w:tc>
        <w:tc>
          <w:tcPr>
            <w:tcW w:w="550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567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(1)</w:t>
            </w:r>
          </w:p>
        </w:tc>
        <w:tc>
          <w:tcPr>
            <w:tcW w:w="6140" w:type="dxa"/>
            <w:gridSpan w:val="2"/>
          </w:tcPr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אחרי</w:t>
            </w:r>
            <w:r>
              <w:rPr>
                <w:rFonts w:cs="David"/>
                <w:sz w:val="26"/>
                <w:szCs w:val="26"/>
                <w:rtl/>
              </w:rPr>
              <w:t xml:space="preserve"> "</w:t>
            </w:r>
            <w:r>
              <w:rPr>
                <w:rFonts w:cs="David" w:hint="eastAsia"/>
                <w:sz w:val="26"/>
                <w:szCs w:val="26"/>
                <w:rtl/>
              </w:rPr>
              <w:t>בשירות</w:t>
            </w:r>
            <w:r>
              <w:rPr>
                <w:rFonts w:cs="David"/>
                <w:sz w:val="26"/>
                <w:szCs w:val="26"/>
                <w:rtl/>
              </w:rPr>
              <w:t xml:space="preserve"> המדינה" </w:t>
            </w:r>
            <w:r>
              <w:rPr>
                <w:rFonts w:cs="David" w:hint="eastAsia"/>
                <w:sz w:val="26"/>
                <w:szCs w:val="26"/>
                <w:rtl/>
              </w:rPr>
              <w:t>יבוא</w:t>
            </w:r>
            <w:r>
              <w:rPr>
                <w:rFonts w:cs="David"/>
                <w:sz w:val="26"/>
                <w:szCs w:val="26"/>
                <w:rtl/>
              </w:rPr>
              <w:t xml:space="preserve"> "</w:t>
            </w:r>
            <w:r>
              <w:rPr>
                <w:rFonts w:cs="David" w:hint="eastAsia"/>
                <w:sz w:val="26"/>
                <w:szCs w:val="26"/>
                <w:rtl/>
              </w:rPr>
              <w:t>בשירות</w:t>
            </w:r>
            <w:r>
              <w:rPr>
                <w:rFonts w:cs="David"/>
                <w:sz w:val="26"/>
                <w:szCs w:val="26"/>
                <w:rtl/>
              </w:rPr>
              <w:t xml:space="preserve"> הביטחון";</w:t>
            </w:r>
          </w:p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</w:p>
        </w:tc>
      </w:tr>
      <w:tr w:rsidR="00372B7D">
        <w:tc>
          <w:tcPr>
            <w:tcW w:w="1163" w:type="dxa"/>
          </w:tcPr>
          <w:p w:rsidR="00372B7D" w:rsidRDefault="00372B7D" w:rsidP="00530768">
            <w:pPr>
              <w:rPr>
                <w:rFonts w:cs="David"/>
                <w:sz w:val="26"/>
                <w:szCs w:val="26"/>
              </w:rPr>
            </w:pPr>
          </w:p>
        </w:tc>
        <w:tc>
          <w:tcPr>
            <w:tcW w:w="550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567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(2)</w:t>
            </w:r>
          </w:p>
        </w:tc>
        <w:tc>
          <w:tcPr>
            <w:tcW w:w="6140" w:type="dxa"/>
            <w:gridSpan w:val="2"/>
          </w:tcPr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אחרי</w:t>
            </w:r>
            <w:r>
              <w:rPr>
                <w:rFonts w:cs="David"/>
                <w:sz w:val="26"/>
                <w:szCs w:val="26"/>
                <w:rtl/>
              </w:rPr>
              <w:t xml:space="preserve"> "</w:t>
            </w:r>
            <w:r>
              <w:rPr>
                <w:rFonts w:cs="David" w:hint="eastAsia"/>
                <w:sz w:val="26"/>
                <w:szCs w:val="26"/>
                <w:rtl/>
              </w:rPr>
              <w:t>ראש</w:t>
            </w:r>
            <w:r>
              <w:rPr>
                <w:rFonts w:cs="David"/>
                <w:sz w:val="26"/>
                <w:szCs w:val="26"/>
                <w:rtl/>
              </w:rPr>
              <w:t xml:space="preserve"> הגוף שהמוזמן פועל </w:t>
            </w:r>
            <w:r>
              <w:rPr>
                <w:rFonts w:cs="David" w:hint="eastAsia"/>
                <w:sz w:val="26"/>
                <w:szCs w:val="26"/>
                <w:rtl/>
              </w:rPr>
              <w:t>בשירותו</w:t>
            </w:r>
            <w:r>
              <w:rPr>
                <w:rFonts w:cs="David"/>
                <w:sz w:val="26"/>
                <w:szCs w:val="26"/>
                <w:rtl/>
              </w:rPr>
              <w:t xml:space="preserve">" </w:t>
            </w:r>
            <w:r>
              <w:rPr>
                <w:rFonts w:cs="David" w:hint="eastAsia"/>
                <w:sz w:val="26"/>
                <w:szCs w:val="26"/>
                <w:rtl/>
              </w:rPr>
              <w:t>יבוא</w:t>
            </w:r>
            <w:r>
              <w:rPr>
                <w:rFonts w:cs="David"/>
                <w:sz w:val="26"/>
                <w:szCs w:val="26"/>
                <w:rtl/>
              </w:rPr>
              <w:t xml:space="preserve"> "(להלן – הממונה)", ובמקום "</w:t>
            </w:r>
            <w:r>
              <w:rPr>
                <w:rFonts w:cs="David" w:hint="eastAsia"/>
                <w:sz w:val="26"/>
                <w:szCs w:val="26"/>
                <w:rtl/>
              </w:rPr>
              <w:t>השר</w:t>
            </w:r>
            <w:r>
              <w:rPr>
                <w:rFonts w:cs="David"/>
                <w:sz w:val="26"/>
                <w:szCs w:val="26"/>
                <w:rtl/>
              </w:rPr>
              <w:t xml:space="preserve"> הממונה או </w:t>
            </w:r>
            <w:r>
              <w:rPr>
                <w:rFonts w:cs="David" w:hint="eastAsia"/>
                <w:sz w:val="26"/>
                <w:szCs w:val="26"/>
                <w:rtl/>
              </w:rPr>
              <w:t>ראש</w:t>
            </w:r>
            <w:r>
              <w:rPr>
                <w:rFonts w:cs="David"/>
                <w:sz w:val="26"/>
                <w:szCs w:val="26"/>
                <w:rtl/>
              </w:rPr>
              <w:t xml:space="preserve"> הגוף שהמוזמן פועל בשירותו" </w:t>
            </w:r>
            <w:r>
              <w:rPr>
                <w:rFonts w:cs="David" w:hint="eastAsia"/>
                <w:sz w:val="26"/>
                <w:szCs w:val="26"/>
                <w:rtl/>
              </w:rPr>
              <w:t>יבוא</w:t>
            </w:r>
            <w:r>
              <w:rPr>
                <w:rFonts w:cs="David"/>
                <w:sz w:val="26"/>
                <w:szCs w:val="26"/>
                <w:rtl/>
              </w:rPr>
              <w:t xml:space="preserve"> "</w:t>
            </w:r>
            <w:r>
              <w:rPr>
                <w:rFonts w:cs="David" w:hint="eastAsia"/>
                <w:sz w:val="26"/>
                <w:szCs w:val="26"/>
                <w:rtl/>
              </w:rPr>
              <w:t>הממונה</w:t>
            </w:r>
            <w:r>
              <w:rPr>
                <w:rFonts w:cs="David"/>
                <w:sz w:val="26"/>
                <w:szCs w:val="26"/>
                <w:rtl/>
              </w:rPr>
              <w:t>";</w:t>
            </w:r>
          </w:p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</w:p>
        </w:tc>
      </w:tr>
      <w:tr w:rsidR="00372B7D">
        <w:tc>
          <w:tcPr>
            <w:tcW w:w="1163" w:type="dxa"/>
          </w:tcPr>
          <w:p w:rsidR="00372B7D" w:rsidRDefault="00372B7D" w:rsidP="00530768">
            <w:pPr>
              <w:rPr>
                <w:rFonts w:cs="David"/>
                <w:sz w:val="26"/>
                <w:szCs w:val="26"/>
              </w:rPr>
            </w:pPr>
          </w:p>
        </w:tc>
        <w:tc>
          <w:tcPr>
            <w:tcW w:w="550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567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(3)</w:t>
            </w:r>
          </w:p>
        </w:tc>
        <w:tc>
          <w:tcPr>
            <w:tcW w:w="6140" w:type="dxa"/>
            <w:gridSpan w:val="2"/>
          </w:tcPr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בסופו</w:t>
            </w:r>
            <w:r>
              <w:rPr>
                <w:rFonts w:cs="David"/>
                <w:sz w:val="26"/>
                <w:szCs w:val="26"/>
                <w:rtl/>
              </w:rPr>
              <w:t xml:space="preserve"> יבוא:</w:t>
            </w:r>
          </w:p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</w:p>
        </w:tc>
      </w:tr>
      <w:tr w:rsidR="00372B7D">
        <w:tc>
          <w:tcPr>
            <w:tcW w:w="1163" w:type="dxa"/>
          </w:tcPr>
          <w:p w:rsidR="00372B7D" w:rsidRDefault="00372B7D" w:rsidP="00530768">
            <w:pPr>
              <w:rPr>
                <w:rFonts w:cs="David"/>
                <w:sz w:val="26"/>
                <w:szCs w:val="26"/>
              </w:rPr>
            </w:pPr>
          </w:p>
        </w:tc>
        <w:tc>
          <w:tcPr>
            <w:tcW w:w="550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567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6140" w:type="dxa"/>
            <w:gridSpan w:val="2"/>
          </w:tcPr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"</w:t>
            </w:r>
            <w:r>
              <w:rPr>
                <w:rFonts w:cs="David" w:hint="eastAsia"/>
                <w:sz w:val="26"/>
                <w:szCs w:val="26"/>
                <w:rtl/>
              </w:rPr>
              <w:t>זומן</w:t>
            </w:r>
            <w:r>
              <w:rPr>
                <w:rFonts w:cs="David"/>
                <w:sz w:val="26"/>
                <w:szCs w:val="26"/>
                <w:rtl/>
              </w:rPr>
              <w:t xml:space="preserve"> </w:t>
            </w:r>
            <w:r>
              <w:rPr>
                <w:rFonts w:cs="David" w:hint="eastAsia"/>
                <w:sz w:val="26"/>
                <w:szCs w:val="26"/>
                <w:rtl/>
              </w:rPr>
              <w:t>נושא</w:t>
            </w:r>
            <w:r>
              <w:rPr>
                <w:rFonts w:cs="David"/>
                <w:sz w:val="26"/>
                <w:szCs w:val="26"/>
                <w:rtl/>
              </w:rPr>
              <w:t xml:space="preserve"> משרה או ממלא תפקיד כאמור ולא עשה כן, ולא הראה טעם צודק לכך – </w:t>
            </w:r>
          </w:p>
          <w:p w:rsidR="00372B7D" w:rsidRPr="00530768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</w:p>
        </w:tc>
      </w:tr>
      <w:tr w:rsidR="00372B7D">
        <w:tc>
          <w:tcPr>
            <w:tcW w:w="1163" w:type="dxa"/>
          </w:tcPr>
          <w:p w:rsidR="00372B7D" w:rsidRDefault="00372B7D" w:rsidP="00530768">
            <w:pPr>
              <w:rPr>
                <w:rFonts w:cs="David"/>
                <w:sz w:val="26"/>
                <w:szCs w:val="26"/>
              </w:rPr>
            </w:pPr>
          </w:p>
        </w:tc>
        <w:tc>
          <w:tcPr>
            <w:tcW w:w="550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567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567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(1)</w:t>
            </w:r>
          </w:p>
        </w:tc>
        <w:tc>
          <w:tcPr>
            <w:tcW w:w="5573" w:type="dxa"/>
          </w:tcPr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בפעם</w:t>
            </w:r>
            <w:r>
              <w:rPr>
                <w:rFonts w:cs="David"/>
                <w:sz w:val="26"/>
                <w:szCs w:val="26"/>
                <w:rtl/>
              </w:rPr>
              <w:t xml:space="preserve"> הראשונה בתוך תקופת כהונתה של </w:t>
            </w:r>
            <w:r>
              <w:rPr>
                <w:rFonts w:cs="David" w:hint="eastAsia"/>
                <w:sz w:val="26"/>
                <w:szCs w:val="26"/>
                <w:rtl/>
              </w:rPr>
              <w:t>כנסת</w:t>
            </w:r>
            <w:r>
              <w:rPr>
                <w:rFonts w:cs="David"/>
                <w:sz w:val="26"/>
                <w:szCs w:val="26"/>
                <w:rtl/>
              </w:rPr>
              <w:t xml:space="preserve"> – יוזהר על ידי יושב ראש הוועדה אליה זומן, אשר יודיע על כך לממונה; הממונה </w:t>
            </w:r>
            <w:r>
              <w:rPr>
                <w:rFonts w:cs="David" w:hint="eastAsia"/>
                <w:sz w:val="26"/>
                <w:szCs w:val="26"/>
                <w:rtl/>
              </w:rPr>
              <w:t>יודיע</w:t>
            </w:r>
            <w:r>
              <w:rPr>
                <w:rFonts w:cs="David"/>
                <w:sz w:val="26"/>
                <w:szCs w:val="26"/>
                <w:rtl/>
              </w:rPr>
              <w:t xml:space="preserve"> ליושב ראש הוועדה על הצעדים המשמעתיים שנקט בהם באותו ענין;</w:t>
            </w:r>
          </w:p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</w:p>
        </w:tc>
      </w:tr>
      <w:tr w:rsidR="00372B7D">
        <w:tc>
          <w:tcPr>
            <w:tcW w:w="1163" w:type="dxa"/>
          </w:tcPr>
          <w:p w:rsidR="00372B7D" w:rsidRDefault="00372B7D" w:rsidP="00530768">
            <w:pPr>
              <w:rPr>
                <w:rFonts w:cs="David"/>
                <w:sz w:val="26"/>
                <w:szCs w:val="26"/>
              </w:rPr>
            </w:pPr>
          </w:p>
        </w:tc>
        <w:tc>
          <w:tcPr>
            <w:tcW w:w="550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567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</w:p>
        </w:tc>
        <w:tc>
          <w:tcPr>
            <w:tcW w:w="567" w:type="dxa"/>
          </w:tcPr>
          <w:p w:rsidR="00372B7D" w:rsidRDefault="00372B7D" w:rsidP="00530768">
            <w:pPr>
              <w:spacing w:line="360" w:lineRule="auto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(2)</w:t>
            </w:r>
          </w:p>
        </w:tc>
        <w:tc>
          <w:tcPr>
            <w:tcW w:w="5573" w:type="dxa"/>
          </w:tcPr>
          <w:p w:rsidR="00372B7D" w:rsidRDefault="00372B7D" w:rsidP="00530768">
            <w:pPr>
              <w:spacing w:line="360" w:lineRule="auto"/>
              <w:jc w:val="both"/>
              <w:rPr>
                <w:rFonts w:cs="David" w:hint="cs"/>
                <w:sz w:val="26"/>
                <w:szCs w:val="26"/>
              </w:rPr>
            </w:pPr>
            <w:r>
              <w:rPr>
                <w:rFonts w:cs="David" w:hint="eastAsia"/>
                <w:sz w:val="26"/>
                <w:szCs w:val="26"/>
                <w:rtl/>
              </w:rPr>
              <w:t>בכל</w:t>
            </w:r>
            <w:r>
              <w:rPr>
                <w:rFonts w:cs="David"/>
                <w:sz w:val="26"/>
                <w:szCs w:val="26"/>
                <w:rtl/>
              </w:rPr>
              <w:t xml:space="preserve"> פעם נוספת בתוך תקופת כהונתה של </w:t>
            </w:r>
            <w:r>
              <w:rPr>
                <w:rFonts w:cs="David" w:hint="eastAsia"/>
                <w:sz w:val="26"/>
                <w:szCs w:val="26"/>
                <w:rtl/>
              </w:rPr>
              <w:t>אותה</w:t>
            </w:r>
            <w:r>
              <w:rPr>
                <w:rFonts w:cs="David"/>
                <w:sz w:val="26"/>
                <w:szCs w:val="26"/>
                <w:rtl/>
              </w:rPr>
              <w:t xml:space="preserve"> כנסת, דינו – הקנס הקבוע בסעיף 61(א)(1) לחוק העונשין, התשל"</w:t>
            </w:r>
            <w:r>
              <w:rPr>
                <w:rFonts w:cs="David" w:hint="eastAsia"/>
                <w:sz w:val="26"/>
                <w:szCs w:val="26"/>
                <w:rtl/>
              </w:rPr>
              <w:t>ז</w:t>
            </w:r>
            <w:r>
              <w:rPr>
                <w:rFonts w:cs="David"/>
                <w:sz w:val="26"/>
                <w:szCs w:val="26"/>
                <w:rtl/>
              </w:rPr>
              <w:t>-1977</w:t>
            </w:r>
            <w:r>
              <w:rPr>
                <w:rStyle w:val="a7"/>
                <w:rFonts w:cs="David"/>
                <w:sz w:val="26"/>
                <w:szCs w:val="26"/>
                <w:rtl/>
              </w:rPr>
              <w:footnoteReference w:id="2"/>
            </w:r>
            <w:r>
              <w:rPr>
                <w:rFonts w:cs="David"/>
                <w:sz w:val="26"/>
                <w:szCs w:val="26"/>
                <w:rtl/>
              </w:rPr>
              <w:t>;</w:t>
            </w:r>
            <w:r>
              <w:rPr>
                <w:rFonts w:cs="David" w:hint="cs"/>
                <w:sz w:val="26"/>
                <w:szCs w:val="26"/>
                <w:rtl/>
              </w:rPr>
              <w:t>".</w:t>
            </w:r>
          </w:p>
          <w:p w:rsidR="00372B7D" w:rsidRDefault="00372B7D" w:rsidP="00530768">
            <w:pPr>
              <w:spacing w:line="360" w:lineRule="auto"/>
              <w:jc w:val="both"/>
              <w:rPr>
                <w:rFonts w:cs="David"/>
                <w:sz w:val="26"/>
                <w:szCs w:val="26"/>
              </w:rPr>
            </w:pPr>
          </w:p>
        </w:tc>
      </w:tr>
    </w:tbl>
    <w:p w:rsidR="00372B7D" w:rsidRDefault="00372B7D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</w:p>
    <w:p w:rsidR="00372B7D" w:rsidRDefault="00372B7D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</w:p>
    <w:p w:rsidR="00530768" w:rsidRDefault="00530768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</w:p>
    <w:p w:rsidR="00530768" w:rsidRDefault="00530768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</w:p>
    <w:p w:rsidR="00372B7D" w:rsidRDefault="00372B7D" w:rsidP="00530768">
      <w:pPr>
        <w:spacing w:line="360" w:lineRule="auto"/>
        <w:jc w:val="center"/>
        <w:rPr>
          <w:rFonts w:cs="David"/>
          <w:sz w:val="26"/>
          <w:szCs w:val="26"/>
          <w:rtl/>
        </w:rPr>
      </w:pPr>
      <w:r>
        <w:rPr>
          <w:rFonts w:cs="David" w:hint="eastAsia"/>
          <w:b/>
          <w:bCs/>
          <w:sz w:val="28"/>
          <w:szCs w:val="28"/>
          <w:u w:val="single"/>
          <w:rtl/>
        </w:rPr>
        <w:t>דברי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- הסבר</w:t>
      </w:r>
    </w:p>
    <w:p w:rsidR="00530768" w:rsidRDefault="00530768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</w:p>
    <w:p w:rsidR="00372B7D" w:rsidRDefault="00372B7D" w:rsidP="00530768">
      <w:p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eastAsia"/>
          <w:sz w:val="26"/>
          <w:szCs w:val="26"/>
          <w:rtl/>
        </w:rPr>
        <w:t>ועדות</w:t>
      </w:r>
      <w:r>
        <w:rPr>
          <w:rFonts w:cs="David"/>
          <w:sz w:val="26"/>
          <w:szCs w:val="26"/>
          <w:rtl/>
        </w:rPr>
        <w:t xml:space="preserve"> הכנסת הן כלי הפיקוח הפרלמנטרי </w:t>
      </w:r>
      <w:r>
        <w:rPr>
          <w:rFonts w:cs="David" w:hint="eastAsia"/>
          <w:sz w:val="26"/>
          <w:szCs w:val="26"/>
          <w:rtl/>
        </w:rPr>
        <w:t>החשוב</w:t>
      </w:r>
      <w:r>
        <w:rPr>
          <w:rFonts w:cs="David"/>
          <w:sz w:val="26"/>
          <w:szCs w:val="26"/>
          <w:rtl/>
        </w:rPr>
        <w:t xml:space="preserve">  </w:t>
      </w:r>
      <w:r>
        <w:rPr>
          <w:rFonts w:cs="David" w:hint="eastAsia"/>
          <w:sz w:val="26"/>
          <w:szCs w:val="26"/>
          <w:rtl/>
        </w:rPr>
        <w:t>ביותר</w:t>
      </w:r>
      <w:r>
        <w:rPr>
          <w:rFonts w:cs="David"/>
          <w:sz w:val="26"/>
          <w:szCs w:val="26"/>
          <w:rtl/>
        </w:rPr>
        <w:t xml:space="preserve"> על התנהלות הממשלה על כל </w:t>
      </w:r>
      <w:r>
        <w:rPr>
          <w:rFonts w:cs="David" w:hint="eastAsia"/>
          <w:sz w:val="26"/>
          <w:szCs w:val="26"/>
          <w:rtl/>
        </w:rPr>
        <w:t>שלוחותיה</w:t>
      </w:r>
      <w:r>
        <w:rPr>
          <w:rFonts w:cs="David"/>
          <w:sz w:val="26"/>
          <w:szCs w:val="26"/>
          <w:rtl/>
        </w:rPr>
        <w:t>, כולל מערכת הביטחון.</w:t>
      </w:r>
    </w:p>
    <w:p w:rsidR="00372B7D" w:rsidRDefault="00372B7D" w:rsidP="00530768">
      <w:p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eastAsia"/>
          <w:sz w:val="26"/>
          <w:szCs w:val="26"/>
          <w:rtl/>
        </w:rPr>
        <w:t>כדי</w:t>
      </w:r>
      <w:r>
        <w:rPr>
          <w:rFonts w:cs="David"/>
          <w:sz w:val="26"/>
          <w:szCs w:val="26"/>
          <w:rtl/>
        </w:rPr>
        <w:t xml:space="preserve"> לבצע את עבודת הפיקוח באפקטיביות </w:t>
      </w:r>
      <w:r>
        <w:rPr>
          <w:rFonts w:cs="David" w:hint="eastAsia"/>
          <w:sz w:val="26"/>
          <w:szCs w:val="26"/>
          <w:rtl/>
        </w:rPr>
        <w:t>מלאה</w:t>
      </w:r>
      <w:r>
        <w:rPr>
          <w:rFonts w:cs="David"/>
          <w:sz w:val="26"/>
          <w:szCs w:val="26"/>
          <w:rtl/>
        </w:rPr>
        <w:t xml:space="preserve"> חייבות ועדות הכנסת לשמוע באופן שוטף ולפי מידת הצורך דיווח מפי נושאי </w:t>
      </w:r>
      <w:r>
        <w:rPr>
          <w:rFonts w:cs="David" w:hint="eastAsia"/>
          <w:sz w:val="26"/>
          <w:szCs w:val="26"/>
          <w:rtl/>
        </w:rPr>
        <w:t>המשרות</w:t>
      </w:r>
      <w:r>
        <w:rPr>
          <w:rFonts w:cs="David"/>
          <w:sz w:val="26"/>
          <w:szCs w:val="26"/>
          <w:rtl/>
        </w:rPr>
        <w:t>.</w:t>
      </w:r>
    </w:p>
    <w:p w:rsidR="00372B7D" w:rsidRDefault="00372B7D" w:rsidP="00530768">
      <w:p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eastAsia"/>
          <w:sz w:val="26"/>
          <w:szCs w:val="26"/>
          <w:rtl/>
        </w:rPr>
        <w:t>עד</w:t>
      </w:r>
      <w:r>
        <w:rPr>
          <w:rFonts w:cs="David"/>
          <w:sz w:val="26"/>
          <w:szCs w:val="26"/>
          <w:rtl/>
        </w:rPr>
        <w:t xml:space="preserve"> עתה</w:t>
      </w:r>
      <w:r w:rsidR="00530768">
        <w:rPr>
          <w:rFonts w:cs="David" w:hint="cs"/>
          <w:sz w:val="26"/>
          <w:szCs w:val="26"/>
          <w:rtl/>
        </w:rPr>
        <w:t>,</w:t>
      </w:r>
      <w:r>
        <w:rPr>
          <w:rFonts w:cs="David"/>
          <w:sz w:val="26"/>
          <w:szCs w:val="26"/>
          <w:rtl/>
        </w:rPr>
        <w:t xml:space="preserve"> חוק</w:t>
      </w:r>
      <w:r w:rsidR="00530768">
        <w:rPr>
          <w:rFonts w:cs="David" w:hint="cs"/>
          <w:sz w:val="26"/>
          <w:szCs w:val="26"/>
          <w:rtl/>
        </w:rPr>
        <w:t>-</w:t>
      </w:r>
      <w:r>
        <w:rPr>
          <w:rFonts w:cs="David"/>
          <w:sz w:val="26"/>
          <w:szCs w:val="26"/>
          <w:rtl/>
        </w:rPr>
        <w:t>יסוד</w:t>
      </w:r>
      <w:r w:rsidR="00530768">
        <w:rPr>
          <w:rFonts w:cs="David" w:hint="cs"/>
          <w:sz w:val="26"/>
          <w:szCs w:val="26"/>
          <w:rtl/>
        </w:rPr>
        <w:t>:</w:t>
      </w:r>
      <w:r>
        <w:rPr>
          <w:rFonts w:cs="David"/>
          <w:sz w:val="26"/>
          <w:szCs w:val="26"/>
          <w:rtl/>
        </w:rPr>
        <w:t xml:space="preserve"> הכנסת ותקנון הכנסת </w:t>
      </w:r>
      <w:r>
        <w:rPr>
          <w:rFonts w:cs="David" w:hint="eastAsia"/>
          <w:sz w:val="26"/>
          <w:szCs w:val="26"/>
          <w:rtl/>
        </w:rPr>
        <w:t>לא</w:t>
      </w:r>
      <w:r>
        <w:rPr>
          <w:rFonts w:cs="David"/>
          <w:sz w:val="26"/>
          <w:szCs w:val="26"/>
          <w:rtl/>
        </w:rPr>
        <w:t xml:space="preserve"> קבעו סנקציות ברורות לנושאי משרות אשר מתחמקים או מסרבים לתת דיווח לוועדות </w:t>
      </w:r>
      <w:r>
        <w:rPr>
          <w:rFonts w:cs="David" w:hint="eastAsia"/>
          <w:sz w:val="26"/>
          <w:szCs w:val="26"/>
          <w:rtl/>
        </w:rPr>
        <w:t>הכנסת</w:t>
      </w:r>
      <w:r>
        <w:rPr>
          <w:rFonts w:cs="David"/>
          <w:sz w:val="26"/>
          <w:szCs w:val="26"/>
          <w:rtl/>
        </w:rPr>
        <w:t xml:space="preserve">, ולכן התנהלות זו בוצעה על פי נוהג.  </w:t>
      </w:r>
      <w:r>
        <w:rPr>
          <w:rFonts w:cs="David" w:hint="eastAsia"/>
          <w:sz w:val="26"/>
          <w:szCs w:val="26"/>
          <w:rtl/>
        </w:rPr>
        <w:t>כך</w:t>
      </w:r>
      <w:r>
        <w:rPr>
          <w:rFonts w:cs="David"/>
          <w:sz w:val="26"/>
          <w:szCs w:val="26"/>
          <w:rtl/>
        </w:rPr>
        <w:t xml:space="preserve"> נוצר מצב שבו בידי נושאי המשרות הממשלתיות ומערכת הביטחון ניתנה האפשרות </w:t>
      </w:r>
      <w:r>
        <w:rPr>
          <w:rFonts w:cs="David" w:hint="eastAsia"/>
          <w:sz w:val="26"/>
          <w:szCs w:val="26"/>
          <w:rtl/>
        </w:rPr>
        <w:t>להתחמק</w:t>
      </w:r>
      <w:r>
        <w:rPr>
          <w:rFonts w:cs="David"/>
          <w:sz w:val="26"/>
          <w:szCs w:val="26"/>
          <w:rtl/>
        </w:rPr>
        <w:t xml:space="preserve"> ממתן דיווח או עדות בפני ועדות הכנסת.</w:t>
      </w:r>
    </w:p>
    <w:p w:rsidR="00372B7D" w:rsidRDefault="00372B7D" w:rsidP="00530768">
      <w:p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eastAsia"/>
          <w:sz w:val="26"/>
          <w:szCs w:val="26"/>
          <w:rtl/>
        </w:rPr>
        <w:t>חוק</w:t>
      </w:r>
      <w:r>
        <w:rPr>
          <w:rFonts w:cs="David"/>
          <w:sz w:val="26"/>
          <w:szCs w:val="26"/>
          <w:rtl/>
        </w:rPr>
        <w:t xml:space="preserve"> זה מבקש להעניק משנה תוקף לסמכותן </w:t>
      </w:r>
      <w:r>
        <w:rPr>
          <w:rFonts w:cs="David" w:hint="eastAsia"/>
          <w:sz w:val="26"/>
          <w:szCs w:val="26"/>
          <w:rtl/>
        </w:rPr>
        <w:t>של</w:t>
      </w:r>
      <w:r>
        <w:rPr>
          <w:rFonts w:cs="David"/>
          <w:sz w:val="26"/>
          <w:szCs w:val="26"/>
          <w:rtl/>
        </w:rPr>
        <w:t xml:space="preserve"> ועדות הכנסת על מנת שיוכלו לדרוש מידע באופן שוטף מכל משרדי  </w:t>
      </w:r>
      <w:r>
        <w:rPr>
          <w:rFonts w:cs="David" w:hint="eastAsia"/>
          <w:sz w:val="26"/>
          <w:szCs w:val="26"/>
          <w:rtl/>
        </w:rPr>
        <w:t>הממשלה</w:t>
      </w:r>
      <w:r>
        <w:rPr>
          <w:rFonts w:cs="David"/>
          <w:sz w:val="26"/>
          <w:szCs w:val="26"/>
          <w:rtl/>
        </w:rPr>
        <w:t xml:space="preserve"> ומערכת הביטחון וכך יוכלו לבצע את </w:t>
      </w:r>
      <w:r>
        <w:rPr>
          <w:rFonts w:cs="David" w:hint="eastAsia"/>
          <w:sz w:val="26"/>
          <w:szCs w:val="26"/>
          <w:rtl/>
        </w:rPr>
        <w:t>עבודתן</w:t>
      </w:r>
      <w:r>
        <w:rPr>
          <w:rFonts w:cs="David"/>
          <w:sz w:val="26"/>
          <w:szCs w:val="26"/>
          <w:rtl/>
        </w:rPr>
        <w:t xml:space="preserve"> ביעילות מרבית.</w:t>
      </w:r>
    </w:p>
    <w:p w:rsidR="00372B7D" w:rsidRDefault="00372B7D" w:rsidP="00530768">
      <w:p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eastAsia"/>
          <w:sz w:val="26"/>
          <w:szCs w:val="26"/>
          <w:rtl/>
        </w:rPr>
        <w:t>הסנקציות</w:t>
      </w:r>
      <w:r>
        <w:rPr>
          <w:rFonts w:cs="David"/>
          <w:sz w:val="26"/>
          <w:szCs w:val="26"/>
          <w:rtl/>
        </w:rPr>
        <w:t xml:space="preserve"> הקבועות בהצעת חוק זו ירתיעו </w:t>
      </w:r>
      <w:r>
        <w:rPr>
          <w:rFonts w:cs="David" w:hint="eastAsia"/>
          <w:sz w:val="26"/>
          <w:szCs w:val="26"/>
          <w:rtl/>
        </w:rPr>
        <w:t>או</w:t>
      </w:r>
      <w:r>
        <w:rPr>
          <w:rFonts w:cs="David"/>
          <w:sz w:val="26"/>
          <w:szCs w:val="26"/>
          <w:rtl/>
        </w:rPr>
        <w:t xml:space="preserve"> ממלאי המשרות, ויחייבו אותם לשתף פעולה עם ועדות הכנסת.</w:t>
      </w:r>
    </w:p>
    <w:p w:rsidR="00372B7D" w:rsidRDefault="00372B7D" w:rsidP="00530768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372B7D" w:rsidRDefault="00372B7D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  <w:r>
        <w:rPr>
          <w:rFonts w:cs="David" w:hint="eastAsia"/>
          <w:sz w:val="26"/>
          <w:szCs w:val="26"/>
          <w:rtl/>
        </w:rPr>
        <w:t>הצע</w:t>
      </w:r>
      <w:r>
        <w:rPr>
          <w:rFonts w:cs="David" w:hint="cs"/>
          <w:sz w:val="26"/>
          <w:szCs w:val="26"/>
          <w:rtl/>
        </w:rPr>
        <w:t>ו</w:t>
      </w:r>
      <w:r>
        <w:rPr>
          <w:rFonts w:cs="David" w:hint="eastAsia"/>
          <w:sz w:val="26"/>
          <w:szCs w:val="26"/>
          <w:rtl/>
        </w:rPr>
        <w:t>ת</w:t>
      </w:r>
      <w:r>
        <w:rPr>
          <w:rFonts w:cs="David"/>
          <w:sz w:val="26"/>
          <w:szCs w:val="26"/>
          <w:rtl/>
        </w:rPr>
        <w:t xml:space="preserve"> חוק זה</w:t>
      </w:r>
      <w:r>
        <w:rPr>
          <w:rFonts w:cs="David" w:hint="cs"/>
          <w:sz w:val="26"/>
          <w:szCs w:val="26"/>
          <w:rtl/>
        </w:rPr>
        <w:t>ות</w:t>
      </w:r>
      <w:r>
        <w:rPr>
          <w:rFonts w:cs="David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הונח</w:t>
      </w:r>
      <w:r w:rsidR="00530768">
        <w:rPr>
          <w:rFonts w:cs="David" w:hint="cs"/>
          <w:sz w:val="26"/>
          <w:szCs w:val="26"/>
          <w:rtl/>
        </w:rPr>
        <w:t>ו על שולחן הכנסת החמש-עשרה והשש-</w:t>
      </w:r>
      <w:r>
        <w:rPr>
          <w:rFonts w:cs="David" w:hint="cs"/>
          <w:sz w:val="26"/>
          <w:szCs w:val="26"/>
          <w:rtl/>
        </w:rPr>
        <w:t xml:space="preserve">עשרה על ידי חבר הכנסת </w:t>
      </w:r>
      <w:r>
        <w:rPr>
          <w:rFonts w:cs="David"/>
          <w:sz w:val="26"/>
          <w:szCs w:val="26"/>
          <w:rtl/>
        </w:rPr>
        <w:t xml:space="preserve">צבי הנדל </w:t>
      </w:r>
      <w:r w:rsidR="00530768">
        <w:rPr>
          <w:rFonts w:cs="David" w:hint="cs"/>
          <w:sz w:val="26"/>
          <w:szCs w:val="26"/>
          <w:rtl/>
        </w:rPr>
        <w:t>(</w:t>
      </w:r>
      <w:r>
        <w:rPr>
          <w:rFonts w:cs="David" w:hint="cs"/>
          <w:sz w:val="26"/>
          <w:szCs w:val="26"/>
          <w:rtl/>
        </w:rPr>
        <w:t>פ/</w:t>
      </w:r>
      <w:r>
        <w:rPr>
          <w:rFonts w:cs="David"/>
          <w:sz w:val="26"/>
          <w:szCs w:val="26"/>
          <w:rtl/>
        </w:rPr>
        <w:t>4212</w:t>
      </w:r>
      <w:r>
        <w:rPr>
          <w:rFonts w:cs="David" w:hint="cs"/>
          <w:sz w:val="26"/>
          <w:szCs w:val="26"/>
          <w:rtl/>
        </w:rPr>
        <w:t xml:space="preserve"> ו</w:t>
      </w:r>
      <w:r w:rsidR="00530768">
        <w:rPr>
          <w:rFonts w:cs="David" w:hint="cs"/>
          <w:sz w:val="26"/>
          <w:szCs w:val="26"/>
          <w:rtl/>
        </w:rPr>
        <w:t>-</w:t>
      </w:r>
      <w:r>
        <w:rPr>
          <w:rFonts w:cs="David" w:hint="cs"/>
          <w:sz w:val="26"/>
          <w:szCs w:val="26"/>
          <w:rtl/>
        </w:rPr>
        <w:t>פ/ 2587</w:t>
      </w:r>
      <w:r w:rsidR="00530768">
        <w:rPr>
          <w:rFonts w:cs="David" w:hint="cs"/>
          <w:sz w:val="26"/>
          <w:szCs w:val="26"/>
          <w:rtl/>
        </w:rPr>
        <w:t>, בהתאמה)</w:t>
      </w:r>
      <w:r>
        <w:rPr>
          <w:rFonts w:cs="David" w:hint="cs"/>
          <w:sz w:val="26"/>
          <w:szCs w:val="26"/>
          <w:rtl/>
        </w:rPr>
        <w:t>.</w:t>
      </w:r>
    </w:p>
    <w:p w:rsidR="00372B7D" w:rsidRDefault="00372B7D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</w:p>
    <w:p w:rsidR="00372B7D" w:rsidRDefault="00372B7D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</w:p>
    <w:p w:rsidR="00372B7D" w:rsidRDefault="00372B7D" w:rsidP="00530768">
      <w:pPr>
        <w:spacing w:line="360" w:lineRule="auto"/>
        <w:jc w:val="both"/>
        <w:rPr>
          <w:rFonts w:cs="David" w:hint="cs"/>
          <w:sz w:val="26"/>
          <w:szCs w:val="26"/>
          <w:rtl/>
        </w:rPr>
      </w:pPr>
    </w:p>
    <w:p w:rsidR="00372B7D" w:rsidRDefault="00372B7D" w:rsidP="00530768">
      <w:pPr>
        <w:spacing w:line="360" w:lineRule="auto"/>
        <w:jc w:val="both"/>
        <w:rPr>
          <w:rFonts w:hint="cs"/>
          <w:rtl/>
        </w:rPr>
      </w:pPr>
    </w:p>
    <w:p w:rsidR="00372B7D" w:rsidRDefault="00372B7D" w:rsidP="00530768">
      <w:pPr>
        <w:spacing w:line="360" w:lineRule="auto"/>
        <w:jc w:val="both"/>
        <w:rPr>
          <w:rFonts w:cs="David" w:hint="cs"/>
          <w:sz w:val="28"/>
          <w:szCs w:val="26"/>
          <w:rtl/>
        </w:rPr>
      </w:pPr>
    </w:p>
    <w:p w:rsidR="00372B7D" w:rsidRDefault="00372B7D" w:rsidP="00530768">
      <w:pPr>
        <w:spacing w:line="360" w:lineRule="auto"/>
        <w:jc w:val="both"/>
        <w:rPr>
          <w:rFonts w:cs="David"/>
          <w:sz w:val="28"/>
          <w:szCs w:val="26"/>
          <w:rtl/>
        </w:rPr>
      </w:pPr>
      <w:r>
        <w:rPr>
          <w:rFonts w:cs="David"/>
          <w:sz w:val="28"/>
          <w:szCs w:val="26"/>
          <w:rtl/>
        </w:rPr>
        <w:t>---------------------------------</w:t>
      </w:r>
    </w:p>
    <w:p w:rsidR="00372B7D" w:rsidRDefault="00BF513F" w:rsidP="00530768">
      <w:pPr>
        <w:spacing w:line="360" w:lineRule="auto"/>
        <w:jc w:val="both"/>
        <w:rPr>
          <w:rFonts w:cs="David" w:hint="cs"/>
          <w:sz w:val="28"/>
          <w:szCs w:val="26"/>
          <w:rtl/>
        </w:rPr>
      </w:pPr>
      <w:r>
        <w:rPr>
          <w:rFonts w:cs="David" w:hint="cs"/>
          <w:sz w:val="28"/>
          <w:szCs w:val="26"/>
          <w:rtl/>
        </w:rPr>
        <w:t>הוגשה ליו"ר הכנסת והסגנים</w:t>
      </w:r>
    </w:p>
    <w:p w:rsidR="00BF513F" w:rsidRDefault="00BF513F" w:rsidP="00530768">
      <w:pPr>
        <w:spacing w:line="360" w:lineRule="auto"/>
        <w:jc w:val="both"/>
        <w:rPr>
          <w:rFonts w:cs="David" w:hint="cs"/>
          <w:sz w:val="28"/>
          <w:szCs w:val="26"/>
          <w:rtl/>
        </w:rPr>
      </w:pPr>
      <w:r>
        <w:rPr>
          <w:rFonts w:cs="David" w:hint="cs"/>
          <w:sz w:val="28"/>
          <w:szCs w:val="26"/>
          <w:rtl/>
        </w:rPr>
        <w:t>והונחה על שולחן הכנסת ביום</w:t>
      </w:r>
    </w:p>
    <w:p w:rsidR="00BF513F" w:rsidRDefault="00BF513F" w:rsidP="00530768">
      <w:pPr>
        <w:spacing w:line="360" w:lineRule="auto"/>
        <w:jc w:val="both"/>
        <w:rPr>
          <w:rFonts w:cs="David" w:hint="cs"/>
          <w:sz w:val="28"/>
          <w:szCs w:val="26"/>
          <w:rtl/>
        </w:rPr>
      </w:pPr>
      <w:r>
        <w:rPr>
          <w:rFonts w:cs="David" w:hint="cs"/>
          <w:sz w:val="28"/>
          <w:szCs w:val="26"/>
          <w:rtl/>
        </w:rPr>
        <w:t>כ"ג בסיוון התשס"ו - 19.6.06</w:t>
      </w:r>
    </w:p>
    <w:p w:rsidR="00F96C0E" w:rsidRDefault="00F96C0E" w:rsidP="00530768">
      <w:pPr>
        <w:pStyle w:val="a3"/>
        <w:spacing w:line="360" w:lineRule="auto"/>
        <w:jc w:val="left"/>
        <w:rPr>
          <w:rFonts w:hint="cs"/>
          <w:u w:val="none"/>
        </w:rPr>
      </w:pPr>
    </w:p>
    <w:sectPr w:rsidR="00F96C0E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2F" w:rsidRDefault="00B6592F">
      <w:r>
        <w:separator/>
      </w:r>
    </w:p>
  </w:endnote>
  <w:endnote w:type="continuationSeparator" w:id="0">
    <w:p w:rsidR="00B6592F" w:rsidRDefault="00B6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2F" w:rsidRDefault="00B6592F">
      <w:r>
        <w:separator/>
      </w:r>
    </w:p>
  </w:footnote>
  <w:footnote w:type="continuationSeparator" w:id="0">
    <w:p w:rsidR="00B6592F" w:rsidRDefault="00B6592F">
      <w:r>
        <w:continuationSeparator/>
      </w:r>
    </w:p>
  </w:footnote>
  <w:footnote w:id="1">
    <w:p w:rsidR="00B6592F" w:rsidRPr="00530768" w:rsidRDefault="00B6592F" w:rsidP="00372B7D">
      <w:pPr>
        <w:pStyle w:val="a6"/>
        <w:rPr>
          <w:rFonts w:cs="David"/>
          <w:rtl/>
        </w:rPr>
      </w:pPr>
      <w:r w:rsidRPr="00530768">
        <w:rPr>
          <w:rStyle w:val="a7"/>
          <w:rFonts w:cs="David"/>
        </w:rPr>
        <w:footnoteRef/>
      </w:r>
      <w:r w:rsidRPr="00530768">
        <w:rPr>
          <w:rFonts w:cs="David"/>
        </w:rPr>
        <w:t xml:space="preserve"> </w:t>
      </w:r>
      <w:r w:rsidRPr="00530768">
        <w:rPr>
          <w:rFonts w:cs="David"/>
          <w:rtl/>
        </w:rPr>
        <w:t xml:space="preserve"> </w:t>
      </w:r>
      <w:r w:rsidRPr="00530768">
        <w:rPr>
          <w:rFonts w:cs="David" w:hint="eastAsia"/>
          <w:rtl/>
        </w:rPr>
        <w:t>ס</w:t>
      </w:r>
      <w:r w:rsidRPr="00530768">
        <w:rPr>
          <w:rFonts w:cs="David"/>
          <w:rtl/>
        </w:rPr>
        <w:t>"</w:t>
      </w:r>
      <w:r w:rsidRPr="00530768">
        <w:rPr>
          <w:rFonts w:cs="David" w:hint="eastAsia"/>
          <w:rtl/>
        </w:rPr>
        <w:t>ח</w:t>
      </w:r>
      <w:r w:rsidRPr="00530768">
        <w:rPr>
          <w:rFonts w:cs="David"/>
          <w:rtl/>
        </w:rPr>
        <w:t xml:space="preserve"> התשי"</w:t>
      </w:r>
      <w:r w:rsidRPr="00530768">
        <w:rPr>
          <w:rFonts w:cs="David" w:hint="eastAsia"/>
          <w:rtl/>
        </w:rPr>
        <w:t>ח</w:t>
      </w:r>
      <w:r w:rsidRPr="00530768">
        <w:rPr>
          <w:rFonts w:cs="David"/>
          <w:rtl/>
        </w:rPr>
        <w:t xml:space="preserve">, עמ' 69. </w:t>
      </w:r>
    </w:p>
  </w:footnote>
  <w:footnote w:id="2">
    <w:p w:rsidR="00B6592F" w:rsidRPr="00530768" w:rsidRDefault="00B6592F" w:rsidP="00372B7D">
      <w:pPr>
        <w:pStyle w:val="a6"/>
        <w:rPr>
          <w:rFonts w:cs="David" w:hint="cs"/>
          <w:rtl/>
        </w:rPr>
      </w:pPr>
      <w:r w:rsidRPr="00530768">
        <w:rPr>
          <w:rStyle w:val="a7"/>
          <w:rFonts w:cs="David"/>
        </w:rPr>
        <w:footnoteRef/>
      </w:r>
      <w:r w:rsidRPr="00530768">
        <w:rPr>
          <w:rFonts w:cs="David"/>
        </w:rPr>
        <w:t xml:space="preserve"> </w:t>
      </w:r>
      <w:r w:rsidRPr="00530768">
        <w:rPr>
          <w:rFonts w:cs="David"/>
          <w:rtl/>
        </w:rPr>
        <w:t xml:space="preserve"> </w:t>
      </w:r>
      <w:r w:rsidRPr="00530768">
        <w:rPr>
          <w:rFonts w:cs="David" w:hint="eastAsia"/>
          <w:rtl/>
        </w:rPr>
        <w:t>ס</w:t>
      </w:r>
      <w:r w:rsidRPr="00530768">
        <w:rPr>
          <w:rFonts w:cs="David"/>
          <w:rtl/>
        </w:rPr>
        <w:t>"</w:t>
      </w:r>
      <w:r w:rsidRPr="00530768">
        <w:rPr>
          <w:rFonts w:cs="David" w:hint="eastAsia"/>
          <w:rtl/>
        </w:rPr>
        <w:t>ח</w:t>
      </w:r>
      <w:r w:rsidRPr="00530768">
        <w:rPr>
          <w:rFonts w:cs="David"/>
          <w:rtl/>
        </w:rPr>
        <w:t xml:space="preserve"> התשל"</w:t>
      </w:r>
      <w:r w:rsidRPr="00530768">
        <w:rPr>
          <w:rFonts w:cs="David" w:hint="eastAsia"/>
          <w:rtl/>
        </w:rPr>
        <w:t>ז</w:t>
      </w:r>
      <w:r w:rsidRPr="00530768">
        <w:rPr>
          <w:rFonts w:cs="David"/>
          <w:rtl/>
        </w:rPr>
        <w:t xml:space="preserve">, עמ' </w:t>
      </w:r>
      <w:r w:rsidRPr="00530768">
        <w:rPr>
          <w:rFonts w:cs="David" w:hint="cs"/>
          <w:rtl/>
        </w:rPr>
        <w:t>226.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92F" w:rsidRDefault="00B6592F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B6592F" w:rsidRDefault="00B6592F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92F" w:rsidRDefault="00B6592F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2869B9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B6592F" w:rsidRDefault="00B6592F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136268צבי הנדל - חוק יסוד הכנסת התייצבות לפני וועדות.doc"/>
    <w:docVar w:name="StartMode" w:val="2"/>
  </w:docVars>
  <w:rsids>
    <w:rsidRoot w:val="00CA5061"/>
    <w:rsid w:val="002869B9"/>
    <w:rsid w:val="00372B7D"/>
    <w:rsid w:val="00530768"/>
    <w:rsid w:val="00AD752C"/>
    <w:rsid w:val="00B6592F"/>
    <w:rsid w:val="00B87A73"/>
    <w:rsid w:val="00BF513F"/>
    <w:rsid w:val="00CA5061"/>
    <w:rsid w:val="00CB1775"/>
    <w:rsid w:val="00CE5565"/>
    <w:rsid w:val="00E25C0A"/>
    <w:rsid w:val="00F25101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311F02-32E1-4F1D-9F49-2F0F9E8C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David"/>
      <w:b/>
      <w:bCs/>
      <w:sz w:val="28"/>
      <w:szCs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rsid w:val="00372B7D"/>
    <w:rPr>
      <w:sz w:val="20"/>
      <w:szCs w:val="20"/>
    </w:rPr>
  </w:style>
  <w:style w:type="character" w:styleId="a7">
    <w:name w:val="footnote reference"/>
    <w:basedOn w:val="a0"/>
    <w:semiHidden/>
    <w:rsid w:val="00372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C6B84-1BCD-4106-BF9D-8E6B8F55640C}"/>
</file>

<file path=customXml/itemProps2.xml><?xml version="1.0" encoding="utf-8"?>
<ds:datastoreItem xmlns:ds="http://schemas.openxmlformats.org/officeDocument/2006/customXml" ds:itemID="{D6D48215-7E8E-4698-AE2D-ADC1FE87766B}"/>
</file>

<file path=customXml/itemProps3.xml><?xml version="1.0" encoding="utf-8"?>
<ds:datastoreItem xmlns:ds="http://schemas.openxmlformats.org/officeDocument/2006/customXml" ds:itemID="{3A5DBD01-0AB1-4985-B237-DC6492B28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חוק יסוד: הכנסת  (תיקון - התייצבות לפני הוועדות)</vt:lpstr>
    </vt:vector>
  </TitlesOfParts>
  <Company>knesset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חוק יסוד: הכנסת  (תיקון - התייצבות לפני הוועדות)</dc:title>
  <dc:subject/>
  <dc:creator>Knesset</dc:creator>
  <cp:keywords/>
  <dc:description/>
  <cp:lastModifiedBy>אינדה נובומינסקי</cp:lastModifiedBy>
  <cp:revision>2</cp:revision>
  <cp:lastPrinted>1601-01-01T00:00:00Z</cp:lastPrinted>
  <dcterms:created xsi:type="dcterms:W3CDTF">2020-12-03T10:33:00Z</dcterms:created>
  <dcterms:modified xsi:type="dcterms:W3CDTF">2020-12-03T10:33:00Z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dTemplate">
    <vt:i4>129</vt:i4>
  </property>
  <property fmtid="{D5CDD505-2E9C-101B-9397-08002B2CF9AE}" pid="3" name="Nose">
    <vt:lpwstr>':הלשכה המשפטית:חקיקה - נוסח:1.טיוטה לטרומית'_x000d_
</vt:lpwstr>
  </property>
  <property fmtid="{D5CDD505-2E9C-101B-9397-08002B2CF9AE}" pid="4" name="Tizkoret">
    <vt:lpwstr/>
  </property>
  <property fmtid="{D5CDD505-2E9C-101B-9397-08002B2CF9AE}" pid="5" name="סימוכין">
    <vt:i4>4583105</vt:i4>
  </property>
  <property fmtid="{D5CDD505-2E9C-101B-9397-08002B2CF9AE}" pid="6" name="תאריך המסמך">
    <vt:filetime>2005-04-03T00:00:00Z</vt:filetime>
  </property>
  <property fmtid="{D5CDD505-2E9C-101B-9397-08002B2CF9AE}" pid="7" name="ContentTypeId">
    <vt:lpwstr>0x0101003D6E9C754E1F7C4C891E9EE2E0AF8150</vt:lpwstr>
  </property>
  <property fmtid="{D5CDD505-2E9C-101B-9397-08002B2CF9AE}" pid="8" name="SanhedrinItemID">
    <vt:r8>136268</vt:r8>
  </property>
  <property fmtid="{D5CDD505-2E9C-101B-9397-08002B2CF9AE}" pid="9" name="SanhedrinDocumentType">
    <vt:r8>210</vt:r8>
  </property>
</Properties>
</file>