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E59C6">
      <w:pPr>
        <w:pStyle w:val="HeadHatzaotHok"/>
        <w:rPr>
          <w:rFonts w:cs="David"/>
          <w:sz w:val="28"/>
          <w:szCs w:val="28"/>
          <w:rtl/>
        </w:rPr>
      </w:pPr>
      <w:bookmarkStart w:id="0" w:name="_GoBack"/>
      <w:bookmarkEnd w:id="0"/>
      <w:r>
        <w:rPr>
          <w:rFonts w:cs="David"/>
          <w:sz w:val="28"/>
          <w:szCs w:val="28"/>
          <w:rtl/>
        </w:rPr>
        <w:t xml:space="preserve">הכנסת </w:t>
      </w:r>
      <w:bookmarkStart w:id="1" w:name="KnessetNum"/>
      <w:r>
        <w:rPr>
          <w:rFonts w:cs="David"/>
          <w:sz w:val="28"/>
          <w:szCs w:val="28"/>
          <w:rtl/>
        </w:rPr>
        <w:t>השמונה-עשרה</w:t>
      </w:r>
      <w:bookmarkEnd w:id="1"/>
    </w:p>
    <w:p w:rsidR="00000000" w:rsidRDefault="005E59C6">
      <w:pPr>
        <w:pStyle w:val="David"/>
        <w:ind w:left="2880" w:firstLine="720"/>
        <w:rPr>
          <w:rFonts w:cs="David"/>
          <w:b/>
          <w:bCs/>
        </w:rPr>
      </w:pPr>
      <w:r>
        <w:rPr>
          <w:rFonts w:cs="David" w:hint="cs"/>
          <w:rtl/>
        </w:rPr>
        <w:t>הצעת</w:t>
      </w:r>
      <w:r>
        <w:rPr>
          <w:rFonts w:cs="David"/>
          <w:rtl/>
        </w:rPr>
        <w:t xml:space="preserve"> </w:t>
      </w:r>
      <w:r>
        <w:rPr>
          <w:rFonts w:cs="David" w:hint="cs"/>
          <w:rtl/>
        </w:rPr>
        <w:t>חוק</w:t>
      </w:r>
      <w:r>
        <w:rPr>
          <w:rFonts w:cs="David"/>
          <w:rtl/>
        </w:rPr>
        <w:t xml:space="preserve"> </w:t>
      </w:r>
      <w:r>
        <w:rPr>
          <w:rFonts w:cs="David" w:hint="cs"/>
          <w:rtl/>
        </w:rPr>
        <w:t>של</w:t>
      </w:r>
      <w:r>
        <w:rPr>
          <w:rFonts w:cs="David"/>
          <w:rtl/>
        </w:rPr>
        <w:t xml:space="preserve">  </w:t>
      </w:r>
      <w:bookmarkStart w:id="2" w:name="MKsSingleOrMulti"/>
      <w:r>
        <w:rPr>
          <w:rFonts w:cs="David" w:hint="cs"/>
          <w:rtl/>
        </w:rPr>
        <w:t>חברי</w:t>
      </w:r>
      <w:r>
        <w:rPr>
          <w:rFonts w:cs="David"/>
          <w:rtl/>
        </w:rPr>
        <w:t xml:space="preserve"> </w:t>
      </w:r>
      <w:r>
        <w:rPr>
          <w:rFonts w:cs="David" w:hint="cs"/>
          <w:rtl/>
        </w:rPr>
        <w:t>הכנסת</w:t>
      </w:r>
      <w:bookmarkEnd w:id="2"/>
      <w:r>
        <w:rPr>
          <w:rFonts w:cs="David"/>
        </w:rPr>
        <w:tab/>
      </w:r>
      <w:r>
        <w:rPr>
          <w:rFonts w:cs="David"/>
        </w:rPr>
        <w:tab/>
      </w:r>
      <w:bookmarkStart w:id="3" w:name="MKs"/>
      <w:r>
        <w:rPr>
          <w:rFonts w:cs="David" w:hint="cs"/>
          <w:b/>
          <w:bCs/>
          <w:rtl/>
        </w:rPr>
        <w:t>יוחנן</w:t>
      </w:r>
      <w:r>
        <w:rPr>
          <w:rFonts w:cs="David"/>
          <w:b/>
          <w:bCs/>
          <w:rtl/>
        </w:rPr>
        <w:t xml:space="preserve"> </w:t>
      </w:r>
      <w:r>
        <w:rPr>
          <w:rFonts w:cs="David" w:hint="cs"/>
          <w:b/>
          <w:bCs/>
          <w:rtl/>
        </w:rPr>
        <w:t>פלסנר</w:t>
      </w:r>
    </w:p>
    <w:p w:rsidR="00000000" w:rsidRDefault="005E59C6">
      <w:pPr>
        <w:pStyle w:val="David"/>
        <w:ind w:left="2880" w:firstLine="720"/>
        <w:rPr>
          <w:rFonts w:cs="David"/>
          <w:b/>
          <w:bCs/>
          <w:rtl/>
        </w:rPr>
      </w:pPr>
      <w:r>
        <w:rPr>
          <w:rFonts w:cs="David"/>
        </w:rPr>
        <w:tab/>
      </w:r>
      <w:r>
        <w:rPr>
          <w:rFonts w:cs="David"/>
        </w:rPr>
        <w:tab/>
      </w:r>
      <w:r>
        <w:rPr>
          <w:rFonts w:cs="David"/>
        </w:rPr>
        <w:tab/>
      </w:r>
      <w:r>
        <w:rPr>
          <w:rFonts w:cs="David"/>
        </w:rPr>
        <w:tab/>
      </w:r>
      <w:r>
        <w:rPr>
          <w:rFonts w:cs="David"/>
        </w:rPr>
        <w:tab/>
      </w:r>
      <w:r>
        <w:rPr>
          <w:rFonts w:cs="David" w:hint="cs"/>
          <w:b/>
          <w:bCs/>
          <w:rtl/>
        </w:rPr>
        <w:t>ניצן</w:t>
      </w:r>
      <w:r>
        <w:rPr>
          <w:rFonts w:cs="David"/>
          <w:b/>
          <w:bCs/>
          <w:rtl/>
        </w:rPr>
        <w:t xml:space="preserve"> </w:t>
      </w:r>
      <w:r>
        <w:rPr>
          <w:rFonts w:cs="David" w:hint="cs"/>
          <w:b/>
          <w:bCs/>
          <w:rtl/>
        </w:rPr>
        <w:t>הורוביץ</w:t>
      </w:r>
      <w:bookmarkStart w:id="4" w:name="MKs1"/>
      <w:bookmarkEnd w:id="3"/>
      <w:bookmarkEnd w:id="4"/>
      <w:r>
        <w:rPr>
          <w:rFonts w:cs="David"/>
          <w:b/>
          <w:bCs/>
          <w:rtl/>
        </w:rPr>
        <w:tab/>
      </w:r>
      <w:r>
        <w:rPr>
          <w:rFonts w:cs="David"/>
          <w:b/>
          <w:bCs/>
          <w:rtl/>
        </w:rPr>
        <w:tab/>
      </w:r>
    </w:p>
    <w:p w:rsidR="00000000" w:rsidRDefault="005E59C6">
      <w:pPr>
        <w:ind w:left="2919" w:firstLine="720"/>
        <w:rPr>
          <w:rFonts w:cs="David"/>
          <w:sz w:val="26"/>
          <w:szCs w:val="26"/>
          <w:rtl/>
        </w:rPr>
      </w:pPr>
      <w:r>
        <w:rPr>
          <w:noProof/>
          <w:lang w:eastAsia="en-US"/>
        </w:rPr>
        <w:pict>
          <v:line id="_x0000_s1026" style="position:absolute;left:0;text-align:left;z-index:251658240" from=".1pt,5.1pt" to="300.1pt,5.1pt">
            <w10:wrap anchorx="page"/>
          </v:line>
        </w:pict>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bookmarkStart w:id="5" w:name="LawNum"/>
      <w:r>
        <w:rPr>
          <w:rFonts w:cs="David" w:hint="cs"/>
          <w:sz w:val="26"/>
          <w:szCs w:val="26"/>
          <w:rtl/>
        </w:rPr>
        <w:t>פ</w:t>
      </w:r>
      <w:r>
        <w:rPr>
          <w:rFonts w:cs="David"/>
          <w:sz w:val="26"/>
          <w:szCs w:val="26"/>
          <w:rtl/>
        </w:rPr>
        <w:t>/1014/18</w:t>
      </w:r>
      <w:bookmarkEnd w:id="5"/>
      <w:r>
        <w:rPr>
          <w:rFonts w:cs="David"/>
          <w:sz w:val="26"/>
          <w:szCs w:val="26"/>
          <w:rtl/>
        </w:rPr>
        <w:tab/>
      </w:r>
      <w:r>
        <w:rPr>
          <w:rFonts w:cs="David"/>
          <w:sz w:val="26"/>
          <w:szCs w:val="26"/>
          <w:rtl/>
        </w:rPr>
        <w:tab/>
      </w:r>
      <w:r>
        <w:rPr>
          <w:rFonts w:cs="David"/>
          <w:sz w:val="26"/>
          <w:szCs w:val="26"/>
          <w:rtl/>
        </w:rPr>
        <w:tab/>
      </w:r>
    </w:p>
    <w:p w:rsidR="00000000" w:rsidRDefault="005E59C6">
      <w:pPr>
        <w:pStyle w:val="HeadHatzaotHok"/>
        <w:tabs>
          <w:tab w:val="left" w:pos="4071"/>
          <w:tab w:val="center" w:pos="4819"/>
        </w:tabs>
        <w:rPr>
          <w:rFonts w:cs="David"/>
          <w:sz w:val="26"/>
          <w:rtl/>
        </w:rPr>
      </w:pPr>
      <w:bookmarkStart w:id="6" w:name="Title"/>
      <w:r>
        <w:rPr>
          <w:rFonts w:cs="David"/>
          <w:sz w:val="26"/>
          <w:rtl/>
        </w:rPr>
        <w:t>הצעת חוק הגנת הסביבה (שימוש מושכל במשאבי הטבע – חובת התקנת אב</w:t>
      </w:r>
      <w:r>
        <w:rPr>
          <w:rFonts w:cs="David"/>
          <w:sz w:val="26"/>
          <w:rtl/>
        </w:rPr>
        <w:t>יזרים חוסכי מים במבני ציבור), התשס"ט–2009</w:t>
      </w:r>
      <w:bookmarkEnd w:id="6"/>
    </w:p>
    <w:tbl>
      <w:tblPr>
        <w:bidiVisual/>
        <w:tblW w:w="9638" w:type="dxa"/>
        <w:tblInd w:w="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3"/>
      </w:tblGrid>
      <w:tr w:rsidR="00000000">
        <w:trPr>
          <w:cantSplit/>
        </w:trPr>
        <w:tc>
          <w:tcPr>
            <w:tcW w:w="1871" w:type="dxa"/>
            <w:tcBorders>
              <w:top w:val="nil"/>
              <w:left w:val="nil"/>
              <w:bottom w:val="nil"/>
              <w:right w:val="nil"/>
            </w:tcBorders>
          </w:tcPr>
          <w:p w:rsidR="00000000" w:rsidRDefault="005E59C6">
            <w:pPr>
              <w:pStyle w:val="TableSideHeading"/>
              <w:rPr>
                <w:rFonts w:cs="David"/>
              </w:rPr>
            </w:pPr>
            <w:r>
              <w:rPr>
                <w:rFonts w:cs="David"/>
                <w:sz w:val="26"/>
                <w:rtl/>
              </w:rPr>
              <w:t>מטרה</w:t>
            </w:r>
          </w:p>
        </w:tc>
        <w:tc>
          <w:tcPr>
            <w:tcW w:w="624" w:type="dxa"/>
            <w:tcBorders>
              <w:top w:val="nil"/>
              <w:left w:val="nil"/>
              <w:bottom w:val="nil"/>
              <w:right w:val="nil"/>
            </w:tcBorders>
          </w:tcPr>
          <w:p w:rsidR="00000000" w:rsidRDefault="005E59C6">
            <w:pPr>
              <w:pStyle w:val="TableText"/>
              <w:rPr>
                <w:rFonts w:cs="David"/>
              </w:rPr>
            </w:pPr>
            <w:r>
              <w:rPr>
                <w:rFonts w:cs="David"/>
                <w:sz w:val="26"/>
                <w:rtl/>
              </w:rPr>
              <w:t>1.</w:t>
            </w:r>
          </w:p>
        </w:tc>
        <w:tc>
          <w:tcPr>
            <w:tcW w:w="7143" w:type="dxa"/>
            <w:tcBorders>
              <w:top w:val="nil"/>
              <w:left w:val="nil"/>
              <w:bottom w:val="nil"/>
              <w:right w:val="nil"/>
            </w:tcBorders>
          </w:tcPr>
          <w:p w:rsidR="00000000" w:rsidRDefault="005E59C6">
            <w:pPr>
              <w:pStyle w:val="TableBlock"/>
              <w:rPr>
                <w:rFonts w:cs="David"/>
              </w:rPr>
            </w:pPr>
            <w:r>
              <w:rPr>
                <w:rFonts w:cs="David"/>
                <w:sz w:val="26"/>
                <w:rtl/>
              </w:rPr>
              <w:t xml:space="preserve">מטרתו של חוק זה לשמור על משאב המים בישראל הנמצא במחסור ולעודד חיסכון במים על ידי חיוב התקנת אביזרים חוסכי מים במבנים המשמשים גופים ציבוריים והכול לשם מימוש הזכות לסביבה נאותה, למניעה ולצמצום של מפגעים </w:t>
            </w:r>
            <w:r>
              <w:rPr>
                <w:rFonts w:cs="David"/>
                <w:sz w:val="26"/>
                <w:rtl/>
              </w:rPr>
              <w:t xml:space="preserve">סביבתיים, לשיפור איכות החיים והסביבה ולשמירה על המערכות האקולוגיות ועל המגוון הביולוגי, מתוך הכרה במחויבות המדינה והחברה למימושן ולקידומן של מטרות אלה, למען הציבור ולמען הדורות הבאים. </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r>
              <w:rPr>
                <w:rFonts w:cs="David"/>
                <w:sz w:val="26"/>
                <w:rtl/>
              </w:rPr>
              <w:t>הגדרות</w:t>
            </w:r>
          </w:p>
        </w:tc>
        <w:tc>
          <w:tcPr>
            <w:tcW w:w="624" w:type="dxa"/>
            <w:tcBorders>
              <w:top w:val="nil"/>
              <w:left w:val="nil"/>
              <w:bottom w:val="nil"/>
              <w:right w:val="nil"/>
            </w:tcBorders>
          </w:tcPr>
          <w:p w:rsidR="00000000" w:rsidRDefault="005E59C6">
            <w:pPr>
              <w:pStyle w:val="TableText"/>
              <w:rPr>
                <w:rFonts w:cs="David"/>
                <w:sz w:val="26"/>
                <w:rtl/>
              </w:rPr>
            </w:pPr>
            <w:r>
              <w:rPr>
                <w:rFonts w:cs="David"/>
                <w:sz w:val="26"/>
                <w:rtl/>
              </w:rPr>
              <w:t>2.</w:t>
            </w:r>
          </w:p>
        </w:tc>
        <w:tc>
          <w:tcPr>
            <w:tcW w:w="7143" w:type="dxa"/>
            <w:tcBorders>
              <w:top w:val="nil"/>
              <w:left w:val="nil"/>
              <w:bottom w:val="nil"/>
              <w:right w:val="nil"/>
            </w:tcBorders>
          </w:tcPr>
          <w:p w:rsidR="00000000" w:rsidRDefault="005E59C6">
            <w:pPr>
              <w:pStyle w:val="TableBlock"/>
              <w:rPr>
                <w:rFonts w:cs="David"/>
                <w:sz w:val="26"/>
                <w:rtl/>
              </w:rPr>
            </w:pPr>
            <w:r>
              <w:rPr>
                <w:rFonts w:cs="David"/>
                <w:sz w:val="26"/>
                <w:rtl/>
              </w:rPr>
              <w:t xml:space="preserve">בחוק זה – </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p>
        </w:tc>
        <w:tc>
          <w:tcPr>
            <w:tcW w:w="624" w:type="dxa"/>
            <w:tcBorders>
              <w:top w:val="nil"/>
              <w:left w:val="nil"/>
              <w:bottom w:val="nil"/>
              <w:right w:val="nil"/>
            </w:tcBorders>
          </w:tcPr>
          <w:p w:rsidR="00000000" w:rsidRDefault="005E59C6">
            <w:pPr>
              <w:pStyle w:val="TableText"/>
              <w:rPr>
                <w:rFonts w:cs="David"/>
                <w:sz w:val="26"/>
                <w:rtl/>
              </w:rPr>
            </w:pPr>
          </w:p>
        </w:tc>
        <w:tc>
          <w:tcPr>
            <w:tcW w:w="7143" w:type="dxa"/>
            <w:tcBorders>
              <w:top w:val="nil"/>
              <w:left w:val="nil"/>
              <w:bottom w:val="nil"/>
              <w:right w:val="nil"/>
            </w:tcBorders>
          </w:tcPr>
          <w:p w:rsidR="00000000" w:rsidRDefault="005E59C6">
            <w:pPr>
              <w:pStyle w:val="TableBlockOutdent"/>
              <w:rPr>
                <w:rFonts w:cs="David"/>
                <w:sz w:val="26"/>
                <w:rtl/>
              </w:rPr>
            </w:pPr>
            <w:r>
              <w:rPr>
                <w:rFonts w:cs="David"/>
                <w:sz w:val="26"/>
                <w:rtl/>
              </w:rPr>
              <w:t xml:space="preserve">"אביזרים חוסכי מים" –  אביזרים המיועדים לצמצם </w:t>
            </w:r>
            <w:r>
              <w:rPr>
                <w:rFonts w:cs="David"/>
                <w:sz w:val="26"/>
                <w:rtl/>
              </w:rPr>
              <w:t>את כמות המים הנצרכים במבנה, בחצרים או בסביבתם, לרבות מתקנים לאיסוף מי גשם ושימוש בהם ומתקני בקרה שנועדו למנוע בזבוז מים;</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p>
        </w:tc>
        <w:tc>
          <w:tcPr>
            <w:tcW w:w="624" w:type="dxa"/>
            <w:tcBorders>
              <w:top w:val="nil"/>
              <w:left w:val="nil"/>
              <w:bottom w:val="nil"/>
              <w:right w:val="nil"/>
            </w:tcBorders>
          </w:tcPr>
          <w:p w:rsidR="00000000" w:rsidRDefault="005E59C6">
            <w:pPr>
              <w:pStyle w:val="TableText"/>
              <w:rPr>
                <w:rFonts w:cs="David"/>
                <w:sz w:val="26"/>
                <w:rtl/>
              </w:rPr>
            </w:pPr>
          </w:p>
        </w:tc>
        <w:tc>
          <w:tcPr>
            <w:tcW w:w="7143" w:type="dxa"/>
            <w:tcBorders>
              <w:top w:val="nil"/>
              <w:left w:val="nil"/>
              <w:bottom w:val="nil"/>
              <w:right w:val="nil"/>
            </w:tcBorders>
          </w:tcPr>
          <w:p w:rsidR="00000000" w:rsidRDefault="005E59C6">
            <w:pPr>
              <w:pStyle w:val="TableBlockOutdent"/>
              <w:rPr>
                <w:rFonts w:cs="David"/>
                <w:sz w:val="26"/>
                <w:rtl/>
              </w:rPr>
            </w:pPr>
            <w:r>
              <w:rPr>
                <w:rFonts w:cs="David"/>
                <w:sz w:val="26"/>
                <w:rtl/>
              </w:rPr>
              <w:t>"גוף ציבורי" – המדינה, מוסדותיה או רשויותיה לרבות משרדי ממשלה ויחידות סמך, חברות ממשלתיות וחברות בת ממשלתיות כהגדרתן בחוק החברות הממ</w:t>
            </w:r>
            <w:r>
              <w:rPr>
                <w:rFonts w:cs="David"/>
                <w:sz w:val="26"/>
                <w:rtl/>
              </w:rPr>
              <w:t>שלתיות, התשל"ה–1975</w:t>
            </w:r>
            <w:r>
              <w:rPr>
                <w:rStyle w:val="a7"/>
                <w:rFonts w:cs="David"/>
                <w:sz w:val="26"/>
                <w:rtl/>
              </w:rPr>
              <w:footnoteReference w:id="2"/>
            </w:r>
            <w:r>
              <w:rPr>
                <w:rFonts w:cs="David"/>
                <w:sz w:val="26"/>
                <w:rtl/>
              </w:rPr>
              <w:t>, וכן מוסד ציבור, תאגיד, גוף מתוקצב וגוף נתמך כהגדרתם בחוק יסודות התקציב, התשמ"ה–1985</w:t>
            </w:r>
            <w:r>
              <w:rPr>
                <w:rStyle w:val="a7"/>
                <w:rFonts w:cs="David"/>
                <w:sz w:val="26"/>
                <w:rtl/>
              </w:rPr>
              <w:footnoteReference w:id="3"/>
            </w:r>
            <w:r>
              <w:rPr>
                <w:rFonts w:cs="David"/>
                <w:sz w:val="26"/>
                <w:rtl/>
              </w:rPr>
              <w:t>;</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p>
        </w:tc>
        <w:tc>
          <w:tcPr>
            <w:tcW w:w="624" w:type="dxa"/>
            <w:tcBorders>
              <w:top w:val="nil"/>
              <w:left w:val="nil"/>
              <w:bottom w:val="nil"/>
              <w:right w:val="nil"/>
            </w:tcBorders>
          </w:tcPr>
          <w:p w:rsidR="00000000" w:rsidRDefault="005E59C6">
            <w:pPr>
              <w:pStyle w:val="TableText"/>
              <w:rPr>
                <w:rFonts w:cs="David"/>
                <w:sz w:val="26"/>
                <w:rtl/>
              </w:rPr>
            </w:pPr>
          </w:p>
        </w:tc>
        <w:tc>
          <w:tcPr>
            <w:tcW w:w="7143" w:type="dxa"/>
            <w:tcBorders>
              <w:top w:val="nil"/>
              <w:left w:val="nil"/>
              <w:bottom w:val="nil"/>
              <w:right w:val="nil"/>
            </w:tcBorders>
          </w:tcPr>
          <w:p w:rsidR="00000000" w:rsidRDefault="005E59C6">
            <w:pPr>
              <w:pStyle w:val="TableBlockOutdent"/>
              <w:rPr>
                <w:rFonts w:cs="David"/>
                <w:sz w:val="26"/>
                <w:rtl/>
              </w:rPr>
            </w:pPr>
            <w:r>
              <w:rPr>
                <w:rFonts w:cs="David"/>
                <w:sz w:val="26"/>
                <w:rtl/>
              </w:rPr>
              <w:t>"מבנה" – מבנה בבעלותו או בהחזקתו של גוף ציבורי;</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p>
        </w:tc>
        <w:tc>
          <w:tcPr>
            <w:tcW w:w="624" w:type="dxa"/>
            <w:tcBorders>
              <w:top w:val="nil"/>
              <w:left w:val="nil"/>
              <w:bottom w:val="nil"/>
              <w:right w:val="nil"/>
            </w:tcBorders>
          </w:tcPr>
          <w:p w:rsidR="00000000" w:rsidRDefault="005E59C6">
            <w:pPr>
              <w:pStyle w:val="TableText"/>
              <w:rPr>
                <w:rFonts w:cs="David"/>
                <w:sz w:val="26"/>
                <w:rtl/>
              </w:rPr>
            </w:pPr>
          </w:p>
        </w:tc>
        <w:tc>
          <w:tcPr>
            <w:tcW w:w="7143" w:type="dxa"/>
            <w:tcBorders>
              <w:top w:val="nil"/>
              <w:left w:val="nil"/>
              <w:bottom w:val="nil"/>
              <w:right w:val="nil"/>
            </w:tcBorders>
          </w:tcPr>
          <w:p w:rsidR="00000000" w:rsidRDefault="005E59C6">
            <w:pPr>
              <w:pStyle w:val="TableBlockOutdent"/>
              <w:rPr>
                <w:rFonts w:cs="David"/>
                <w:sz w:val="26"/>
                <w:rtl/>
              </w:rPr>
            </w:pPr>
            <w:r>
              <w:rPr>
                <w:rFonts w:cs="David"/>
                <w:sz w:val="26"/>
                <w:rtl/>
              </w:rPr>
              <w:t>"השר" – השר להגנת הסביבה.</w:t>
            </w:r>
          </w:p>
        </w:tc>
      </w:tr>
      <w:tr w:rsidR="00000000">
        <w:trPr>
          <w:cantSplit/>
        </w:trPr>
        <w:tc>
          <w:tcPr>
            <w:tcW w:w="1871" w:type="dxa"/>
            <w:vMerge w:val="restart"/>
            <w:tcBorders>
              <w:top w:val="nil"/>
              <w:left w:val="nil"/>
              <w:bottom w:val="nil"/>
              <w:right w:val="nil"/>
            </w:tcBorders>
          </w:tcPr>
          <w:p w:rsidR="00000000" w:rsidRDefault="005E59C6">
            <w:pPr>
              <w:pStyle w:val="TableSideHeading"/>
              <w:rPr>
                <w:rFonts w:cs="David"/>
              </w:rPr>
            </w:pPr>
            <w:r>
              <w:rPr>
                <w:rFonts w:cs="David"/>
                <w:sz w:val="26"/>
                <w:rtl/>
              </w:rPr>
              <w:t>חובת התקנת אביזרים חוס</w:t>
            </w:r>
            <w:r>
              <w:rPr>
                <w:rFonts w:cs="David"/>
                <w:sz w:val="26"/>
                <w:rtl/>
              </w:rPr>
              <w:t>כי מים</w:t>
            </w:r>
          </w:p>
        </w:tc>
        <w:tc>
          <w:tcPr>
            <w:tcW w:w="624" w:type="dxa"/>
            <w:tcBorders>
              <w:top w:val="nil"/>
              <w:left w:val="nil"/>
              <w:bottom w:val="nil"/>
              <w:right w:val="nil"/>
            </w:tcBorders>
          </w:tcPr>
          <w:p w:rsidR="00000000" w:rsidRDefault="005E59C6">
            <w:pPr>
              <w:pStyle w:val="TableText"/>
              <w:rPr>
                <w:rFonts w:cs="David"/>
              </w:rPr>
            </w:pPr>
            <w:r>
              <w:rPr>
                <w:rFonts w:cs="David"/>
                <w:sz w:val="26"/>
                <w:rtl/>
              </w:rPr>
              <w:t>3.</w:t>
            </w:r>
          </w:p>
        </w:tc>
        <w:tc>
          <w:tcPr>
            <w:tcW w:w="7143" w:type="dxa"/>
            <w:tcBorders>
              <w:top w:val="nil"/>
              <w:left w:val="nil"/>
              <w:bottom w:val="nil"/>
              <w:right w:val="nil"/>
            </w:tcBorders>
          </w:tcPr>
          <w:p w:rsidR="00000000" w:rsidRDefault="005E59C6">
            <w:pPr>
              <w:pStyle w:val="TableBlock"/>
              <w:rPr>
                <w:rFonts w:cs="David"/>
              </w:rPr>
            </w:pPr>
            <w:r>
              <w:rPr>
                <w:rFonts w:cs="David"/>
                <w:sz w:val="26"/>
                <w:rtl/>
              </w:rPr>
              <w:t>(א)</w:t>
            </w:r>
            <w:r>
              <w:rPr>
                <w:rFonts w:cs="David"/>
                <w:sz w:val="26"/>
                <w:rtl/>
              </w:rPr>
              <w:tab/>
              <w:t xml:space="preserve">גוף ציבורי יתקין במבנה, בחצריו ובסביבתו אביזרים חוסכי מים, בכל נקודה שבה מצוי ברז או מתקן אחר המאפשר צריכת מים. </w:t>
            </w:r>
          </w:p>
        </w:tc>
      </w:tr>
      <w:tr w:rsidR="00000000">
        <w:trPr>
          <w:cantSplit/>
        </w:trPr>
        <w:tc>
          <w:tcPr>
            <w:tcW w:w="1871" w:type="dxa"/>
            <w:vMerge/>
            <w:tcBorders>
              <w:top w:val="nil"/>
              <w:left w:val="nil"/>
              <w:bottom w:val="nil"/>
              <w:right w:val="nil"/>
            </w:tcBorders>
          </w:tcPr>
          <w:p w:rsidR="00000000" w:rsidRDefault="005E59C6">
            <w:pPr>
              <w:pStyle w:val="TableSideHeading"/>
              <w:rPr>
                <w:rFonts w:cs="David"/>
                <w:sz w:val="26"/>
                <w:rtl/>
              </w:rPr>
            </w:pPr>
          </w:p>
        </w:tc>
        <w:tc>
          <w:tcPr>
            <w:tcW w:w="624" w:type="dxa"/>
            <w:tcBorders>
              <w:top w:val="nil"/>
              <w:left w:val="nil"/>
              <w:bottom w:val="nil"/>
              <w:right w:val="nil"/>
            </w:tcBorders>
          </w:tcPr>
          <w:p w:rsidR="00000000" w:rsidRDefault="005E59C6">
            <w:pPr>
              <w:pStyle w:val="TableText"/>
              <w:rPr>
                <w:rFonts w:cs="David"/>
                <w:sz w:val="26"/>
                <w:rtl/>
              </w:rPr>
            </w:pPr>
          </w:p>
        </w:tc>
        <w:tc>
          <w:tcPr>
            <w:tcW w:w="7143" w:type="dxa"/>
            <w:tcBorders>
              <w:top w:val="nil"/>
              <w:left w:val="nil"/>
              <w:bottom w:val="nil"/>
              <w:right w:val="nil"/>
            </w:tcBorders>
          </w:tcPr>
          <w:p w:rsidR="00000000" w:rsidRDefault="005E59C6">
            <w:pPr>
              <w:pStyle w:val="TableBlock"/>
              <w:rPr>
                <w:rFonts w:cs="David"/>
                <w:sz w:val="26"/>
                <w:rtl/>
              </w:rPr>
            </w:pPr>
            <w:r>
              <w:rPr>
                <w:rFonts w:cs="David"/>
                <w:sz w:val="26"/>
                <w:rtl/>
              </w:rPr>
              <w:t>(ב)</w:t>
            </w:r>
            <w:r>
              <w:rPr>
                <w:rFonts w:cs="David"/>
                <w:sz w:val="26"/>
                <w:rtl/>
              </w:rPr>
              <w:tab/>
              <w:t>גוף ציבורי ידאג לתקינותם ולפעולתם היעילה של אביזרים חוסכי מים, שהותקנו לפי סעיף קטן (א).</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p>
        </w:tc>
        <w:tc>
          <w:tcPr>
            <w:tcW w:w="624" w:type="dxa"/>
            <w:tcBorders>
              <w:top w:val="nil"/>
              <w:left w:val="nil"/>
              <w:bottom w:val="nil"/>
              <w:right w:val="nil"/>
            </w:tcBorders>
          </w:tcPr>
          <w:p w:rsidR="00000000" w:rsidRDefault="005E59C6">
            <w:pPr>
              <w:pStyle w:val="TableText"/>
              <w:rPr>
                <w:rFonts w:cs="David"/>
                <w:sz w:val="26"/>
                <w:rtl/>
              </w:rPr>
            </w:pPr>
          </w:p>
        </w:tc>
        <w:tc>
          <w:tcPr>
            <w:tcW w:w="7143" w:type="dxa"/>
            <w:tcBorders>
              <w:top w:val="nil"/>
              <w:left w:val="nil"/>
              <w:bottom w:val="nil"/>
              <w:right w:val="nil"/>
            </w:tcBorders>
          </w:tcPr>
          <w:p w:rsidR="00000000" w:rsidRDefault="005E59C6">
            <w:pPr>
              <w:pStyle w:val="TableBlock"/>
              <w:rPr>
                <w:rFonts w:cs="David"/>
                <w:sz w:val="26"/>
                <w:rtl/>
              </w:rPr>
            </w:pPr>
            <w:r>
              <w:rPr>
                <w:rFonts w:cs="David"/>
                <w:sz w:val="26"/>
                <w:rtl/>
              </w:rPr>
              <w:t>(ג)</w:t>
            </w:r>
            <w:r>
              <w:rPr>
                <w:rFonts w:cs="David"/>
                <w:sz w:val="26"/>
                <w:rtl/>
              </w:rPr>
              <w:tab/>
              <w:t>גוף ציבורי ינקוט בפעולות ב</w:t>
            </w:r>
            <w:r>
              <w:rPr>
                <w:rFonts w:cs="David"/>
                <w:sz w:val="26"/>
                <w:rtl/>
              </w:rPr>
              <w:t>קרה ומעקב אחר צריכת המים במבנה, בחצריו ובסביבתו ולמניעת בזבוז מים.</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r>
              <w:rPr>
                <w:rFonts w:cs="David"/>
                <w:sz w:val="26"/>
                <w:rtl/>
              </w:rPr>
              <w:t>גופים ציבוריים</w:t>
            </w:r>
          </w:p>
        </w:tc>
        <w:tc>
          <w:tcPr>
            <w:tcW w:w="624" w:type="dxa"/>
            <w:tcBorders>
              <w:top w:val="nil"/>
              <w:left w:val="nil"/>
              <w:bottom w:val="nil"/>
              <w:right w:val="nil"/>
            </w:tcBorders>
          </w:tcPr>
          <w:p w:rsidR="00000000" w:rsidRDefault="005E59C6">
            <w:pPr>
              <w:pStyle w:val="TableText"/>
              <w:rPr>
                <w:rFonts w:cs="David"/>
                <w:sz w:val="26"/>
                <w:rtl/>
              </w:rPr>
            </w:pPr>
            <w:r>
              <w:rPr>
                <w:rFonts w:cs="David"/>
                <w:sz w:val="26"/>
                <w:rtl/>
              </w:rPr>
              <w:t>4.</w:t>
            </w:r>
          </w:p>
        </w:tc>
        <w:tc>
          <w:tcPr>
            <w:tcW w:w="7143" w:type="dxa"/>
            <w:tcBorders>
              <w:top w:val="nil"/>
              <w:left w:val="nil"/>
              <w:bottom w:val="nil"/>
              <w:right w:val="nil"/>
            </w:tcBorders>
          </w:tcPr>
          <w:p w:rsidR="00000000" w:rsidRDefault="005E59C6">
            <w:pPr>
              <w:pStyle w:val="TableBlock"/>
              <w:rPr>
                <w:rFonts w:cs="David"/>
                <w:sz w:val="26"/>
                <w:rtl/>
              </w:rPr>
            </w:pPr>
            <w:r>
              <w:rPr>
                <w:rFonts w:cs="David"/>
                <w:sz w:val="26"/>
                <w:rtl/>
              </w:rPr>
              <w:t>השר רשאי להוסיף גופים ציבוריים נוספים על הגופים המנויים בסעיף 2.</w:t>
            </w:r>
          </w:p>
        </w:tc>
      </w:tr>
      <w:tr w:rsidR="00000000">
        <w:trPr>
          <w:cantSplit/>
        </w:trPr>
        <w:tc>
          <w:tcPr>
            <w:tcW w:w="1871" w:type="dxa"/>
            <w:tcBorders>
              <w:top w:val="nil"/>
              <w:left w:val="nil"/>
              <w:bottom w:val="nil"/>
              <w:right w:val="nil"/>
            </w:tcBorders>
          </w:tcPr>
          <w:p w:rsidR="00000000" w:rsidRDefault="005E59C6">
            <w:pPr>
              <w:pStyle w:val="TableSideHeading"/>
              <w:rPr>
                <w:rFonts w:cs="David"/>
              </w:rPr>
            </w:pPr>
            <w:r>
              <w:rPr>
                <w:rFonts w:cs="David"/>
                <w:sz w:val="26"/>
                <w:rtl/>
              </w:rPr>
              <w:lastRenderedPageBreak/>
              <w:t>מפקחים</w:t>
            </w:r>
          </w:p>
        </w:tc>
        <w:tc>
          <w:tcPr>
            <w:tcW w:w="624" w:type="dxa"/>
            <w:tcBorders>
              <w:top w:val="nil"/>
              <w:left w:val="nil"/>
              <w:bottom w:val="nil"/>
              <w:right w:val="nil"/>
            </w:tcBorders>
          </w:tcPr>
          <w:p w:rsidR="00000000" w:rsidRDefault="005E59C6">
            <w:pPr>
              <w:pStyle w:val="TableText"/>
              <w:rPr>
                <w:rFonts w:cs="David"/>
              </w:rPr>
            </w:pPr>
            <w:r>
              <w:rPr>
                <w:rFonts w:cs="David"/>
                <w:sz w:val="26"/>
                <w:rtl/>
              </w:rPr>
              <w:t>5.</w:t>
            </w:r>
          </w:p>
        </w:tc>
        <w:tc>
          <w:tcPr>
            <w:tcW w:w="7143" w:type="dxa"/>
            <w:tcBorders>
              <w:top w:val="nil"/>
              <w:left w:val="nil"/>
              <w:bottom w:val="nil"/>
              <w:right w:val="nil"/>
            </w:tcBorders>
          </w:tcPr>
          <w:p w:rsidR="00000000" w:rsidRDefault="005E59C6">
            <w:pPr>
              <w:pStyle w:val="TableBlock"/>
              <w:rPr>
                <w:rFonts w:cs="David"/>
              </w:rPr>
            </w:pPr>
            <w:r>
              <w:rPr>
                <w:rFonts w:cs="David"/>
                <w:sz w:val="26"/>
                <w:rtl/>
              </w:rPr>
              <w:t>(א)</w:t>
            </w:r>
            <w:r>
              <w:rPr>
                <w:rFonts w:cs="David"/>
                <w:sz w:val="26"/>
                <w:rtl/>
              </w:rPr>
              <w:tab/>
              <w:t xml:space="preserve">השר ימנה מפקחים מבין עובדי משרדו לשם פיקוח על ביצוע הוראות לפי חוק זה.  </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p>
        </w:tc>
        <w:tc>
          <w:tcPr>
            <w:tcW w:w="624" w:type="dxa"/>
            <w:tcBorders>
              <w:top w:val="nil"/>
              <w:left w:val="nil"/>
              <w:bottom w:val="nil"/>
              <w:right w:val="nil"/>
            </w:tcBorders>
          </w:tcPr>
          <w:p w:rsidR="00000000" w:rsidRDefault="005E59C6">
            <w:pPr>
              <w:pStyle w:val="TableText"/>
              <w:rPr>
                <w:rFonts w:cs="David"/>
                <w:sz w:val="26"/>
                <w:rtl/>
              </w:rPr>
            </w:pPr>
          </w:p>
        </w:tc>
        <w:tc>
          <w:tcPr>
            <w:tcW w:w="7143" w:type="dxa"/>
            <w:tcBorders>
              <w:top w:val="nil"/>
              <w:left w:val="nil"/>
              <w:bottom w:val="nil"/>
              <w:right w:val="nil"/>
            </w:tcBorders>
          </w:tcPr>
          <w:p w:rsidR="00000000" w:rsidRDefault="005E59C6">
            <w:pPr>
              <w:pStyle w:val="TableBlock"/>
              <w:rPr>
                <w:rFonts w:cs="David"/>
                <w:sz w:val="26"/>
                <w:rtl/>
              </w:rPr>
            </w:pPr>
            <w:r>
              <w:rPr>
                <w:rFonts w:cs="David"/>
                <w:sz w:val="26"/>
                <w:rtl/>
              </w:rPr>
              <w:t>(ב)</w:t>
            </w:r>
            <w:r>
              <w:rPr>
                <w:rFonts w:cs="David"/>
                <w:sz w:val="26"/>
                <w:rtl/>
              </w:rPr>
              <w:tab/>
              <w:t xml:space="preserve">מפקח יהיה </w:t>
            </w:r>
            <w:r>
              <w:rPr>
                <w:rFonts w:cs="David"/>
                <w:sz w:val="26"/>
                <w:rtl/>
              </w:rPr>
              <w:t>רשאי להיכנס למבנה המשמש גוף ציבורי לשם אכיפת הוראות לפי חוק זה ובלבד שלא יכנס למבנה כאמור המוחזק על ידי מערכת הביטחון, אלא אם כן הוא בעל התאמה ביטחונית מתאימה שנקבעה לו לפי חוק שירות הביטחון הכללי, התשס"ב–2002</w:t>
            </w:r>
            <w:r>
              <w:rPr>
                <w:rStyle w:val="a7"/>
                <w:rFonts w:cs="David"/>
                <w:sz w:val="26"/>
                <w:rtl/>
              </w:rPr>
              <w:footnoteReference w:id="4"/>
            </w:r>
            <w:r>
              <w:rPr>
                <w:rFonts w:cs="David"/>
                <w:sz w:val="26"/>
                <w:rtl/>
              </w:rPr>
              <w:t>.</w:t>
            </w:r>
          </w:p>
        </w:tc>
      </w:tr>
      <w:tr w:rsidR="00000000">
        <w:trPr>
          <w:cantSplit/>
        </w:trPr>
        <w:tc>
          <w:tcPr>
            <w:tcW w:w="1871" w:type="dxa"/>
            <w:tcBorders>
              <w:top w:val="nil"/>
              <w:left w:val="nil"/>
              <w:bottom w:val="nil"/>
              <w:right w:val="nil"/>
            </w:tcBorders>
          </w:tcPr>
          <w:p w:rsidR="00000000" w:rsidRDefault="005E59C6">
            <w:pPr>
              <w:pStyle w:val="TableSideHeading"/>
              <w:rPr>
                <w:rFonts w:cs="David"/>
              </w:rPr>
            </w:pPr>
            <w:r>
              <w:rPr>
                <w:rFonts w:cs="David"/>
                <w:sz w:val="26"/>
                <w:rtl/>
              </w:rPr>
              <w:t>עונשין</w:t>
            </w:r>
          </w:p>
        </w:tc>
        <w:tc>
          <w:tcPr>
            <w:tcW w:w="624" w:type="dxa"/>
            <w:tcBorders>
              <w:top w:val="nil"/>
              <w:left w:val="nil"/>
              <w:bottom w:val="nil"/>
              <w:right w:val="nil"/>
            </w:tcBorders>
          </w:tcPr>
          <w:p w:rsidR="00000000" w:rsidRDefault="005E59C6">
            <w:pPr>
              <w:pStyle w:val="TableText"/>
              <w:rPr>
                <w:rFonts w:cs="David"/>
              </w:rPr>
            </w:pPr>
            <w:r>
              <w:rPr>
                <w:rFonts w:cs="David"/>
                <w:sz w:val="26"/>
                <w:rtl/>
              </w:rPr>
              <w:t>6.</w:t>
            </w:r>
          </w:p>
        </w:tc>
        <w:tc>
          <w:tcPr>
            <w:tcW w:w="7143" w:type="dxa"/>
            <w:tcBorders>
              <w:top w:val="nil"/>
              <w:left w:val="nil"/>
              <w:bottom w:val="nil"/>
              <w:right w:val="nil"/>
            </w:tcBorders>
          </w:tcPr>
          <w:p w:rsidR="00000000" w:rsidRDefault="005E59C6">
            <w:pPr>
              <w:pStyle w:val="TableBlock"/>
              <w:rPr>
                <w:rFonts w:cs="David"/>
              </w:rPr>
            </w:pPr>
            <w:r>
              <w:rPr>
                <w:rFonts w:cs="David"/>
                <w:sz w:val="26"/>
                <w:rtl/>
              </w:rPr>
              <w:t>גוף ציבורי</w:t>
            </w:r>
            <w:r>
              <w:rPr>
                <w:rFonts w:cs="David"/>
                <w:sz w:val="26"/>
                <w:rtl/>
              </w:rPr>
              <w:t xml:space="preserve"> העובר על הוראות חוק זה, דינו – קנס כאמור בסעיף 61(א)(2) לחוק העונשין, התשל"ז–1977</w:t>
            </w:r>
            <w:r>
              <w:rPr>
                <w:rStyle w:val="a7"/>
                <w:rFonts w:cs="David"/>
                <w:sz w:val="26"/>
                <w:rtl/>
              </w:rPr>
              <w:footnoteReference w:id="5"/>
            </w:r>
            <w:r>
              <w:rPr>
                <w:rFonts w:cs="David"/>
                <w:sz w:val="26"/>
                <w:rtl/>
              </w:rPr>
              <w:t>.</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r>
              <w:rPr>
                <w:rFonts w:cs="David"/>
                <w:sz w:val="26"/>
                <w:rtl/>
              </w:rPr>
              <w:t>שמירת דינים</w:t>
            </w:r>
          </w:p>
        </w:tc>
        <w:tc>
          <w:tcPr>
            <w:tcW w:w="624" w:type="dxa"/>
            <w:tcBorders>
              <w:top w:val="nil"/>
              <w:left w:val="nil"/>
              <w:bottom w:val="nil"/>
              <w:right w:val="nil"/>
            </w:tcBorders>
          </w:tcPr>
          <w:p w:rsidR="00000000" w:rsidRDefault="005E59C6">
            <w:pPr>
              <w:pStyle w:val="TableText"/>
              <w:rPr>
                <w:rFonts w:cs="David"/>
                <w:sz w:val="26"/>
                <w:rtl/>
              </w:rPr>
            </w:pPr>
            <w:r>
              <w:rPr>
                <w:rFonts w:cs="David"/>
                <w:sz w:val="26"/>
                <w:rtl/>
              </w:rPr>
              <w:t>7.</w:t>
            </w:r>
          </w:p>
        </w:tc>
        <w:tc>
          <w:tcPr>
            <w:tcW w:w="7143" w:type="dxa"/>
            <w:tcBorders>
              <w:top w:val="nil"/>
              <w:left w:val="nil"/>
              <w:bottom w:val="nil"/>
              <w:right w:val="nil"/>
            </w:tcBorders>
          </w:tcPr>
          <w:p w:rsidR="00000000" w:rsidRDefault="005E59C6">
            <w:pPr>
              <w:pStyle w:val="TableBlock"/>
              <w:rPr>
                <w:rFonts w:cs="David"/>
                <w:sz w:val="26"/>
                <w:rtl/>
              </w:rPr>
            </w:pPr>
            <w:r>
              <w:rPr>
                <w:rFonts w:cs="David"/>
                <w:sz w:val="26"/>
                <w:rtl/>
              </w:rPr>
              <w:t>אין בהוראות חוק זה לגרוע מהוראות כל דין.</w:t>
            </w:r>
          </w:p>
        </w:tc>
      </w:tr>
      <w:tr w:rsidR="00000000">
        <w:trPr>
          <w:cantSplit/>
        </w:trPr>
        <w:tc>
          <w:tcPr>
            <w:tcW w:w="1871" w:type="dxa"/>
            <w:tcBorders>
              <w:top w:val="nil"/>
              <w:left w:val="nil"/>
              <w:bottom w:val="nil"/>
              <w:right w:val="nil"/>
            </w:tcBorders>
          </w:tcPr>
          <w:p w:rsidR="00000000" w:rsidRDefault="005E59C6">
            <w:pPr>
              <w:pStyle w:val="TableSideHeading"/>
              <w:rPr>
                <w:rFonts w:cs="David"/>
              </w:rPr>
            </w:pPr>
            <w:r>
              <w:rPr>
                <w:rFonts w:cs="David"/>
                <w:sz w:val="26"/>
                <w:rtl/>
              </w:rPr>
              <w:t>ביצוע ותקנות</w:t>
            </w:r>
          </w:p>
        </w:tc>
        <w:tc>
          <w:tcPr>
            <w:tcW w:w="624" w:type="dxa"/>
            <w:tcBorders>
              <w:top w:val="nil"/>
              <w:left w:val="nil"/>
              <w:bottom w:val="nil"/>
              <w:right w:val="nil"/>
            </w:tcBorders>
          </w:tcPr>
          <w:p w:rsidR="00000000" w:rsidRDefault="005E59C6">
            <w:pPr>
              <w:pStyle w:val="TableText"/>
              <w:rPr>
                <w:rFonts w:cs="David"/>
              </w:rPr>
            </w:pPr>
            <w:r>
              <w:rPr>
                <w:rFonts w:cs="David"/>
                <w:sz w:val="26"/>
                <w:rtl/>
              </w:rPr>
              <w:t>8.</w:t>
            </w:r>
          </w:p>
        </w:tc>
        <w:tc>
          <w:tcPr>
            <w:tcW w:w="7143" w:type="dxa"/>
            <w:tcBorders>
              <w:top w:val="nil"/>
              <w:left w:val="nil"/>
              <w:bottom w:val="nil"/>
              <w:right w:val="nil"/>
            </w:tcBorders>
          </w:tcPr>
          <w:p w:rsidR="00000000" w:rsidRDefault="005E59C6">
            <w:pPr>
              <w:pStyle w:val="TableBlock"/>
              <w:rPr>
                <w:rFonts w:cs="David"/>
              </w:rPr>
            </w:pPr>
            <w:r>
              <w:rPr>
                <w:rFonts w:cs="David"/>
                <w:sz w:val="26"/>
                <w:rtl/>
              </w:rPr>
              <w:t>(א)</w:t>
            </w:r>
            <w:r>
              <w:rPr>
                <w:rFonts w:cs="David"/>
                <w:sz w:val="26"/>
                <w:rtl/>
              </w:rPr>
              <w:tab/>
              <w:t xml:space="preserve">השר ממונה על ביצוע חוק זה, והוא יתקין, באישור ועדת הפנים והגנת הסביבה </w:t>
            </w:r>
            <w:r>
              <w:rPr>
                <w:rFonts w:cs="David"/>
                <w:sz w:val="26"/>
                <w:rtl/>
              </w:rPr>
              <w:t xml:space="preserve">של הכנסת, תקנות לביצועו, לרבות קביעת אביזרים חוסכי מים שחובה להתקינם, אופן התקנתם, תחזוקתם והבטחת תקינותם ויעילותם. </w:t>
            </w:r>
          </w:p>
        </w:tc>
      </w:tr>
      <w:tr w:rsidR="00000000">
        <w:trPr>
          <w:cantSplit/>
        </w:trPr>
        <w:tc>
          <w:tcPr>
            <w:tcW w:w="1871" w:type="dxa"/>
            <w:tcBorders>
              <w:top w:val="nil"/>
              <w:left w:val="nil"/>
              <w:bottom w:val="nil"/>
              <w:right w:val="nil"/>
            </w:tcBorders>
          </w:tcPr>
          <w:p w:rsidR="00000000" w:rsidRDefault="005E59C6">
            <w:pPr>
              <w:pStyle w:val="TableSideHeading"/>
              <w:rPr>
                <w:rFonts w:cs="David"/>
                <w:sz w:val="26"/>
                <w:rtl/>
              </w:rPr>
            </w:pPr>
          </w:p>
        </w:tc>
        <w:tc>
          <w:tcPr>
            <w:tcW w:w="624" w:type="dxa"/>
            <w:tcBorders>
              <w:top w:val="nil"/>
              <w:left w:val="nil"/>
              <w:bottom w:val="nil"/>
              <w:right w:val="nil"/>
            </w:tcBorders>
          </w:tcPr>
          <w:p w:rsidR="00000000" w:rsidRDefault="005E59C6">
            <w:pPr>
              <w:pStyle w:val="TableText"/>
              <w:rPr>
                <w:rFonts w:cs="David"/>
                <w:sz w:val="26"/>
                <w:rtl/>
              </w:rPr>
            </w:pPr>
          </w:p>
        </w:tc>
        <w:tc>
          <w:tcPr>
            <w:tcW w:w="7143" w:type="dxa"/>
            <w:tcBorders>
              <w:top w:val="nil"/>
              <w:left w:val="nil"/>
              <w:bottom w:val="nil"/>
              <w:right w:val="nil"/>
            </w:tcBorders>
          </w:tcPr>
          <w:p w:rsidR="00000000" w:rsidRDefault="005E59C6">
            <w:pPr>
              <w:pStyle w:val="TableBlock"/>
              <w:rPr>
                <w:rFonts w:cs="David"/>
                <w:sz w:val="26"/>
                <w:rtl/>
              </w:rPr>
            </w:pPr>
            <w:r>
              <w:rPr>
                <w:rFonts w:cs="David"/>
                <w:sz w:val="26"/>
                <w:rtl/>
              </w:rPr>
              <w:t>(ב)</w:t>
            </w:r>
            <w:r>
              <w:rPr>
                <w:rFonts w:cs="David"/>
                <w:sz w:val="26"/>
                <w:rtl/>
              </w:rPr>
              <w:tab/>
              <w:t xml:space="preserve">תקנות ראשונות יובאו לאישור ועדת הפני והגנת הסביבה של הכנסת בתוך שלושה חודשים מיום פרסומו של חוק זה. </w:t>
            </w:r>
          </w:p>
        </w:tc>
      </w:tr>
    </w:tbl>
    <w:p w:rsidR="00000000" w:rsidRDefault="005E59C6">
      <w:pPr>
        <w:pStyle w:val="HeadDivreiHesber"/>
        <w:spacing w:line="240" w:lineRule="auto"/>
        <w:rPr>
          <w:rFonts w:cs="David"/>
          <w:sz w:val="26"/>
          <w:rtl/>
        </w:rPr>
      </w:pPr>
      <w:r>
        <w:rPr>
          <w:rFonts w:cs="David"/>
          <w:sz w:val="26"/>
          <w:rtl/>
        </w:rPr>
        <w:t>דברי הסבר</w:t>
      </w:r>
    </w:p>
    <w:p w:rsidR="00000000" w:rsidRDefault="005E59C6">
      <w:pPr>
        <w:pStyle w:val="Hesber"/>
        <w:spacing w:line="240" w:lineRule="auto"/>
        <w:rPr>
          <w:rFonts w:cs="David"/>
          <w:sz w:val="26"/>
          <w:rtl/>
        </w:rPr>
      </w:pPr>
      <w:r>
        <w:rPr>
          <w:rFonts w:cs="David"/>
          <w:sz w:val="26"/>
          <w:rtl/>
        </w:rPr>
        <w:t>משק המים בישראל סובל</w:t>
      </w:r>
      <w:r>
        <w:rPr>
          <w:rFonts w:cs="David"/>
          <w:sz w:val="26"/>
          <w:rtl/>
        </w:rPr>
        <w:t xml:space="preserve"> מגרעון חמור של מים שפירים שהולך ומחריף. גרעון זה נובע בעיקרו מהידלדלות מקורות המים ומביקוש גובר למים. מקורות מים רבים בישראל הפכו עם השנים ללא ראויים לשתייה, בעיקר עקב זיהום ושאיבת יתר עד כדי המלחת מי התהום. במקביל, הביקוש למים נמצא בעלייה מתמדת כתוצאה מג</w:t>
      </w:r>
      <w:r>
        <w:rPr>
          <w:rFonts w:cs="David"/>
          <w:sz w:val="26"/>
          <w:rtl/>
        </w:rPr>
        <w:t>ידול האוכלוסין והעלייה ברמת החיים.</w:t>
      </w:r>
    </w:p>
    <w:p w:rsidR="00000000" w:rsidRDefault="005E59C6">
      <w:pPr>
        <w:pStyle w:val="Hesber"/>
        <w:spacing w:line="240" w:lineRule="auto"/>
        <w:rPr>
          <w:rFonts w:cs="David"/>
          <w:sz w:val="26"/>
          <w:rtl/>
        </w:rPr>
      </w:pPr>
      <w:r>
        <w:rPr>
          <w:rFonts w:cs="David"/>
          <w:sz w:val="26"/>
          <w:rtl/>
        </w:rPr>
        <w:t>על מנת לצמצם גרעון זה, יש צורך בפעולה נרחבת ומיידית הכוללת שילוב בין צעדים להגדלת היצע המים הזמין, כגון התפלת מי ים או ייבוא מים מתוקים, וצעדים להקטנת הביקוש למים על ידי פעולות חיסכון והתייעלות במשק. התוכנית הרב שנתית להת</w:t>
      </w:r>
      <w:r>
        <w:rPr>
          <w:rFonts w:cs="David"/>
          <w:sz w:val="26"/>
          <w:rtl/>
        </w:rPr>
        <w:t>פלת מי ים היא</w:t>
      </w:r>
      <w:r>
        <w:rPr>
          <w:rFonts w:cs="David"/>
        </w:rPr>
        <w:t xml:space="preserve"> </w:t>
      </w:r>
      <w:r>
        <w:rPr>
          <w:rFonts w:cs="David"/>
          <w:sz w:val="26"/>
          <w:rtl/>
        </w:rPr>
        <w:t>פתרון מוגבל, הדורש משאבים רבים, שיישומו יארך מספר שנים, הרי שחיסכון מהווה</w:t>
      </w:r>
      <w:r>
        <w:rPr>
          <w:rFonts w:cs="David"/>
        </w:rPr>
        <w:t xml:space="preserve"> </w:t>
      </w:r>
      <w:r>
        <w:rPr>
          <w:rFonts w:cs="David"/>
          <w:sz w:val="26"/>
          <w:rtl/>
        </w:rPr>
        <w:t>פתרון ישים בטווח המיידי ועלותו נמוכה בהרבה.</w:t>
      </w:r>
      <w:r>
        <w:rPr>
          <w:rFonts w:cs="David"/>
        </w:rPr>
        <w:t xml:space="preserve"> </w:t>
      </w:r>
    </w:p>
    <w:p w:rsidR="00000000" w:rsidRDefault="005E59C6">
      <w:pPr>
        <w:pStyle w:val="Hesber"/>
        <w:spacing w:line="240" w:lineRule="auto"/>
        <w:rPr>
          <w:rFonts w:cs="David"/>
          <w:sz w:val="26"/>
          <w:rtl/>
        </w:rPr>
      </w:pPr>
      <w:r>
        <w:rPr>
          <w:rFonts w:cs="David"/>
          <w:sz w:val="26"/>
          <w:rtl/>
        </w:rPr>
        <w:t>ממחקרים שונים שנעשו בישראל עולה כי קיים פוטנציאל רב לחסכון במים במגזר העירוני והפרטי האחראי לכ-40% מכלל הצריכה הלאומית. פעי</w:t>
      </w:r>
      <w:r>
        <w:rPr>
          <w:rFonts w:cs="David"/>
          <w:sz w:val="26"/>
          <w:rtl/>
        </w:rPr>
        <w:t>לויות לעידוד חסכון בצריכה שנעשו</w:t>
      </w:r>
      <w:r>
        <w:rPr>
          <w:rFonts w:cs="David"/>
        </w:rPr>
        <w:t xml:space="preserve"> </w:t>
      </w:r>
      <w:r>
        <w:rPr>
          <w:rFonts w:cs="David"/>
          <w:sz w:val="26"/>
          <w:rtl/>
        </w:rPr>
        <w:t>בעבר במגזרים אלו הראו כי ניתן להגיע לחסכון של 10% עד 20% מכמות המים הנצרכת מבלי לפגוע באופן משמעותי ברווחת המשתמשים.</w:t>
      </w:r>
    </w:p>
    <w:p w:rsidR="00000000" w:rsidRDefault="005E59C6">
      <w:pPr>
        <w:pStyle w:val="Hesber"/>
        <w:spacing w:line="240" w:lineRule="auto"/>
        <w:rPr>
          <w:rFonts w:cs="David"/>
          <w:sz w:val="26"/>
          <w:rtl/>
        </w:rPr>
      </w:pPr>
      <w:r>
        <w:rPr>
          <w:rFonts w:cs="David"/>
          <w:sz w:val="26"/>
          <w:rtl/>
        </w:rPr>
        <w:t xml:space="preserve">הדרך הפשוטה והזולה ביותר למימוש חלקי של פוטנציאל לחיסכון זה היא על ידי התקנת ווסתי הספיקה (להלן – חסכמים), </w:t>
      </w:r>
      <w:r>
        <w:rPr>
          <w:rFonts w:cs="David"/>
          <w:sz w:val="26"/>
          <w:rtl/>
        </w:rPr>
        <w:t>המיועדים להגבלת כמות המים העוברת בברז בעת פתיחתו. פוטנציאל החיסכון של החסכמים נאמד בשיעורים של בין 11% ל-15%, מתוך כלל הצריכה הביתית.</w:t>
      </w:r>
    </w:p>
    <w:p w:rsidR="00000000" w:rsidRDefault="005E59C6">
      <w:pPr>
        <w:pStyle w:val="Hesber"/>
        <w:spacing w:line="240" w:lineRule="auto"/>
        <w:rPr>
          <w:rFonts w:cs="David"/>
          <w:sz w:val="26"/>
          <w:rtl/>
        </w:rPr>
      </w:pPr>
      <w:r>
        <w:rPr>
          <w:rFonts w:cs="David"/>
          <w:sz w:val="26"/>
          <w:rtl/>
        </w:rPr>
        <w:t>בהחלטת ממשלה מספר 510 מיום י' באב התשס"א (30 ביולי 2001), מוצע לחייב התקנת חסכמים בכל המבנים המשמשים גופים ציבוריים. בפעיל</w:t>
      </w:r>
      <w:r>
        <w:rPr>
          <w:rFonts w:cs="David"/>
          <w:sz w:val="26"/>
          <w:rtl/>
        </w:rPr>
        <w:t xml:space="preserve">ות כזו יש הצהרת כוונות ודוגמא להתנהגות רצויה בזמן שמשק המים שרוי במשבר מתוך כוונה שהשימוש בחסכמים יונהג במגזר הפרטי. </w:t>
      </w:r>
    </w:p>
    <w:p w:rsidR="00000000" w:rsidRDefault="005E59C6">
      <w:pPr>
        <w:pStyle w:val="Hesber"/>
        <w:spacing w:line="240" w:lineRule="auto"/>
        <w:rPr>
          <w:rFonts w:cs="David"/>
          <w:sz w:val="26"/>
          <w:rtl/>
        </w:rPr>
      </w:pPr>
      <w:r>
        <w:rPr>
          <w:rFonts w:cs="David"/>
          <w:sz w:val="26"/>
          <w:rtl/>
        </w:rPr>
        <w:t>הצעת חוק דומה בעיקרה הונחה על שולחן הכנסת השבע-עשרה על ידי חברי הכנסת יוחנן פלסנר, דב חנין, גלעד ארדן, איתן כבל ואסתרינה טרטמן (פ/3689/17)</w:t>
      </w:r>
      <w:r>
        <w:rPr>
          <w:rFonts w:cs="David"/>
          <w:sz w:val="26"/>
          <w:rtl/>
        </w:rPr>
        <w:t>.</w:t>
      </w:r>
    </w:p>
    <w:p w:rsidR="00000000" w:rsidRDefault="005E59C6">
      <w:pPr>
        <w:pStyle w:val="Hesber"/>
        <w:spacing w:line="240" w:lineRule="auto"/>
        <w:rPr>
          <w:rFonts w:cs="David"/>
          <w:sz w:val="26"/>
          <w:rtl/>
        </w:rPr>
      </w:pPr>
    </w:p>
    <w:p w:rsidR="00000000" w:rsidRDefault="005E59C6">
      <w:pPr>
        <w:pStyle w:val="Hesber"/>
        <w:spacing w:line="240" w:lineRule="auto"/>
        <w:rPr>
          <w:rFonts w:cs="David"/>
          <w:sz w:val="26"/>
          <w:rtl/>
        </w:rPr>
      </w:pPr>
    </w:p>
    <w:p w:rsidR="00000000" w:rsidRDefault="005E59C6">
      <w:pPr>
        <w:pStyle w:val="Hesber"/>
        <w:spacing w:line="240" w:lineRule="auto"/>
        <w:rPr>
          <w:rFonts w:cs="David"/>
          <w:sz w:val="26"/>
          <w:rtl/>
        </w:rPr>
      </w:pPr>
      <w:r>
        <w:rPr>
          <w:rFonts w:cs="David"/>
          <w:sz w:val="26"/>
          <w:rtl/>
        </w:rPr>
        <w:t>---------------------------------</w:t>
      </w:r>
    </w:p>
    <w:p w:rsidR="00000000" w:rsidRDefault="005E59C6">
      <w:pPr>
        <w:pStyle w:val="Hesber"/>
        <w:spacing w:line="240" w:lineRule="auto"/>
        <w:rPr>
          <w:rFonts w:cs="David"/>
          <w:sz w:val="26"/>
          <w:rtl/>
        </w:rPr>
      </w:pPr>
      <w:r>
        <w:rPr>
          <w:rFonts w:cs="David"/>
          <w:sz w:val="26"/>
          <w:rtl/>
        </w:rPr>
        <w:t>הוגשה ליו"ר הכנסת והסגנים</w:t>
      </w:r>
    </w:p>
    <w:p w:rsidR="00000000" w:rsidRDefault="005E59C6">
      <w:pPr>
        <w:pStyle w:val="Hesber"/>
        <w:spacing w:line="240" w:lineRule="auto"/>
        <w:rPr>
          <w:rFonts w:cs="David"/>
          <w:sz w:val="26"/>
          <w:rtl/>
        </w:rPr>
      </w:pPr>
      <w:r>
        <w:rPr>
          <w:rFonts w:cs="David"/>
          <w:sz w:val="26"/>
          <w:rtl/>
        </w:rPr>
        <w:t>והונחה על שולחן הכנסת ביום</w:t>
      </w:r>
    </w:p>
    <w:p w:rsidR="00000000" w:rsidRDefault="005E59C6">
      <w:pPr>
        <w:pStyle w:val="Hesber"/>
        <w:spacing w:line="240" w:lineRule="auto"/>
        <w:rPr>
          <w:rFonts w:cs="David"/>
          <w:sz w:val="26"/>
          <w:rtl/>
        </w:rPr>
      </w:pPr>
      <w:r>
        <w:rPr>
          <w:rFonts w:cs="David"/>
          <w:sz w:val="26"/>
          <w:rtl/>
        </w:rPr>
        <w:t>י' באייר התשס"ט – 4.5.09</w:t>
      </w:r>
    </w:p>
    <w:sectPr w:rsidR="00000000">
      <w:headerReference w:type="default" r:id="rId7"/>
      <w:footerReference w:type="default" r:id="rId8"/>
      <w:headerReference w:type="first" r:id="rId9"/>
      <w:footerReference w:type="first" r:id="rId10"/>
      <w:pgSz w:w="11907" w:h="16840" w:code="9"/>
      <w:pgMar w:top="993" w:right="1134" w:bottom="993"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E59C6">
      <w:pPr>
        <w:rPr>
          <w:rFonts w:cs="Hadasa Roso SL"/>
        </w:rPr>
      </w:pPr>
      <w:r>
        <w:rPr>
          <w:rFonts w:cs="Hadasa Roso SL"/>
        </w:rPr>
        <w:separator/>
      </w:r>
    </w:p>
  </w:endnote>
  <w:endnote w:type="continuationSeparator" w:id="0">
    <w:p w:rsidR="00000000" w:rsidRDefault="005E59C6">
      <w:pPr>
        <w:rPr>
          <w:rFonts w:cs="Hadasa Roso SL"/>
        </w:rPr>
      </w:pPr>
      <w:r>
        <w:rPr>
          <w:rFonts w:cs="Hadasa Roso SL"/>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panose1 w:val="00000000000000000000"/>
    <w:charset w:val="00"/>
    <w:family w:val="roman"/>
    <w:notTrueType/>
    <w:pitch w:val="variable"/>
    <w:sig w:usb0="00000003" w:usb1="00000000" w:usb2="00000000" w:usb3="00000000" w:csb0="00000001" w:csb1="00000000"/>
  </w:font>
  <w:font w:name="MS Mincho">
    <w:altName w:val="Arial Unicode MS"/>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59C6">
    <w:pPr>
      <w:pStyle w:val="ab"/>
      <w:framePr w:wrap="auto" w:vAnchor="text" w:hAnchor="text" w:xAlign="center" w:y="1"/>
      <w:rPr>
        <w:rStyle w:val="af"/>
        <w:rFonts w:cs="Hadasa Roso SL"/>
      </w:rPr>
    </w:pPr>
    <w:r>
      <w:rPr>
        <w:rStyle w:val="af"/>
        <w:rFonts w:cs="Hadasa Roso SL"/>
      </w:rPr>
      <w:fldChar w:fldCharType="begin"/>
    </w:r>
    <w:r>
      <w:rPr>
        <w:rStyle w:val="af"/>
        <w:rFonts w:cs="Hadasa Roso SL"/>
      </w:rPr>
      <w:instrText xml:space="preserve">PAGE  </w:instrText>
    </w:r>
    <w:r>
      <w:rPr>
        <w:rStyle w:val="af"/>
        <w:rFonts w:cs="Hadasa Roso SL"/>
      </w:rPr>
      <w:fldChar w:fldCharType="separate"/>
    </w:r>
    <w:r>
      <w:rPr>
        <w:rStyle w:val="af"/>
        <w:rFonts w:cs="Hadasa Roso SL"/>
        <w:noProof/>
        <w:rtl/>
      </w:rPr>
      <w:t>2</w:t>
    </w:r>
    <w:r>
      <w:rPr>
        <w:rStyle w:val="af"/>
        <w:rFonts w:cs="Hadasa Roso SL"/>
      </w:rPr>
      <w:fldChar w:fldCharType="end"/>
    </w:r>
  </w:p>
  <w:p w:rsidR="00000000" w:rsidRDefault="005E59C6">
    <w:pPr>
      <w:pStyle w:val="ab"/>
      <w:rPr>
        <w:rFonts w:cs="Hadasa Roso S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59C6">
    <w:pPr>
      <w:pStyle w:val="ab"/>
      <w:rPr>
        <w:rFonts w:cs="Hadasa Roso S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E59C6">
      <w:pPr>
        <w:rPr>
          <w:rFonts w:cs="Hadasa Roso SL"/>
        </w:rPr>
      </w:pPr>
      <w:r>
        <w:rPr>
          <w:rFonts w:cs="Hadasa Roso SL"/>
        </w:rPr>
        <w:separator/>
      </w:r>
    </w:p>
  </w:footnote>
  <w:footnote w:type="continuationSeparator" w:id="0">
    <w:p w:rsidR="00000000" w:rsidRDefault="005E59C6">
      <w:pPr>
        <w:rPr>
          <w:rFonts w:cs="Hadasa Roso SL"/>
        </w:rPr>
      </w:pPr>
      <w:r>
        <w:rPr>
          <w:rFonts w:cs="Hadasa Roso SL"/>
        </w:rPr>
        <w:continuationSeparator/>
      </w:r>
    </w:p>
  </w:footnote>
  <w:footnote w:type="continuationNotice" w:id="1">
    <w:p w:rsidR="00000000" w:rsidRDefault="005E59C6">
      <w:pPr>
        <w:rPr>
          <w:rFonts w:cs="Hadasa Roso SL"/>
        </w:rPr>
      </w:pPr>
    </w:p>
  </w:footnote>
  <w:footnote w:id="2">
    <w:p w:rsidR="00000000" w:rsidRDefault="005E59C6">
      <w:pPr>
        <w:pStyle w:val="a5"/>
      </w:pPr>
      <w:r>
        <w:rPr>
          <w:rStyle w:val="a7"/>
          <w:rFonts w:cs="David"/>
        </w:rPr>
        <w:footnoteRef/>
      </w:r>
      <w:r>
        <w:rPr>
          <w:rFonts w:cs="David"/>
          <w:sz w:val="20"/>
          <w:rtl/>
        </w:rPr>
        <w:t xml:space="preserve"> ס"ח התשל"ה, עמ' 132.</w:t>
      </w:r>
    </w:p>
  </w:footnote>
  <w:footnote w:id="3">
    <w:p w:rsidR="00000000" w:rsidRDefault="005E59C6">
      <w:pPr>
        <w:pStyle w:val="a5"/>
      </w:pPr>
      <w:r>
        <w:rPr>
          <w:rStyle w:val="a7"/>
          <w:rFonts w:cs="David"/>
        </w:rPr>
        <w:footnoteRef/>
      </w:r>
      <w:r>
        <w:rPr>
          <w:rFonts w:cs="David"/>
          <w:sz w:val="20"/>
          <w:rtl/>
        </w:rPr>
        <w:t xml:space="preserve"> ס"ח התשמ"ה, עמ' 60.</w:t>
      </w:r>
    </w:p>
  </w:footnote>
  <w:footnote w:id="4">
    <w:p w:rsidR="00000000" w:rsidRDefault="005E59C6">
      <w:pPr>
        <w:pStyle w:val="a5"/>
      </w:pPr>
      <w:r>
        <w:rPr>
          <w:rStyle w:val="a7"/>
          <w:rFonts w:cs="David"/>
        </w:rPr>
        <w:footnoteRef/>
      </w:r>
      <w:r>
        <w:rPr>
          <w:rFonts w:cs="David"/>
          <w:sz w:val="20"/>
          <w:rtl/>
        </w:rPr>
        <w:t xml:space="preserve"> ס"ח התשס"ב, עמ' 179.</w:t>
      </w:r>
    </w:p>
  </w:footnote>
  <w:footnote w:id="5">
    <w:p w:rsidR="00000000" w:rsidRDefault="005E59C6">
      <w:pPr>
        <w:pStyle w:val="a5"/>
      </w:pPr>
      <w:r>
        <w:rPr>
          <w:rStyle w:val="a7"/>
          <w:rFonts w:cs="David"/>
        </w:rPr>
        <w:footnoteRef/>
      </w:r>
      <w:r>
        <w:rPr>
          <w:rFonts w:cs="David"/>
          <w:sz w:val="20"/>
          <w:rtl/>
        </w:rPr>
        <w:t xml:space="preserve"> ס"ח התשל"ז, עמ' 226.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59C6">
    <w:pPr>
      <w:pStyle w:val="a9"/>
      <w:rPr>
        <w:rFonts w:cs="Hadasa Roso S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E59C6">
    <w:pPr>
      <w:pStyle w:val="a9"/>
      <w:rPr>
        <w:rFonts w:cs="Hadasa Roso S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7D5CAEA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67E88A74"/>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45DA1EB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pPr>
      <w:rPr>
        <w:rFonts w:cs="Times New Roman" w:hint="default"/>
      </w:rPr>
    </w:lvl>
    <w:lvl w:ilvl="1" w:tplc="D3D4E8B2">
      <w:start w:val="1"/>
      <w:numFmt w:val="decimal"/>
      <w:lvlText w:val="(%2)"/>
      <w:lvlJc w:val="left"/>
      <w:pPr>
        <w:tabs>
          <w:tab w:val="num" w:pos="624"/>
        </w:tabs>
      </w:pPr>
      <w:rPr>
        <w:rFonts w:cs="Times New Roman" w:hint="default"/>
      </w:rPr>
    </w:lvl>
    <w:lvl w:ilvl="2" w:tplc="5D2AB1E4">
      <w:start w:val="1"/>
      <w:numFmt w:val="hebrew1"/>
      <w:lvlText w:val="(%3)"/>
      <w:lvlJc w:val="left"/>
      <w:pPr>
        <w:tabs>
          <w:tab w:val="num" w:pos="624"/>
        </w:tabs>
      </w:pPr>
      <w:rPr>
        <w:rFonts w:cs="Times New Roman" w:hint="default"/>
      </w:rPr>
    </w:lvl>
    <w:lvl w:ilvl="3" w:tplc="1F820BA4">
      <w:start w:val="1"/>
      <w:numFmt w:val="hebrew1"/>
      <w:lvlRestart w:val="0"/>
      <w:lvlText w:val="(%4)"/>
      <w:lvlJc w:val="left"/>
      <w:pPr>
        <w:tabs>
          <w:tab w:val="num" w:pos="624"/>
        </w:tabs>
      </w:pPr>
      <w:rPr>
        <w:rFonts w:cs="Times New Roman" w:hint="default"/>
      </w:rPr>
    </w:lvl>
    <w:lvl w:ilvl="4" w:tplc="62C6E096">
      <w:start w:val="1"/>
      <w:numFmt w:val="decimal"/>
      <w:lvlRestart w:val="0"/>
      <w:lvlText w:val="(%5)"/>
      <w:lvlJc w:val="left"/>
      <w:pPr>
        <w:tabs>
          <w:tab w:val="num" w:pos="3864"/>
        </w:tabs>
        <w:ind w:left="3240"/>
      </w:pPr>
      <w:rPr>
        <w:rFonts w:cs="Times New Roman" w:hint="default"/>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nsid w:val="75C858E4"/>
    <w:multiLevelType w:val="hybridMultilevel"/>
    <w:tmpl w:val="882C6ED4"/>
    <w:lvl w:ilvl="0" w:tplc="4112A21E">
      <w:start w:val="1"/>
      <w:numFmt w:val="hebrew1"/>
      <w:lvlRestart w:val="0"/>
      <w:lvlText w:val="(%1)"/>
      <w:lvlJc w:val="left"/>
      <w:pPr>
        <w:tabs>
          <w:tab w:val="num" w:pos="624"/>
        </w:tabs>
      </w:pPr>
      <w:rPr>
        <w:rFonts w:cs="Times New Roman" w:hint="default"/>
      </w:rPr>
    </w:lvl>
    <w:lvl w:ilvl="1" w:tplc="49082BE6">
      <w:start w:val="1"/>
      <w:numFmt w:val="decimal"/>
      <w:lvlRestart w:val="0"/>
      <w:lvlText w:val="(%2)"/>
      <w:lvlJc w:val="left"/>
      <w:pPr>
        <w:tabs>
          <w:tab w:val="num" w:pos="1704"/>
        </w:tabs>
        <w:ind w:left="1080"/>
      </w:pPr>
      <w:rPr>
        <w:rFonts w:cs="Times New Roman" w:hint="default"/>
      </w:rPr>
    </w:lvl>
    <w:lvl w:ilvl="2" w:tplc="48C06176">
      <w:start w:val="1"/>
      <w:numFmt w:val="decimal"/>
      <w:lvlRestart w:val="0"/>
      <w:lvlText w:val="(%3)"/>
      <w:lvlJc w:val="left"/>
      <w:pPr>
        <w:tabs>
          <w:tab w:val="num" w:pos="2604"/>
        </w:tabs>
        <w:ind w:left="198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 w:id="1"/>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1196lsCopyOriginal.doc"/>
    <w:docVar w:name="StartMode" w:val="3"/>
  </w:docVars>
  <w:rsids>
    <w:rsidRoot w:val="005E59C6"/>
    <w:rsid w:val="005E59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footer" w:unhideWhenUsed="0"/>
    <w:lsdException w:name="caption" w:uiPriority="35" w:qFormat="1"/>
    <w:lsdException w:name="footnote reference" w:unhideWhenUsed="0"/>
    <w:lsdException w:name="page number" w:unhideWhenUsed="0"/>
    <w:lsdException w:name="endnote reference" w:unhideWhenUsed="0"/>
    <w:lsdException w:name="endnote text"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MS Mincho"/>
      <w:color w:val="000000"/>
      <w:spacing w:val="1"/>
      <w:sz w:val="17"/>
      <w:szCs w:val="17"/>
      <w:lang w:eastAsia="ja-JP"/>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uiPriority w:val="99"/>
    <w:pPr>
      <w:widowControl w:val="0"/>
      <w:autoSpaceDE w:val="0"/>
      <w:autoSpaceDN w:val="0"/>
      <w:bidi/>
      <w:adjustRightInd w:val="0"/>
      <w:snapToGrid w:val="0"/>
      <w:spacing w:after="0" w:line="360" w:lineRule="auto"/>
      <w:textAlignment w:val="center"/>
    </w:pPr>
    <w:rPr>
      <w:rFonts w:ascii="Arial" w:eastAsia="Arial Unicode MS" w:hAnsi="Arial" w:cs="Arial Unicode MS"/>
      <w:color w:val="000000"/>
      <w:sz w:val="20"/>
      <w:szCs w:val="26"/>
      <w:lang w:eastAsia="ja-JP"/>
    </w:rPr>
  </w:style>
  <w:style w:type="paragraph" w:customStyle="1" w:styleId="Cover1-Reshumot">
    <w:name w:val="Cover 1-Reshumot"/>
    <w:basedOn w:val="a"/>
    <w:uiPriority w:val="99"/>
    <w:pPr>
      <w:tabs>
        <w:tab w:val="left" w:pos="1191"/>
        <w:tab w:val="left" w:pos="1587"/>
      </w:tabs>
      <w:snapToGrid w:val="0"/>
      <w:spacing w:before="240" w:after="240" w:line="480" w:lineRule="auto"/>
      <w:ind w:firstLine="0"/>
      <w:jc w:val="center"/>
    </w:pPr>
    <w:rPr>
      <w:rFonts w:ascii="Arial" w:eastAsia="Arial Unicode MS" w:hAnsi="Arial" w:cs="Arial Unicode MS"/>
      <w:spacing w:val="0"/>
      <w:sz w:val="20"/>
      <w:szCs w:val="26"/>
    </w:rPr>
  </w:style>
  <w:style w:type="paragraph" w:customStyle="1" w:styleId="Cover2-HatzaotHok">
    <w:name w:val="Cover 2-HatzaotHok"/>
    <w:basedOn w:val="Cover1-Reshumot"/>
    <w:uiPriority w:val="99"/>
    <w:rPr>
      <w:sz w:val="36"/>
      <w:szCs w:val="52"/>
    </w:rPr>
  </w:style>
  <w:style w:type="paragraph" w:customStyle="1" w:styleId="Cover3-Haknesset">
    <w:name w:val="Cover 3-Haknesset"/>
    <w:basedOn w:val="Cover1-Reshumot"/>
    <w:uiPriority w:val="99"/>
    <w:rPr>
      <w:b/>
      <w:bCs/>
      <w:spacing w:val="60"/>
    </w:rPr>
  </w:style>
  <w:style w:type="paragraph" w:customStyle="1" w:styleId="Cover4-Date">
    <w:name w:val="Cover 4-Date"/>
    <w:basedOn w:val="a"/>
    <w:uiPriority w:val="99"/>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Arial Unicode MS"/>
      <w:spacing w:val="0"/>
      <w:sz w:val="20"/>
      <w:szCs w:val="26"/>
    </w:rPr>
  </w:style>
  <w:style w:type="paragraph" w:customStyle="1" w:styleId="TOC">
    <w:name w:val="TOC"/>
    <w:basedOn w:val="Noparagraphstyle"/>
    <w:uiPriority w:val="99"/>
    <w:pPr>
      <w:tabs>
        <w:tab w:val="left" w:leader="dot" w:pos="8789"/>
      </w:tabs>
      <w:spacing w:before="120"/>
      <w:ind w:left="284" w:right="284"/>
    </w:pPr>
  </w:style>
  <w:style w:type="paragraph" w:customStyle="1" w:styleId="TOCpg">
    <w:name w:val="TOC pg"/>
    <w:basedOn w:val="TOC"/>
    <w:uiPriority w:val="99"/>
    <w:pPr>
      <w:spacing w:after="120"/>
      <w:ind w:right="567"/>
      <w:jc w:val="right"/>
    </w:pPr>
  </w:style>
  <w:style w:type="paragraph" w:customStyle="1" w:styleId="HeadMitparsemetBaze">
    <w:name w:val="Head MitparsemetBaze"/>
    <w:basedOn w:val="a"/>
    <w:uiPriority w:val="99"/>
    <w:pPr>
      <w:keepNext/>
      <w:keepLines/>
      <w:pageBreakBefore/>
      <w:snapToGrid w:val="0"/>
      <w:spacing w:before="480" w:line="360" w:lineRule="auto"/>
      <w:ind w:firstLine="0"/>
    </w:pPr>
    <w:rPr>
      <w:rFonts w:ascii="Arial" w:eastAsia="Arial Unicode MS" w:hAnsi="Arial" w:cs="Arial Unicode MS"/>
      <w:b/>
      <w:bCs/>
      <w:spacing w:val="0"/>
      <w:sz w:val="20"/>
      <w:szCs w:val="26"/>
    </w:rPr>
  </w:style>
  <w:style w:type="paragraph" w:customStyle="1" w:styleId="HeadHatzaotHok">
    <w:name w:val="Head HatzaotHok"/>
    <w:basedOn w:val="a"/>
    <w:uiPriority w:val="99"/>
    <w:pPr>
      <w:keepNext/>
      <w:keepLines/>
      <w:snapToGrid w:val="0"/>
      <w:spacing w:before="240" w:line="360" w:lineRule="auto"/>
      <w:ind w:firstLine="0"/>
      <w:jc w:val="center"/>
    </w:pPr>
    <w:rPr>
      <w:rFonts w:ascii="Arial" w:eastAsia="Arial Unicode MS" w:hAnsi="Arial" w:cs="Arial Unicode MS"/>
      <w:b/>
      <w:bCs/>
      <w:spacing w:val="0"/>
      <w:sz w:val="20"/>
      <w:szCs w:val="26"/>
    </w:rPr>
  </w:style>
  <w:style w:type="paragraph" w:customStyle="1" w:styleId="HeadHatzaotHok4Futer">
    <w:name w:val="Head HatzaotHok4Futer"/>
    <w:basedOn w:val="HeadHatzaotHok"/>
    <w:uiPriority w:val="99"/>
    <w:pPr>
      <w:spacing w:before="120" w:after="120"/>
    </w:pPr>
    <w:rPr>
      <w:color w:val="FF0000"/>
      <w:w w:val="80"/>
    </w:rPr>
  </w:style>
  <w:style w:type="paragraph" w:styleId="a3">
    <w:name w:val="endnote text"/>
    <w:basedOn w:val="a"/>
    <w:link w:val="a4"/>
    <w:uiPriority w:val="99"/>
    <w:pPr>
      <w:ind w:left="227" w:hanging="227"/>
    </w:pPr>
    <w:rPr>
      <w:sz w:val="14"/>
      <w:szCs w:val="22"/>
    </w:rPr>
  </w:style>
  <w:style w:type="character" w:customStyle="1" w:styleId="a4">
    <w:name w:val="טקסט הערת סיום תו"/>
    <w:basedOn w:val="a0"/>
    <w:link w:val="a3"/>
    <w:uiPriority w:val="99"/>
    <w:semiHidden/>
    <w:rPr>
      <w:rFonts w:ascii="Hadasa Roso SL" w:eastAsia="MS Mincho" w:hAnsi="Hadasa Roso SL" w:cs="MS Mincho"/>
      <w:color w:val="000000"/>
      <w:spacing w:val="1"/>
      <w:sz w:val="20"/>
      <w:szCs w:val="20"/>
      <w:lang w:eastAsia="ja-JP"/>
    </w:rPr>
  </w:style>
  <w:style w:type="paragraph" w:customStyle="1" w:styleId="TableText">
    <w:name w:val="Table Text"/>
    <w:basedOn w:val="a"/>
    <w:uiPriority w:val="99"/>
    <w:pPr>
      <w:keepLines/>
      <w:tabs>
        <w:tab w:val="left" w:pos="624"/>
        <w:tab w:val="left" w:pos="1247"/>
      </w:tabs>
      <w:snapToGrid w:val="0"/>
      <w:spacing w:before="0" w:line="360" w:lineRule="auto"/>
      <w:ind w:right="57" w:firstLine="0"/>
      <w:jc w:val="left"/>
    </w:pPr>
    <w:rPr>
      <w:rFonts w:ascii="Arial" w:eastAsia="Arial Unicode MS" w:hAnsi="Arial" w:cs="Arial Unicode MS"/>
      <w:spacing w:val="0"/>
      <w:sz w:val="20"/>
      <w:szCs w:val="26"/>
    </w:rPr>
  </w:style>
  <w:style w:type="paragraph" w:customStyle="1" w:styleId="TableSideHeading">
    <w:name w:val="Table SideHeading"/>
    <w:basedOn w:val="TableText"/>
    <w:uiPriority w:val="99"/>
  </w:style>
  <w:style w:type="paragraph" w:customStyle="1" w:styleId="TableBlock">
    <w:name w:val="Table Block"/>
    <w:basedOn w:val="TableText"/>
    <w:uiPriority w:val="99"/>
    <w:pPr>
      <w:ind w:right="0"/>
      <w:jc w:val="both"/>
    </w:pPr>
  </w:style>
  <w:style w:type="paragraph" w:customStyle="1" w:styleId="TableHead">
    <w:name w:val="Table Head"/>
    <w:basedOn w:val="TableText"/>
    <w:uiPriority w:val="99"/>
    <w:pPr>
      <w:ind w:right="0"/>
      <w:jc w:val="center"/>
    </w:pPr>
    <w:rPr>
      <w:b/>
      <w:bCs/>
    </w:rPr>
  </w:style>
  <w:style w:type="paragraph" w:customStyle="1" w:styleId="TableText2">
    <w:name w:val="Table Text2"/>
    <w:basedOn w:val="TableText"/>
    <w:uiPriority w:val="99"/>
  </w:style>
  <w:style w:type="paragraph" w:customStyle="1" w:styleId="TableInnerSideHeading">
    <w:name w:val="Table InnerSideHeading"/>
    <w:basedOn w:val="TableSideHeading"/>
    <w:uiPriority w:val="99"/>
  </w:style>
  <w:style w:type="paragraph" w:customStyle="1" w:styleId="Hesber">
    <w:name w:val="Hesber"/>
    <w:basedOn w:val="a"/>
    <w:uiPriority w:val="99"/>
    <w:pPr>
      <w:snapToGrid w:val="0"/>
      <w:spacing w:before="0" w:line="360" w:lineRule="auto"/>
    </w:pPr>
    <w:rPr>
      <w:rFonts w:ascii="Arial" w:eastAsia="Arial Unicode MS" w:hAnsi="Arial" w:cs="Arial Unicode MS"/>
      <w:spacing w:val="0"/>
      <w:sz w:val="20"/>
      <w:szCs w:val="26"/>
    </w:rPr>
  </w:style>
  <w:style w:type="paragraph" w:styleId="a5">
    <w:name w:val="footnote text"/>
    <w:basedOn w:val="a"/>
    <w:link w:val="a6"/>
    <w:autoRedefine/>
    <w:uiPriority w:val="99"/>
    <w:pPr>
      <w:snapToGrid w:val="0"/>
      <w:spacing w:before="0" w:line="240" w:lineRule="auto"/>
      <w:ind w:left="227" w:hanging="227"/>
      <w:jc w:val="left"/>
    </w:pPr>
    <w:rPr>
      <w:rFonts w:ascii="Arial" w:eastAsia="Arial Unicode MS" w:hAnsi="Arial" w:cs="Arial Unicode MS"/>
      <w:spacing w:val="0"/>
      <w:sz w:val="14"/>
      <w:szCs w:val="20"/>
    </w:rPr>
  </w:style>
  <w:style w:type="character" w:customStyle="1" w:styleId="a6">
    <w:name w:val="טקסט הערת שוליים תו"/>
    <w:basedOn w:val="a0"/>
    <w:link w:val="a5"/>
    <w:uiPriority w:val="99"/>
    <w:semiHidden/>
    <w:rPr>
      <w:rFonts w:ascii="Hadasa Roso SL" w:eastAsia="MS Mincho" w:hAnsi="Hadasa Roso SL" w:cs="MS Mincho"/>
      <w:color w:val="000000"/>
      <w:spacing w:val="1"/>
      <w:sz w:val="20"/>
      <w:szCs w:val="20"/>
      <w:lang w:eastAsia="ja-JP"/>
    </w:rPr>
  </w:style>
  <w:style w:type="character" w:styleId="a7">
    <w:name w:val="footnote reference"/>
    <w:basedOn w:val="a0"/>
    <w:uiPriority w:val="99"/>
    <w:rPr>
      <w:rFonts w:cs="Times New Roman"/>
      <w:vertAlign w:val="superscript"/>
      <w:lang w:bidi="he-IL"/>
    </w:rPr>
  </w:style>
  <w:style w:type="paragraph" w:customStyle="1" w:styleId="HesberHeading">
    <w:name w:val="Hesber Heading"/>
    <w:basedOn w:val="Hesber"/>
    <w:uiPriority w:val="99"/>
    <w:pPr>
      <w:tabs>
        <w:tab w:val="left" w:pos="624"/>
        <w:tab w:val="left" w:pos="1247"/>
      </w:tabs>
      <w:ind w:firstLine="0"/>
    </w:pPr>
    <w:rPr>
      <w:b/>
      <w:bCs/>
    </w:rPr>
  </w:style>
  <w:style w:type="paragraph" w:customStyle="1" w:styleId="HesberWriters">
    <w:name w:val="Hesber Writers"/>
    <w:basedOn w:val="Hesber"/>
    <w:uiPriority w:val="99"/>
    <w:pPr>
      <w:spacing w:before="120" w:after="6000"/>
      <w:ind w:left="1418" w:firstLine="0"/>
      <w:jc w:val="right"/>
    </w:pPr>
    <w:rPr>
      <w:b/>
      <w:bCs/>
    </w:rPr>
  </w:style>
  <w:style w:type="paragraph" w:customStyle="1" w:styleId="Hesber1st">
    <w:name w:val="Hesber 1st"/>
    <w:basedOn w:val="Hesber"/>
    <w:uiPriority w:val="99"/>
    <w:pPr>
      <w:tabs>
        <w:tab w:val="left" w:pos="680"/>
        <w:tab w:val="left" w:pos="1020"/>
      </w:tabs>
      <w:ind w:firstLine="0"/>
    </w:pPr>
  </w:style>
  <w:style w:type="character" w:styleId="a8">
    <w:name w:val="endnote reference"/>
    <w:basedOn w:val="a0"/>
    <w:uiPriority w:val="99"/>
    <w:rPr>
      <w:rFonts w:cs="Times New Roman"/>
      <w:vertAlign w:val="superscript"/>
      <w:lang w:bidi="he-IL"/>
    </w:rPr>
  </w:style>
  <w:style w:type="paragraph" w:customStyle="1" w:styleId="TableBlockOutdent">
    <w:name w:val="Table BlockOutdent"/>
    <w:basedOn w:val="TableBlock"/>
    <w:uiPriority w:val="99"/>
    <w:pPr>
      <w:ind w:left="624" w:hanging="624"/>
    </w:pPr>
  </w:style>
  <w:style w:type="paragraph" w:styleId="a9">
    <w:name w:val="header"/>
    <w:basedOn w:val="a"/>
    <w:link w:val="aa"/>
    <w:uiPriority w:val="99"/>
    <w:pPr>
      <w:tabs>
        <w:tab w:val="center" w:pos="4153"/>
        <w:tab w:val="right" w:pos="8306"/>
      </w:tabs>
    </w:pPr>
  </w:style>
  <w:style w:type="character" w:customStyle="1" w:styleId="aa">
    <w:name w:val="כותרת עליונה תו"/>
    <w:basedOn w:val="a0"/>
    <w:link w:val="a9"/>
    <w:uiPriority w:val="99"/>
    <w:semiHidden/>
    <w:rPr>
      <w:rFonts w:ascii="Hadasa Roso SL" w:eastAsia="MS Mincho" w:hAnsi="Hadasa Roso SL" w:cs="MS Mincho"/>
      <w:color w:val="000000"/>
      <w:spacing w:val="1"/>
      <w:sz w:val="17"/>
      <w:szCs w:val="17"/>
      <w:lang w:eastAsia="ja-JP"/>
    </w:rPr>
  </w:style>
  <w:style w:type="paragraph" w:styleId="ab">
    <w:name w:val="footer"/>
    <w:basedOn w:val="a"/>
    <w:link w:val="ac"/>
    <w:uiPriority w:val="99"/>
    <w:pPr>
      <w:tabs>
        <w:tab w:val="center" w:pos="4153"/>
        <w:tab w:val="right" w:pos="8306"/>
      </w:tabs>
    </w:pPr>
  </w:style>
  <w:style w:type="character" w:customStyle="1" w:styleId="ac">
    <w:name w:val="כותרת תחתונה תו"/>
    <w:basedOn w:val="a0"/>
    <w:link w:val="ab"/>
    <w:uiPriority w:val="99"/>
    <w:semiHidden/>
    <w:rPr>
      <w:rFonts w:ascii="Hadasa Roso SL" w:eastAsia="MS Mincho" w:hAnsi="Hadasa Roso SL" w:cs="MS Mincho"/>
      <w:color w:val="000000"/>
      <w:spacing w:val="1"/>
      <w:sz w:val="17"/>
      <w:szCs w:val="17"/>
      <w:lang w:eastAsia="ja-JP"/>
    </w:rPr>
  </w:style>
  <w:style w:type="paragraph" w:customStyle="1" w:styleId="HeadDivreiHesber">
    <w:name w:val="Head DivreiHesber"/>
    <w:basedOn w:val="a"/>
    <w:uiPriority w:val="99"/>
    <w:pPr>
      <w:snapToGrid w:val="0"/>
      <w:spacing w:before="360" w:after="120" w:line="360" w:lineRule="auto"/>
      <w:ind w:firstLine="0"/>
      <w:jc w:val="center"/>
    </w:pPr>
    <w:rPr>
      <w:rFonts w:ascii="Arial" w:eastAsia="Arial Unicode MS" w:hAnsi="Arial" w:cs="Arial Unicode MS"/>
      <w:b/>
      <w:spacing w:val="40"/>
      <w:sz w:val="20"/>
      <w:szCs w:val="26"/>
    </w:rPr>
  </w:style>
  <w:style w:type="paragraph" w:customStyle="1" w:styleId="Ragil">
    <w:name w:val="Ragil"/>
    <w:basedOn w:val="a"/>
    <w:uiPriority w:val="99"/>
    <w:pPr>
      <w:snapToGrid w:val="0"/>
      <w:spacing w:before="0" w:line="360" w:lineRule="auto"/>
      <w:jc w:val="left"/>
    </w:pPr>
    <w:rPr>
      <w:rFonts w:ascii="Arial" w:eastAsia="Arial Unicode MS" w:hAnsi="Arial" w:cs="Arial Unicode MS"/>
      <w:spacing w:val="0"/>
      <w:sz w:val="20"/>
      <w:szCs w:val="26"/>
    </w:rPr>
  </w:style>
  <w:style w:type="paragraph" w:styleId="ad">
    <w:name w:val="Title"/>
    <w:basedOn w:val="a"/>
    <w:link w:val="ae"/>
    <w:uiPriority w:val="99"/>
    <w:qFormat/>
    <w:pPr>
      <w:jc w:val="center"/>
    </w:pPr>
    <w:rPr>
      <w:b/>
      <w:bCs/>
      <w:sz w:val="28"/>
      <w:szCs w:val="28"/>
      <w:u w:val="single"/>
    </w:rPr>
  </w:style>
  <w:style w:type="character" w:customStyle="1" w:styleId="ae">
    <w:name w:val="כותרת טקסט תו"/>
    <w:basedOn w:val="a0"/>
    <w:link w:val="ad"/>
    <w:uiPriority w:val="10"/>
    <w:rPr>
      <w:rFonts w:asciiTheme="majorHAnsi" w:eastAsiaTheme="majorEastAsia" w:hAnsiTheme="majorHAnsi" w:cstheme="majorBidi"/>
      <w:b/>
      <w:bCs/>
      <w:color w:val="000000"/>
      <w:spacing w:val="1"/>
      <w:kern w:val="28"/>
      <w:sz w:val="32"/>
      <w:szCs w:val="32"/>
      <w:lang w:eastAsia="ja-JP"/>
    </w:rPr>
  </w:style>
  <w:style w:type="character" w:styleId="af">
    <w:name w:val="page number"/>
    <w:basedOn w:val="a0"/>
    <w:uiPriority w:val="99"/>
    <w:rPr>
      <w:rFonts w:cs="Times New Roman"/>
      <w:lang w:bidi="he-IL"/>
    </w:rPr>
  </w:style>
  <w:style w:type="paragraph" w:customStyle="1" w:styleId="David">
    <w:name w:val="רגיל + (עברית ושפות אחרות) David"/>
    <w:aliases w:val="‏13 נק',מודגש,אחרי:  6 נק'"/>
    <w:basedOn w:val="a"/>
    <w:uiPriority w:val="99"/>
    <w:pPr>
      <w:ind w:firstLine="0"/>
      <w:jc w:val="left"/>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669</Words>
  <Characters>3346</Characters>
  <Application>Microsoft Office Word</Application>
  <DocSecurity>0</DocSecurity>
  <Lines>27</Lines>
  <Paragraphs>8</Paragraphs>
  <ScaleCrop>false</ScaleCrop>
  <Company> </Company>
  <LinksUpToDate>false</LinksUpToDate>
  <CharactersWithSpaces>4007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הגנת הסביבה (שימוש מושכל במשאבי הטבע - חובת התקנת אביזרים חוסכי מים במבני ציבור), התשס"ט-2009</dc:title>
  <dc:subject/>
  <dc:creator>etaif</dc:creator>
  <cp:keywords/>
  <dc:description/>
  <cp:lastModifiedBy>שמואל כוכב</cp:lastModifiedBy>
  <cp:revision>2</cp:revision>
  <cp:lastPrinted>2009-04-26T12:54:00Z</cp:lastPrinted>
  <dcterms:created xsi:type="dcterms:W3CDTF">2015-02-03T16:35:00Z</dcterms:created>
  <dcterms:modified xsi:type="dcterms:W3CDTF">2015-02-03T16:35:00Z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01341909</vt:lpwstr>
  </property>
  <property fmtid="{D5CDD505-2E9C-101B-9397-08002B2CF9AE}" pid="3" name="ContentTypeId">
    <vt:lpwstr>0x010100D2889987F19D9A4EA3E715683F9311D62A009006708AF7741D4EAEBEE3220EA32DEB</vt:lpwstr>
  </property>
  <property fmtid="{D5CDD505-2E9C-101B-9397-08002B2CF9AE}" pid="4" name="ContentType">
    <vt:lpwstr>חקיקה - HatzaaTromit</vt:lpwstr>
  </property>
  <property fmtid="{D5CDD505-2E9C-101B-9397-08002B2CF9AE}" pid="5" name="SDCategoryID">
    <vt:lpwstr>7fc2ca30016a;#</vt:lpwstr>
  </property>
  <property fmtid="{D5CDD505-2E9C-101B-9397-08002B2CF9AE}" pid="6" name="מספר הצעת חוק למיון">
    <vt:lpwstr>1014.00000000000</vt:lpwstr>
  </property>
  <property fmtid="{D5CDD505-2E9C-101B-9397-08002B2CF9AE}" pid="7" name="DocID">
    <vt:lpwstr>223748.000000000</vt:lpwstr>
  </property>
  <property fmtid="{D5CDD505-2E9C-101B-9397-08002B2CF9AE}" pid="8" name="SDCategories">
    <vt:lpwstr>:חקיקה:נוסח לדיון מוקדם;#</vt:lpwstr>
  </property>
  <property fmtid="{D5CDD505-2E9C-101B-9397-08002B2CF9AE}" pid="9" name="SDDocDate">
    <vt:lpwstr>2009-05-04T16:10:00Z</vt:lpwstr>
  </property>
  <property fmtid="{D5CDD505-2E9C-101B-9397-08002B2CF9AE}" pid="10" name="SDHebDate">
    <vt:lpwstr>י' באייר, התשס"ט</vt:lpwstr>
  </property>
  <property fmtid="{D5CDD505-2E9C-101B-9397-08002B2CF9AE}" pid="11" name="Vaada">
    <vt:lpwstr/>
  </property>
  <property fmtid="{D5CDD505-2E9C-101B-9397-08002B2CF9AE}" pid="12" name="תאריך הנחה">
    <vt:lpwstr>2009-05-04T00:00:00Z</vt:lpwstr>
  </property>
  <property fmtid="{D5CDD505-2E9C-101B-9397-08002B2CF9AE}" pid="13" name="ItemID">
    <vt:lpwstr>321196.000000000</vt:lpwstr>
  </property>
  <property fmtid="{D5CDD505-2E9C-101B-9397-08002B2CF9AE}" pid="14" name="ProposerID">
    <vt:lpwstr/>
  </property>
  <property fmtid="{D5CDD505-2E9C-101B-9397-08002B2CF9AE}" pid="15" name="Proposer">
    <vt:lpwstr/>
  </property>
  <property fmtid="{D5CDD505-2E9C-101B-9397-08002B2CF9AE}" pid="16" name="SDAuthor">
    <vt:lpwstr/>
  </property>
  <property fmtid="{D5CDD505-2E9C-101B-9397-08002B2CF9AE}" pid="17" name="MechaberMismach">
    <vt:lpwstr>יוחנן פלסנר</vt:lpwstr>
  </property>
  <property fmtid="{D5CDD505-2E9C-101B-9397-08002B2CF9AE}" pid="18" name="YozemID">
    <vt:lpwstr>000007736, 000012947</vt:lpwstr>
  </property>
  <property fmtid="{D5CDD505-2E9C-101B-9397-08002B2CF9AE}" pid="19" name="MisHatzaatChok">
    <vt:lpwstr>/פ1014/18</vt:lpwstr>
  </property>
  <property fmtid="{D5CDD505-2E9C-101B-9397-08002B2CF9AE}" pid="20" name="YozemHatzaa_ChakList">
    <vt:lpwstr>יוחנן פלסנר, ניצן הורוביץ</vt:lpwstr>
  </property>
</Properties>
</file>