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1A" w:rsidRDefault="009B2D1A" w:rsidP="00DD41CB">
      <w:pPr>
        <w:pStyle w:val="a3"/>
        <w:bidi w:val="0"/>
        <w:spacing w:line="360" w:lineRule="auto"/>
        <w:rPr>
          <w:b w:val="0"/>
          <w:bCs w:val="0"/>
          <w:sz w:val="26"/>
          <w:szCs w:val="26"/>
          <w:u w:val="none"/>
          <w:rtl/>
        </w:rPr>
      </w:pPr>
      <w:bookmarkStart w:id="0" w:name="_GoBack"/>
      <w:bookmarkEnd w:id="0"/>
      <w:r>
        <w:rPr>
          <w:rFonts w:hint="cs"/>
          <w:u w:val="none"/>
          <w:rtl/>
        </w:rPr>
        <w:t>הכנסת השבע-עשרה</w:t>
      </w:r>
    </w:p>
    <w:p w:rsidR="009B2D1A" w:rsidRDefault="009B2D1A" w:rsidP="00DD41CB">
      <w:pPr>
        <w:spacing w:line="360" w:lineRule="auto"/>
        <w:rPr>
          <w:rFonts w:cs="David"/>
          <w:sz w:val="26"/>
          <w:szCs w:val="26"/>
          <w:rtl/>
        </w:rPr>
      </w:pPr>
    </w:p>
    <w:tbl>
      <w:tblPr>
        <w:bidiVisual/>
        <w:tblW w:w="0" w:type="auto"/>
        <w:jc w:val="right"/>
        <w:tblBorders>
          <w:bottom w:val="single" w:sz="4" w:space="0" w:color="auto"/>
        </w:tblBorders>
        <w:tblLook w:val="0000" w:firstRow="0" w:lastRow="0" w:firstColumn="0" w:lastColumn="0" w:noHBand="0" w:noVBand="0"/>
      </w:tblPr>
      <w:tblGrid>
        <w:gridCol w:w="2864"/>
        <w:gridCol w:w="1275"/>
      </w:tblGrid>
      <w:tr w:rsidR="00DD41CB">
        <w:trPr>
          <w:jc w:val="right"/>
        </w:trPr>
        <w:tc>
          <w:tcPr>
            <w:tcW w:w="2864" w:type="dxa"/>
          </w:tcPr>
          <w:p w:rsidR="00DD41CB" w:rsidRDefault="00DD41CB" w:rsidP="00DD41CB">
            <w:pPr>
              <w:spacing w:after="120" w:line="360" w:lineRule="auto"/>
              <w:rPr>
                <w:rFonts w:cs="David"/>
                <w:sz w:val="26"/>
                <w:szCs w:val="26"/>
              </w:rPr>
            </w:pPr>
            <w:r>
              <w:rPr>
                <w:rFonts w:cs="David" w:hint="eastAsia"/>
                <w:sz w:val="26"/>
                <w:szCs w:val="26"/>
                <w:rtl/>
              </w:rPr>
              <w:t>הצעת</w:t>
            </w:r>
            <w:r>
              <w:rPr>
                <w:rFonts w:cs="David"/>
                <w:sz w:val="26"/>
                <w:szCs w:val="26"/>
              </w:rPr>
              <w:t xml:space="preserve"> </w:t>
            </w:r>
            <w:r>
              <w:rPr>
                <w:rFonts w:cs="David"/>
                <w:sz w:val="26"/>
                <w:szCs w:val="26"/>
                <w:rtl/>
              </w:rPr>
              <w:t>חוק של חבר הכנסת</w:t>
            </w:r>
            <w:r>
              <w:rPr>
                <w:rFonts w:cs="David" w:hint="cs"/>
                <w:sz w:val="26"/>
                <w:szCs w:val="26"/>
                <w:rtl/>
              </w:rPr>
              <w:t xml:space="preserve"> </w:t>
            </w:r>
          </w:p>
        </w:tc>
        <w:tc>
          <w:tcPr>
            <w:tcW w:w="1275" w:type="dxa"/>
          </w:tcPr>
          <w:p w:rsidR="00DD41CB" w:rsidRPr="00DD41CB" w:rsidRDefault="00DD41CB" w:rsidP="00DD41CB">
            <w:pPr>
              <w:spacing w:after="120" w:line="360" w:lineRule="auto"/>
              <w:rPr>
                <w:rFonts w:cs="David"/>
                <w:b/>
                <w:bCs/>
                <w:sz w:val="26"/>
                <w:szCs w:val="26"/>
              </w:rPr>
            </w:pPr>
            <w:r w:rsidRPr="00DD41CB">
              <w:rPr>
                <w:rFonts w:cs="David" w:hint="cs"/>
                <w:b/>
                <w:bCs/>
                <w:sz w:val="26"/>
                <w:szCs w:val="26"/>
                <w:rtl/>
              </w:rPr>
              <w:t>אמנון כהן</w:t>
            </w:r>
          </w:p>
        </w:tc>
      </w:tr>
    </w:tbl>
    <w:p w:rsidR="009B2D1A" w:rsidRDefault="006423BF" w:rsidP="00BA1F85">
      <w:pPr>
        <w:spacing w:line="360" w:lineRule="auto"/>
        <w:rPr>
          <w:rFonts w:cs="David"/>
          <w:sz w:val="26"/>
          <w:szCs w:val="26"/>
          <w:rtl/>
        </w:rPr>
      </w:pPr>
      <w:r>
        <w:rPr>
          <w:rFonts w:cs="David"/>
          <w:noProof/>
          <w:sz w:val="26"/>
          <w:szCs w:val="26"/>
          <w:rtl/>
          <w:lang w:eastAsia="en-US"/>
        </w:rPr>
        <mc:AlternateContent>
          <mc:Choice Requires="wps">
            <w:drawing>
              <wp:anchor distT="0" distB="0" distL="114300" distR="114300" simplePos="0" relativeHeight="251657728" behindDoc="0" locked="1" layoutInCell="1" allowOverlap="1">
                <wp:simplePos x="0" y="0"/>
                <wp:positionH relativeFrom="column">
                  <wp:posOffset>436245</wp:posOffset>
                </wp:positionH>
                <wp:positionV relativeFrom="paragraph">
                  <wp:posOffset>25400</wp:posOffset>
                </wp:positionV>
                <wp:extent cx="1390650" cy="228600"/>
                <wp:effectExtent l="0" t="63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D1A" w:rsidRDefault="006423BF" w:rsidP="009B2D1A">
                            <w:pPr>
                              <w:pStyle w:val="2"/>
                              <w:rPr>
                                <w:b/>
                                <w:bCs/>
                                <w:rtl/>
                              </w:rPr>
                            </w:pPr>
                            <w:r>
                              <w:rPr>
                                <w:rFonts w:hint="cs"/>
                                <w:b/>
                                <w:bCs/>
                                <w:rtl/>
                              </w:rPr>
                              <w:t>פ/732/17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5pt;margin-top:2pt;width:10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bewIAAP8E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" stroked="f">
                <v:textbox inset="0,0,0,0">
                  <w:txbxContent>
                    <w:p w:rsidR="009B2D1A" w:rsidRDefault="006423BF" w:rsidP="009B2D1A">
                      <w:pPr>
                        <w:pStyle w:val="2"/>
                        <w:rPr>
                          <w:b/>
                          <w:bCs/>
                          <w:rtl/>
                        </w:rPr>
                      </w:pPr>
                      <w:r>
                        <w:rPr>
                          <w:rFonts w:hint="cs"/>
                          <w:b/>
                          <w:bCs/>
                          <w:rtl/>
                        </w:rPr>
                        <w:t>פ/732/17</w:t>
                      </w:r>
                    </w:p>
                  </w:txbxContent>
                </v:textbox>
                <w10:anchorlock/>
              </v:shape>
            </w:pict>
          </mc:Fallback>
        </mc:AlternateContent>
      </w:r>
    </w:p>
    <w:p w:rsidR="006423BF" w:rsidRDefault="006423BF" w:rsidP="00BA1F85">
      <w:pPr>
        <w:pStyle w:val="1"/>
        <w:spacing w:line="360" w:lineRule="auto"/>
        <w:rPr>
          <w:u w:val="none"/>
          <w:rtl/>
        </w:rPr>
      </w:pPr>
    </w:p>
    <w:p w:rsidR="009B2D1A" w:rsidRPr="00BA1F85" w:rsidRDefault="009B2D1A" w:rsidP="00BA1F85">
      <w:pPr>
        <w:pStyle w:val="1"/>
        <w:spacing w:line="360" w:lineRule="auto"/>
        <w:rPr>
          <w:b w:val="0"/>
          <w:bCs w:val="0"/>
          <w:sz w:val="26"/>
          <w:szCs w:val="26"/>
          <w:u w:val="none"/>
          <w:rtl/>
        </w:rPr>
      </w:pPr>
      <w:r w:rsidRPr="00BA1F85">
        <w:rPr>
          <w:rFonts w:hint="cs"/>
          <w:u w:val="none"/>
          <w:rtl/>
        </w:rPr>
        <w:t>הצעת חוק התקשורת (בזק ושידורים) (תיקון - הגבלת תשלום עבור זמן אויר), התשס</w:t>
      </w:r>
      <w:r w:rsidR="00DD41CB" w:rsidRPr="00BA1F85">
        <w:rPr>
          <w:rFonts w:hint="cs"/>
          <w:u w:val="none"/>
          <w:rtl/>
        </w:rPr>
        <w:t>"</w:t>
      </w:r>
      <w:r w:rsidRPr="00BA1F85">
        <w:rPr>
          <w:rFonts w:hint="cs"/>
          <w:u w:val="none"/>
          <w:rtl/>
        </w:rPr>
        <w:t>ו-200</w:t>
      </w:r>
      <w:r w:rsidR="00BA1F85">
        <w:rPr>
          <w:rFonts w:hint="cs"/>
          <w:u w:val="none"/>
          <w:rtl/>
        </w:rPr>
        <w:t>6</w:t>
      </w:r>
    </w:p>
    <w:p w:rsidR="009B2D1A" w:rsidRDefault="009B2D1A" w:rsidP="00DD41CB">
      <w:pPr>
        <w:spacing w:line="360" w:lineRule="auto"/>
        <w:rPr>
          <w:rFonts w:cs="David"/>
          <w:sz w:val="26"/>
          <w:szCs w:val="26"/>
          <w:rtl/>
        </w:rPr>
      </w:pPr>
    </w:p>
    <w:tbl>
      <w:tblPr>
        <w:bidiVisual/>
        <w:tblW w:w="0" w:type="auto"/>
        <w:tblCellMar>
          <w:left w:w="57" w:type="dxa"/>
          <w:right w:w="57" w:type="dxa"/>
        </w:tblCellMar>
        <w:tblLook w:val="0000" w:firstRow="0" w:lastRow="0" w:firstColumn="0" w:lastColumn="0" w:noHBand="0" w:noVBand="0"/>
      </w:tblPr>
      <w:tblGrid>
        <w:gridCol w:w="1157"/>
        <w:gridCol w:w="545"/>
        <w:gridCol w:w="6604"/>
      </w:tblGrid>
      <w:tr w:rsidR="009B2D1A">
        <w:trPr>
          <w:cantSplit/>
        </w:trPr>
        <w:tc>
          <w:tcPr>
            <w:tcW w:w="1191" w:type="dxa"/>
          </w:tcPr>
          <w:p w:rsidR="009B2D1A" w:rsidRDefault="009B2D1A" w:rsidP="00DD41CB">
            <w:pPr>
              <w:spacing w:after="120"/>
              <w:rPr>
                <w:rFonts w:cs="David"/>
                <w:sz w:val="26"/>
                <w:szCs w:val="26"/>
                <w:rtl/>
              </w:rPr>
            </w:pPr>
            <w:r>
              <w:rPr>
                <w:rFonts w:cs="David" w:hint="cs"/>
                <w:sz w:val="26"/>
                <w:szCs w:val="26"/>
                <w:rtl/>
              </w:rPr>
              <w:t>הוספת סעיף 17(ב)</w:t>
            </w:r>
          </w:p>
        </w:tc>
        <w:tc>
          <w:tcPr>
            <w:tcW w:w="567" w:type="dxa"/>
          </w:tcPr>
          <w:p w:rsidR="009B2D1A" w:rsidRDefault="009B2D1A" w:rsidP="00DD41CB">
            <w:pPr>
              <w:spacing w:after="120" w:line="360" w:lineRule="auto"/>
              <w:rPr>
                <w:rFonts w:cs="David"/>
                <w:sz w:val="26"/>
                <w:szCs w:val="26"/>
              </w:rPr>
            </w:pPr>
            <w:r>
              <w:rPr>
                <w:rFonts w:cs="David" w:hint="cs"/>
                <w:sz w:val="26"/>
                <w:szCs w:val="26"/>
                <w:rtl/>
              </w:rPr>
              <w:t>1.</w:t>
            </w:r>
          </w:p>
        </w:tc>
        <w:tc>
          <w:tcPr>
            <w:tcW w:w="7025" w:type="dxa"/>
          </w:tcPr>
          <w:p w:rsidR="009B2D1A" w:rsidRDefault="009B2D1A" w:rsidP="00EE00A3">
            <w:pPr>
              <w:spacing w:after="120" w:line="360" w:lineRule="auto"/>
              <w:jc w:val="both"/>
              <w:rPr>
                <w:rFonts w:cs="David"/>
                <w:sz w:val="26"/>
                <w:szCs w:val="26"/>
                <w:rtl/>
              </w:rPr>
            </w:pPr>
            <w:r>
              <w:rPr>
                <w:rFonts w:cs="David" w:hint="cs"/>
                <w:sz w:val="26"/>
                <w:szCs w:val="26"/>
                <w:rtl/>
              </w:rPr>
              <w:t>בחוק התקשורת (בזק ושידורים), התשמ"ב-1982, האמור בסעיף 17 יסומן (א), ואחריו יבוא:</w:t>
            </w:r>
          </w:p>
          <w:p w:rsidR="009B2D1A" w:rsidRDefault="009B2D1A" w:rsidP="00DD41CB">
            <w:pPr>
              <w:pStyle w:val="a6"/>
              <w:spacing w:line="360" w:lineRule="auto"/>
            </w:pPr>
            <w:r>
              <w:rPr>
                <w:rFonts w:hint="cs"/>
                <w:rtl/>
              </w:rPr>
              <w:t>"(ב)  על אף האמור בסעיף קטן (א) לעיל, לא יגבה בעל רשיון ממנוי תשלום עבור זמן אויר אם המנוי שיזם את ההתקשרות הועבר לתא קולי והפסיק את ההתקשרות בט</w:t>
            </w:r>
            <w:r w:rsidR="00DD41CB">
              <w:rPr>
                <w:rFonts w:hint="cs"/>
                <w:rtl/>
              </w:rPr>
              <w:t xml:space="preserve">רם נעשתה ההעברה בפועל לתא הקולי; לענין סעיף זה, </w:t>
            </w:r>
            <w:r>
              <w:rPr>
                <w:rFonts w:hint="cs"/>
                <w:rtl/>
              </w:rPr>
              <w:t xml:space="preserve">"זמן אויר" </w:t>
            </w:r>
            <w:r>
              <w:rPr>
                <w:rtl/>
              </w:rPr>
              <w:t>–</w:t>
            </w:r>
            <w:r>
              <w:rPr>
                <w:rFonts w:hint="cs"/>
                <w:rtl/>
              </w:rPr>
              <w:t xml:space="preserve"> משך הזמן בו מנוי מקבל שירותי רדיו </w:t>
            </w:r>
            <w:r>
              <w:rPr>
                <w:rtl/>
              </w:rPr>
              <w:t>–</w:t>
            </w:r>
            <w:r>
              <w:rPr>
                <w:rFonts w:hint="cs"/>
                <w:rtl/>
              </w:rPr>
              <w:t xml:space="preserve"> טלפון נייד."</w:t>
            </w:r>
          </w:p>
        </w:tc>
      </w:tr>
    </w:tbl>
    <w:p w:rsidR="009B2D1A" w:rsidRDefault="009B2D1A" w:rsidP="00DD41CB">
      <w:pPr>
        <w:spacing w:line="360" w:lineRule="auto"/>
        <w:jc w:val="both"/>
        <w:rPr>
          <w:rFonts w:cs="David"/>
          <w:sz w:val="26"/>
          <w:szCs w:val="26"/>
          <w:rtl/>
        </w:rPr>
      </w:pPr>
    </w:p>
    <w:p w:rsidR="009B2D1A" w:rsidRDefault="009B2D1A" w:rsidP="00DD41CB">
      <w:pPr>
        <w:spacing w:line="360" w:lineRule="auto"/>
        <w:jc w:val="center"/>
        <w:rPr>
          <w:rFonts w:cs="David"/>
          <w:sz w:val="26"/>
          <w:szCs w:val="26"/>
          <w:rtl/>
        </w:rPr>
      </w:pPr>
      <w:r>
        <w:rPr>
          <w:rFonts w:cs="David" w:hint="eastAsia"/>
          <w:b/>
          <w:bCs/>
          <w:sz w:val="26"/>
          <w:szCs w:val="28"/>
          <w:u w:val="single"/>
          <w:rtl/>
        </w:rPr>
        <w:t>דברי</w:t>
      </w:r>
      <w:r>
        <w:rPr>
          <w:rFonts w:cs="David"/>
          <w:b/>
          <w:bCs/>
          <w:sz w:val="26"/>
          <w:szCs w:val="28"/>
          <w:u w:val="single"/>
          <w:rtl/>
        </w:rPr>
        <w:t xml:space="preserve"> - הסבר</w:t>
      </w:r>
    </w:p>
    <w:p w:rsidR="009B2D1A" w:rsidRDefault="009B2D1A" w:rsidP="00DD41CB">
      <w:pPr>
        <w:spacing w:line="360" w:lineRule="auto"/>
        <w:jc w:val="both"/>
        <w:rPr>
          <w:rFonts w:cs="David"/>
          <w:sz w:val="26"/>
          <w:szCs w:val="26"/>
          <w:rtl/>
        </w:rPr>
      </w:pPr>
    </w:p>
    <w:p w:rsidR="005E33E0" w:rsidRDefault="009B2D1A" w:rsidP="005E33E0">
      <w:pPr>
        <w:spacing w:line="360" w:lineRule="auto"/>
        <w:jc w:val="both"/>
        <w:rPr>
          <w:rFonts w:cs="David"/>
          <w:sz w:val="26"/>
          <w:szCs w:val="26"/>
          <w:rtl/>
        </w:rPr>
      </w:pPr>
      <w:r>
        <w:rPr>
          <w:rFonts w:cs="David" w:hint="cs"/>
          <w:sz w:val="26"/>
          <w:szCs w:val="26"/>
          <w:rtl/>
        </w:rPr>
        <w:t>חברות הסלולר מחייבות את מנוייהן, ללא שהם מודעים לכך, עבור שיחה המועברת לתא קולי הגם שאינם מעוניינים לעבור לתא קולי ולהשאיר שם הודעה.</w:t>
      </w:r>
    </w:p>
    <w:p w:rsidR="005E33E0" w:rsidRDefault="009B2D1A" w:rsidP="005E33E0">
      <w:pPr>
        <w:spacing w:line="360" w:lineRule="auto"/>
        <w:jc w:val="both"/>
        <w:rPr>
          <w:rFonts w:cs="David"/>
          <w:sz w:val="26"/>
          <w:szCs w:val="26"/>
          <w:rtl/>
        </w:rPr>
      </w:pPr>
      <w:r>
        <w:rPr>
          <w:rFonts w:cs="David" w:hint="cs"/>
          <w:sz w:val="26"/>
          <w:szCs w:val="26"/>
          <w:rtl/>
        </w:rPr>
        <w:t>כאשר מנוי מתקשר למספר טלפון נייד קורה לעיתים כי עונה לו תקליט לפיו המנוי אינו זמין והשיחה מועברת לתא קולי. גם אם המנוי ניתק את השיחה מיד לפני מעבר השיחה לתא קולי הרי שהוא מחויב בפועל עבור זמן אויר הגם שלא מימש את ההתקשרות ולא המתין למעבר לתא הקולי להשארת הודעה.</w:t>
      </w:r>
    </w:p>
    <w:p w:rsidR="009B2D1A" w:rsidRDefault="009B2D1A" w:rsidP="005E33E0">
      <w:pPr>
        <w:spacing w:line="360" w:lineRule="auto"/>
        <w:jc w:val="both"/>
        <w:rPr>
          <w:rFonts w:cs="David"/>
          <w:sz w:val="26"/>
          <w:szCs w:val="26"/>
          <w:rtl/>
        </w:rPr>
      </w:pPr>
      <w:r>
        <w:rPr>
          <w:rFonts w:cs="David" w:hint="cs"/>
          <w:sz w:val="26"/>
          <w:szCs w:val="26"/>
          <w:rtl/>
        </w:rPr>
        <w:t>מאחר ובעלי הרשיון לשירותי טלפון נייד מנצלים את האמור בסעיף 17 לצורך חיוב כאמור, מוצע לאסור זאת בחוק.</w:t>
      </w:r>
    </w:p>
    <w:p w:rsidR="005E33E0" w:rsidRDefault="005E33E0" w:rsidP="00DD41CB">
      <w:pPr>
        <w:spacing w:before="240" w:line="360" w:lineRule="auto"/>
        <w:jc w:val="both"/>
        <w:rPr>
          <w:rFonts w:cs="David"/>
          <w:sz w:val="26"/>
          <w:szCs w:val="26"/>
          <w:rtl/>
        </w:rPr>
      </w:pPr>
      <w:r>
        <w:rPr>
          <w:rFonts w:cs="David" w:hint="cs"/>
          <w:sz w:val="26"/>
          <w:szCs w:val="26"/>
          <w:rtl/>
        </w:rPr>
        <w:t>הצעת חוק זהה הונחה על שולחן הכנסת השש-עשרה על-ידי חבר הכנסת אמנון כהן (פ/4082).</w:t>
      </w:r>
    </w:p>
    <w:p w:rsidR="005E33E0" w:rsidRDefault="005E33E0" w:rsidP="00DD41CB">
      <w:pPr>
        <w:pStyle w:val="a3"/>
        <w:spacing w:line="360" w:lineRule="auto"/>
        <w:jc w:val="left"/>
        <w:rPr>
          <w:u w:val="none"/>
          <w:rtl/>
        </w:rPr>
      </w:pPr>
    </w:p>
    <w:p w:rsidR="005E33E0" w:rsidRPr="005E33E0" w:rsidRDefault="005E33E0" w:rsidP="005E33E0">
      <w:pPr>
        <w:pStyle w:val="a3"/>
        <w:spacing w:line="360" w:lineRule="auto"/>
        <w:jc w:val="left"/>
        <w:rPr>
          <w:b w:val="0"/>
          <w:bCs w:val="0"/>
          <w:sz w:val="26"/>
          <w:szCs w:val="26"/>
          <w:u w:val="none"/>
          <w:rtl/>
        </w:rPr>
      </w:pPr>
      <w:r w:rsidRPr="005E33E0">
        <w:rPr>
          <w:b w:val="0"/>
          <w:bCs w:val="0"/>
          <w:sz w:val="26"/>
          <w:szCs w:val="26"/>
          <w:u w:val="none"/>
          <w:rtl/>
        </w:rPr>
        <w:t>---------------------------------</w:t>
      </w:r>
    </w:p>
    <w:p w:rsidR="005E33E0" w:rsidRPr="005E33E0" w:rsidRDefault="005E33E0" w:rsidP="005E33E0">
      <w:pPr>
        <w:pStyle w:val="a3"/>
        <w:spacing w:line="360" w:lineRule="auto"/>
        <w:jc w:val="left"/>
        <w:rPr>
          <w:b w:val="0"/>
          <w:bCs w:val="0"/>
          <w:sz w:val="26"/>
          <w:szCs w:val="26"/>
          <w:u w:val="none"/>
          <w:rtl/>
        </w:rPr>
      </w:pPr>
      <w:r w:rsidRPr="005E33E0">
        <w:rPr>
          <w:b w:val="0"/>
          <w:bCs w:val="0"/>
          <w:sz w:val="26"/>
          <w:szCs w:val="26"/>
          <w:u w:val="none"/>
          <w:rtl/>
        </w:rPr>
        <w:t>הוגשה ליו"ר הכנסת והסגנים</w:t>
      </w:r>
    </w:p>
    <w:p w:rsidR="00F96C0E" w:rsidRDefault="005E33E0" w:rsidP="005E33E0">
      <w:pPr>
        <w:pStyle w:val="a3"/>
        <w:spacing w:line="360" w:lineRule="auto"/>
        <w:jc w:val="left"/>
        <w:rPr>
          <w:b w:val="0"/>
          <w:bCs w:val="0"/>
          <w:sz w:val="26"/>
          <w:szCs w:val="26"/>
          <w:u w:val="none"/>
          <w:rtl/>
        </w:rPr>
      </w:pPr>
      <w:r w:rsidRPr="005E33E0">
        <w:rPr>
          <w:b w:val="0"/>
          <w:bCs w:val="0"/>
          <w:sz w:val="26"/>
          <w:szCs w:val="26"/>
          <w:u w:val="none"/>
          <w:rtl/>
        </w:rPr>
        <w:t>והונחה על שולחן הכנסת ביום</w:t>
      </w:r>
    </w:p>
    <w:p w:rsidR="006423BF" w:rsidRDefault="006423BF" w:rsidP="005E33E0">
      <w:pPr>
        <w:pStyle w:val="a3"/>
        <w:spacing w:line="360" w:lineRule="auto"/>
        <w:jc w:val="left"/>
        <w:rPr>
          <w:u w:val="none"/>
        </w:rPr>
      </w:pPr>
      <w:r>
        <w:rPr>
          <w:rFonts w:hint="cs"/>
          <w:b w:val="0"/>
          <w:bCs w:val="0"/>
          <w:sz w:val="26"/>
          <w:szCs w:val="26"/>
          <w:u w:val="none"/>
          <w:rtl/>
        </w:rPr>
        <w:t xml:space="preserve">ל' בסיון התשס"ו </w:t>
      </w:r>
      <w:r>
        <w:rPr>
          <w:b w:val="0"/>
          <w:bCs w:val="0"/>
          <w:sz w:val="26"/>
          <w:szCs w:val="26"/>
          <w:u w:val="none"/>
          <w:rtl/>
        </w:rPr>
        <w:t>–</w:t>
      </w:r>
      <w:r>
        <w:rPr>
          <w:rFonts w:hint="cs"/>
          <w:b w:val="0"/>
          <w:bCs w:val="0"/>
          <w:sz w:val="26"/>
          <w:szCs w:val="26"/>
          <w:u w:val="none"/>
          <w:rtl/>
        </w:rPr>
        <w:t xml:space="preserve"> 26.6.06</w:t>
      </w:r>
    </w:p>
    <w:sectPr w:rsidR="006423BF">
      <w:headerReference w:type="even" r:id="rId9"/>
      <w:headerReference w:type="defaul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81" w:rsidRDefault="00A11F81">
      <w:r>
        <w:separator/>
      </w:r>
    </w:p>
  </w:endnote>
  <w:endnote w:type="continuationSeparator" w:id="0">
    <w:p w:rsidR="00A11F81" w:rsidRDefault="00A1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81" w:rsidRDefault="00A11F81">
      <w:r>
        <w:separator/>
      </w:r>
    </w:p>
  </w:footnote>
  <w:footnote w:type="continuationSeparator" w:id="0">
    <w:p w:rsidR="00A11F81" w:rsidRDefault="00A11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FC" w:rsidRDefault="00FC35FC">
    <w:pPr>
      <w:pStyle w:val="a4"/>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end"/>
    </w:r>
  </w:p>
  <w:p w:rsidR="00FC35FC" w:rsidRDefault="00FC35FC">
    <w:pPr>
      <w:pStyle w:val="a4"/>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FC" w:rsidRDefault="00FC35FC">
    <w:pPr>
      <w:pStyle w:val="a4"/>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5E33E0">
      <w:rPr>
        <w:rStyle w:val="a5"/>
        <w:noProof/>
        <w:rtl/>
      </w:rPr>
      <w:t>2</w:t>
    </w:r>
    <w:r>
      <w:rPr>
        <w:rStyle w:val="a5"/>
        <w:rtl/>
      </w:rPr>
      <w:fldChar w:fldCharType="end"/>
    </w:r>
  </w:p>
  <w:p w:rsidR="00FC35FC" w:rsidRDefault="00FC35FC">
    <w:pPr>
      <w:pStyle w:val="a4"/>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131937כהן-התקשורת(בזק ושידורים)(תיקון-הגבלת תשלום עבור זמן אויר).doc"/>
    <w:docVar w:name="StartMode" w:val="2"/>
  </w:docVars>
  <w:rsids>
    <w:rsidRoot w:val="00CA5061"/>
    <w:rsid w:val="005E33E0"/>
    <w:rsid w:val="006423BF"/>
    <w:rsid w:val="00644C6C"/>
    <w:rsid w:val="007B7599"/>
    <w:rsid w:val="009519EC"/>
    <w:rsid w:val="009B2D1A"/>
    <w:rsid w:val="00A11F81"/>
    <w:rsid w:val="00AE7ED1"/>
    <w:rsid w:val="00BA1F85"/>
    <w:rsid w:val="00C422C9"/>
    <w:rsid w:val="00CA5061"/>
    <w:rsid w:val="00DD41CB"/>
    <w:rsid w:val="00EE00A3"/>
    <w:rsid w:val="00F20AF2"/>
    <w:rsid w:val="00F82609"/>
    <w:rsid w:val="00F96C0E"/>
    <w:rsid w:val="00FC35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878366-24CC-4B08-9490-75C4B105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basedOn w:val="a"/>
    <w:next w:val="a"/>
    <w:qFormat/>
    <w:rsid w:val="009B2D1A"/>
    <w:pPr>
      <w:keepNext/>
      <w:jc w:val="center"/>
      <w:outlineLvl w:val="0"/>
    </w:pPr>
    <w:rPr>
      <w:rFonts w:cs="David"/>
      <w:b/>
      <w:bCs/>
      <w:sz w:val="28"/>
      <w:szCs w:val="28"/>
      <w:u w:val="single"/>
    </w:rPr>
  </w:style>
  <w:style w:type="paragraph" w:styleId="2">
    <w:name w:val="heading 2"/>
    <w:basedOn w:val="a"/>
    <w:next w:val="a"/>
    <w:qFormat/>
    <w:rsid w:val="009B2D1A"/>
    <w:pPr>
      <w:keepNext/>
      <w:jc w:val="center"/>
      <w:outlineLvl w:val="1"/>
    </w:pPr>
    <w:rPr>
      <w:rFonts w:cs="David"/>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cs="David"/>
      <w:b/>
      <w:bCs/>
      <w:sz w:val="28"/>
      <w:szCs w:val="28"/>
      <w:u w:val="single"/>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Indent"/>
    <w:basedOn w:val="a"/>
    <w:rsid w:val="009B2D1A"/>
    <w:pPr>
      <w:spacing w:after="120"/>
      <w:ind w:left="471" w:hanging="471"/>
      <w:jc w:val="both"/>
    </w:pPr>
    <w:rPr>
      <w:rFonts w:cs="Davi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anhedrinLibrary" ma:contentTypeID="0x0101004AEDB822EB0F7C488BBBAE3C0C973DE7007B5169F891EDFE45ACBB09C66665E386" ma:contentTypeVersion="" ma:contentTypeDescription="" ma:contentTypeScope="" ma:versionID="d31c01f67f2a5ff85e4f108dec46bcbc">
  <xsd:schema xmlns:xsd="http://www.w3.org/2001/XMLSchema" xmlns:xs="http://www.w3.org/2001/XMLSchema" xmlns:p="http://schemas.microsoft.com/office/2006/metadata/properties" xmlns:ns2="290d5b49-c690-4c6f-bbb9-1e50dab33eee" targetNamespace="http://schemas.microsoft.com/office/2006/metadata/properties" ma:root="true" ma:fieldsID="65d88d56368b3cfebd298e6271d6c5a2" ns2:_="">
    <xsd:import namespace="290d5b49-c690-4c6f-bbb9-1e50dab33eee"/>
    <xsd:element name="properties">
      <xsd:complexType>
        <xsd:sequence>
          <xsd:element name="documentManagement">
            <xsd:complexType>
              <xsd:all>
                <xsd:element ref="ns2:SanhedrinDocumentType"/>
                <xsd:element ref="ns2:SanhedrinItem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anhedrinDocumentType" ma:index="8" ma:displayName="SanhedrinDocumentType" ma:decimals="0" ma:internalName="SanhedrinDocumentType" ma:readOnly="false">
      <xsd:simpleType>
        <xsd:restriction base="dms:Number"/>
      </xsd:simpleType>
    </xsd:element>
    <xsd:element name="SanhedrinItemID" ma:index="9" ma:displayName="SanhedrinItemID" ma:decimals="0" ma:internalName="SanhedrinItem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nhedrinDocumentType xmlns="290d5b49-c690-4c6f-bbb9-1e50dab33eee">210</SanhedrinDocumentType>
    <SanhedrinItemID xmlns="290d5b49-c690-4c6f-bbb9-1e50dab33eee">131937</SanhedrinItem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E7705-B007-42BD-90B6-8EB7617D4493}"/>
</file>

<file path=customXml/itemProps2.xml><?xml version="1.0" encoding="utf-8"?>
<ds:datastoreItem xmlns:ds="http://schemas.openxmlformats.org/officeDocument/2006/customXml" ds:itemID="{B296BBFC-5B43-4777-B13A-B5F000E41AD2}"/>
</file>

<file path=customXml/itemProps3.xml><?xml version="1.0" encoding="utf-8"?>
<ds:datastoreItem xmlns:ds="http://schemas.openxmlformats.org/officeDocument/2006/customXml" ds:itemID="{73887D5C-32F4-46D3-866F-6F0673A0C071}"/>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987</Characters>
  <Application>Microsoft Office Word</Application>
  <DocSecurity>4</DocSecurity>
  <Lines>8</Lines>
  <Paragraphs>2</Paragraphs>
  <ScaleCrop>false</ScaleCrop>
  <HeadingPairs>
    <vt:vector size="2" baseType="variant">
      <vt:variant>
        <vt:lpstr>שם</vt:lpstr>
      </vt:variant>
      <vt:variant>
        <vt:i4>1</vt:i4>
      </vt:variant>
    </vt:vector>
  </HeadingPairs>
  <TitlesOfParts>
    <vt:vector size="1" baseType="lpstr">
      <vt:lpstr>תבנית הצעת חוק</vt:lpstr>
    </vt:vector>
  </TitlesOfParts>
  <Company>knesset</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תבנית הצעת חוק</dc:title>
  <dc:subject/>
  <dc:creator>Knesset</dc:creator>
  <cp:keywords/>
  <dc:description/>
  <cp:lastModifiedBy>אירנה ויאזמסקי</cp:lastModifiedBy>
  <cp:revision>2</cp:revision>
  <cp:lastPrinted>1899-12-31T22:00:00Z</cp:lastPrinted>
  <dcterms:created xsi:type="dcterms:W3CDTF">2021-02-02T07:42:00Z</dcterms:created>
  <dcterms:modified xsi:type="dcterms:W3CDTF">2021-02-02T07:42:00Z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brewDate">
    <vt:lpwstr>כ"ג באדר ב' התשס"ה</vt:lpwstr>
  </property>
  <property fmtid="{D5CDD505-2E9C-101B-9397-08002B2CF9AE}" pid="3" name="KodTemplate">
    <vt:i4>129</vt:i4>
  </property>
  <property fmtid="{D5CDD505-2E9C-101B-9397-08002B2CF9AE}" pid="4" name="MechaberMismach">
    <vt:lpwstr>ארבל אסטרחן</vt:lpwstr>
  </property>
  <property fmtid="{D5CDD505-2E9C-101B-9397-08002B2CF9AE}" pid="5" name="Nose">
    <vt:lpwstr>':הלשכה המשפטית:חקיקה - נוסח:1.טיוטה לטרומית'_x000d_
</vt:lpwstr>
  </property>
  <property fmtid="{D5CDD505-2E9C-101B-9397-08002B2CF9AE}" pid="6" name="Tizkoret">
    <vt:lpwstr/>
  </property>
  <property fmtid="{D5CDD505-2E9C-101B-9397-08002B2CF9AE}" pid="7" name="YozemHatzaa_ChakList">
    <vt:lpwstr>נסיון</vt:lpwstr>
  </property>
  <property fmtid="{D5CDD505-2E9C-101B-9397-08002B2CF9AE}" pid="8" name="סימוכין">
    <vt:i4>4583105</vt:i4>
  </property>
  <property fmtid="{D5CDD505-2E9C-101B-9397-08002B2CF9AE}" pid="9" name="תאריך המסמך">
    <vt:filetime>2005-04-03T00:00:00Z</vt:filetime>
  </property>
  <property fmtid="{D5CDD505-2E9C-101B-9397-08002B2CF9AE}" pid="10" name="ContentTypeId">
    <vt:lpwstr>0x0101004AEDB822EB0F7C488BBBAE3C0C973DE7007B5169F891EDFE45ACBB09C66665E386</vt:lpwstr>
  </property>
</Properties>
</file>