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42BA8">
      <w:pPr>
        <w:pStyle w:val="a3"/>
        <w:spacing w:line="360" w:lineRule="auto"/>
        <w:rPr>
          <w:rFonts w:cs="David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C42BA8">
      <w:pPr>
        <w:tabs>
          <w:tab w:val="left" w:pos="2734"/>
        </w:tabs>
        <w:spacing w:line="360" w:lineRule="auto"/>
        <w:rPr>
          <w:rFonts w:cs="David"/>
          <w:sz w:val="26"/>
          <w:szCs w:val="26"/>
          <w:rtl/>
        </w:rPr>
      </w:pPr>
    </w:p>
    <w:tbl>
      <w:tblPr>
        <w:tblpPr w:leftFromText="180" w:rightFromText="180" w:vertAnchor="text" w:tblpY="1"/>
        <w:tblOverlap w:val="never"/>
        <w:bidiVisual/>
        <w:tblW w:w="0" w:type="auto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8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C42BA8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הצעת 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 xml:space="preserve">זבולון אורלב </w:t>
            </w:r>
          </w:p>
        </w:tc>
      </w:tr>
    </w:tbl>
    <w:p w:rsidR="00000000" w:rsidRDefault="00C42BA8">
      <w:pPr>
        <w:spacing w:line="360" w:lineRule="auto"/>
        <w:jc w:val="center"/>
        <w:rPr>
          <w:rFonts w:cs="David"/>
          <w:sz w:val="26"/>
          <w:szCs w:val="26"/>
          <w:rtl/>
        </w:rPr>
      </w:pPr>
    </w:p>
    <w:p w:rsidR="00000000" w:rsidRDefault="00C42BA8">
      <w:pPr>
        <w:spacing w:line="360" w:lineRule="auto"/>
        <w:jc w:val="center"/>
        <w:rPr>
          <w:rFonts w:cs="David"/>
          <w:sz w:val="26"/>
          <w:szCs w:val="26"/>
          <w:rtl/>
        </w:rPr>
      </w:pPr>
    </w:p>
    <w:p w:rsidR="00000000" w:rsidRDefault="00C42BA8">
      <w:pPr>
        <w:tabs>
          <w:tab w:val="left" w:pos="4991"/>
        </w:tabs>
        <w:spacing w:line="360" w:lineRule="auto"/>
        <w:rPr>
          <w:rFonts w:cs="David"/>
          <w:b/>
          <w:bCs/>
          <w:sz w:val="22"/>
          <w:szCs w:val="22"/>
          <w:rtl/>
        </w:rPr>
      </w:pPr>
      <w:bookmarkStart w:id="1" w:name="Title"/>
      <w:r>
        <w:rPr>
          <w:rFonts w:cs="David"/>
          <w:b/>
          <w:bCs/>
          <w:sz w:val="28"/>
          <w:szCs w:val="28"/>
          <w:rtl/>
        </w:rPr>
        <w:tab/>
        <w:t xml:space="preserve">                            </w:t>
      </w:r>
      <w:r>
        <w:rPr>
          <w:rFonts w:cs="David"/>
          <w:b/>
          <w:bCs/>
          <w:sz w:val="22"/>
          <w:szCs w:val="22"/>
          <w:rtl/>
        </w:rPr>
        <w:t>פ/1667/17</w:t>
      </w:r>
    </w:p>
    <w:p w:rsidR="00000000" w:rsidRDefault="00C42BA8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C42BA8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C42BA8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ביטוח בריאות ממלכתי (תיקון - מ</w:t>
      </w:r>
      <w:r>
        <w:rPr>
          <w:rFonts w:cs="David"/>
          <w:b/>
          <w:bCs/>
          <w:sz w:val="28"/>
          <w:szCs w:val="28"/>
          <w:rtl/>
        </w:rPr>
        <w:t>תן טיפול שיניים ושיקום הפה לילדים שעוברים טיפולים אונקולוגיים), התשס"ז-2006</w:t>
      </w:r>
      <w:bookmarkEnd w:id="1"/>
    </w:p>
    <w:p w:rsidR="00000000" w:rsidRDefault="00C42BA8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C42BA8">
      <w:pPr>
        <w:spacing w:line="360" w:lineRule="auto"/>
        <w:rPr>
          <w:rFonts w:cs="David"/>
          <w:sz w:val="26"/>
          <w:szCs w:val="26"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75"/>
        <w:gridCol w:w="548"/>
        <w:gridCol w:w="567"/>
        <w:gridCol w:w="6130"/>
      </w:tblGrid>
      <w:tr w:rsidR="00000000"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התוספת השניה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ביטוח בריאות ממלכתי, התשנ"ד-1994</w:t>
            </w:r>
            <w:r>
              <w:rPr>
                <w:rStyle w:val="aa"/>
                <w:rFonts w:cs="David"/>
                <w:sz w:val="26"/>
                <w:szCs w:val="26"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, בתוספת השניה, בפרק שרותים בהשתתפות כספית עצמית של המבוטח, בפרט 11, בסופו  יבוא: </w:t>
            </w:r>
          </w:p>
        </w:tc>
      </w:tr>
      <w:tr w:rsidR="00000000">
        <w:trPr>
          <w:cantSplit/>
        </w:trPr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"(</w:t>
            </w:r>
            <w:r>
              <w:rPr>
                <w:rFonts w:cs="David"/>
                <w:sz w:val="26"/>
                <w:szCs w:val="26"/>
                <w:rtl/>
              </w:rPr>
              <w:t>ו)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42BA8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"בפרט זה, לענין ילדים שעברו טיפול כימותרפי לפני הגיעם לגיל 5 שנים -</w:t>
            </w:r>
          </w:p>
          <w:p w:rsidR="00000000" w:rsidRDefault="00C42BA8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"טיפול משמר וטיפול משקם" – לרבות טיפול שיקומי קבוע, שתלים ומבנים קבועים". </w:t>
            </w:r>
          </w:p>
        </w:tc>
      </w:tr>
    </w:tbl>
    <w:p w:rsidR="00000000" w:rsidRDefault="00C42BA8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C42BA8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C42BA8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C42BA8">
      <w:pPr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ילדים שטרם מלאו להם 18 שנים, אשר עברו טיפולים כימותרפיים לפני הגיעם לגיל 5, בגין המחלה בה לקו</w:t>
      </w:r>
      <w:r>
        <w:rPr>
          <w:rFonts w:cs="David"/>
          <w:sz w:val="26"/>
          <w:szCs w:val="26"/>
          <w:rtl/>
        </w:rPr>
        <w:t>, לא אחת מאבדים את שיניהם לרבות שורשי השיניים.</w:t>
      </w:r>
    </w:p>
    <w:p w:rsidR="00000000" w:rsidRDefault="00C42BA8">
      <w:pPr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לפי המצב החוקי כיום, סל שירותי הבריאות מכסה רק טיפולים משמרים וטיפולים משקמים הכוללים רק מבנים וכתרים זמניים. </w:t>
      </w:r>
    </w:p>
    <w:p w:rsidR="00000000" w:rsidRDefault="00C42BA8">
      <w:pPr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סל השירותים איננו מאפשר שימור ושיקום קבוע של הפה והלסת. לאור זאת, לא מעט ילדים אשר עברו טיפולים </w:t>
      </w:r>
      <w:r>
        <w:rPr>
          <w:rFonts w:cs="David"/>
          <w:sz w:val="26"/>
          <w:szCs w:val="26"/>
          <w:rtl/>
        </w:rPr>
        <w:t xml:space="preserve">כימותרפיים ואשר משפחותיהם אינן יכולות לשאת בהוצאה, נאלצים להתמודד עם מצב של חסר בולט או מוחלט של שיניים. </w:t>
      </w:r>
    </w:p>
    <w:p w:rsidR="00000000" w:rsidRDefault="00C42BA8">
      <w:pPr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מוצע לקבוע כי סל השירותים יכלול מבני שיניים קבועים ושיקום קבוע של הפה לגבי ילדים שטרם מלאו להם 18 שנים, אשר עברו טיפולים כימותרפיים לפני הגיעם לגיל 5</w:t>
      </w:r>
      <w:r>
        <w:rPr>
          <w:rFonts w:cs="David"/>
          <w:sz w:val="26"/>
          <w:szCs w:val="26"/>
          <w:rtl/>
        </w:rPr>
        <w:t>.</w:t>
      </w:r>
    </w:p>
    <w:p w:rsidR="00000000" w:rsidRDefault="00C42BA8">
      <w:pPr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שולחן הכנסת השש-עשרה על-ידי חבר הכנסת שאול יהלום (פ/2921).</w:t>
      </w:r>
    </w:p>
    <w:p w:rsidR="00000000" w:rsidRDefault="00C42BA8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lastRenderedPageBreak/>
        <w:t xml:space="preserve">הצעת חוק זהה הונחה על שולחן הכנסת השבע-עשרה על-ידי חבר הכנסת דוד טל (פ/524/17), ועל-ידי חברי הכנסת סופה לנדבר ויורי שטרן וקבוצת חברי הכנסת (פ/766/17). </w:t>
      </w:r>
    </w:p>
    <w:p w:rsidR="00000000" w:rsidRDefault="00C42BA8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C42BA8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C42BA8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C42BA8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C42BA8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ט"ו בחשון התשס"ז - 6.11.06</w:t>
      </w:r>
    </w:p>
    <w:p w:rsidR="00000000" w:rsidRDefault="00C42BA8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2BA8">
      <w:r>
        <w:separator/>
      </w:r>
    </w:p>
  </w:endnote>
  <w:endnote w:type="continuationSeparator" w:id="0">
    <w:p w:rsidR="00000000" w:rsidRDefault="00C42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42BA8">
      <w:r>
        <w:separator/>
      </w:r>
    </w:p>
  </w:footnote>
  <w:footnote w:type="continuationSeparator" w:id="0">
    <w:p w:rsidR="00000000" w:rsidRDefault="00C42BA8">
      <w:r>
        <w:continuationSeparator/>
      </w:r>
    </w:p>
  </w:footnote>
  <w:footnote w:id="1">
    <w:p w:rsidR="00000000" w:rsidRDefault="00C42BA8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 ס"ח התשנ"ד, עמ' 156.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42BA8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C42BA8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46325îúï èéôåì ùéðééí ìéìãéí ùòåáøéí èéôåìéí àåð÷åìåâééí - æáåìåï àåøìá.doc"/>
    <w:docVar w:name="StartMode" w:val="2"/>
  </w:docVars>
  <w:rsids>
    <w:rsidRoot w:val="00C42BA8"/>
    <w:rsid w:val="00C4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rPr>
      <w:rFonts w:ascii="Tahoma" w:eastAsia="Times New Roman" w:hAnsi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1237</Characters>
  <Application>Microsoft Office Word</Application>
  <DocSecurity>0</DocSecurity>
  <Lines>10</Lines>
  <Paragraphs>2</Paragraphs>
  <ScaleCrop>false</ScaleCrop>
  <Company>knesset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ביטוח בריאות ממלכתי (תיקון - מתן טיפול שיניים ושיקום הפה לילדים שעוברים טיפולים אונקולוגיים), התשס"ז-2006</dc:title>
  <dc:subject/>
  <dc:creator>Knesset</dc:creator>
  <cp:keywords/>
  <dc:description/>
  <cp:lastModifiedBy>שמואל כוכב</cp:lastModifiedBy>
  <cp:revision>2</cp:revision>
  <cp:lastPrinted>2006-09-19T10:18:00Z</cp:lastPrinted>
  <dcterms:created xsi:type="dcterms:W3CDTF">2015-02-03T17:04:00Z</dcterms:created>
  <dcterms:modified xsi:type="dcterms:W3CDTF">2015-02-03T17:04:00Z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05281106</vt:lpwstr>
  </property>
  <property fmtid="{D5CDD505-2E9C-101B-9397-08002B2CF9AE}" pid="10" name="מספר הצעת חוק למיון">
    <vt:lpwstr>1667</vt:lpwstr>
  </property>
  <property fmtid="{D5CDD505-2E9C-101B-9397-08002B2CF9AE}" pid="11" name="SDDocDate">
    <vt:lpwstr>2006-11-01T00:00:00Z</vt:lpwstr>
  </property>
  <property fmtid="{D5CDD505-2E9C-101B-9397-08002B2CF9AE}" pid="12" name="SDHebDate">
    <vt:lpwstr>י' בחשון, התשס"ז</vt:lpwstr>
  </property>
  <property fmtid="{D5CDD505-2E9C-101B-9397-08002B2CF9AE}" pid="13" name="SDCategories">
    <vt:lpwstr>:דף הבית:נושאים:חקיקה:נוסח לדיון מוקדם;#</vt:lpwstr>
  </property>
  <property fmtid="{D5CDD505-2E9C-101B-9397-08002B2CF9AE}" pid="14" name="תאריך הנחה">
    <vt:lpwstr/>
  </property>
  <property fmtid="{D5CDD505-2E9C-101B-9397-08002B2CF9AE}" pid="15" name="Vaada">
    <vt:lpwstr/>
  </property>
  <property fmtid="{D5CDD505-2E9C-101B-9397-08002B2CF9AE}" pid="16" name="HebrewDate">
    <vt:lpwstr/>
  </property>
  <property fmtid="{D5CDD505-2E9C-101B-9397-08002B2CF9AE}" pid="17" name="SDAuthor">
    <vt:lpwstr>עדי טייכר</vt:lpwstr>
  </property>
  <property fmtid="{D5CDD505-2E9C-101B-9397-08002B2CF9AE}" pid="18" name="MechaberMismach">
    <vt:lpwstr/>
  </property>
  <property fmtid="{D5CDD505-2E9C-101B-9397-08002B2CF9AE}" pid="19" name="MisHatzaatChok">
    <vt:lpwstr>פ/1667/17</vt:lpwstr>
  </property>
  <property fmtid="{D5CDD505-2E9C-101B-9397-08002B2CF9AE}" pid="20" name="SDRemark">
    <vt:lpwstr/>
  </property>
  <property fmtid="{D5CDD505-2E9C-101B-9397-08002B2CF9AE}" pid="21" name="SDOfflineTo">
    <vt:lpwstr/>
  </property>
  <property fmtid="{D5CDD505-2E9C-101B-9397-08002B2CF9AE}" pid="22" name="SDDistList">
    <vt:lpwstr/>
  </property>
  <property fmtid="{D5CDD505-2E9C-101B-9397-08002B2CF9AE}" pid="23" name="SDDistDate">
    <vt:lpwstr/>
  </property>
  <property fmtid="{D5CDD505-2E9C-101B-9397-08002B2CF9AE}" pid="24" name="SDOriginalID">
    <vt:lpwstr/>
  </property>
  <property fmtid="{D5CDD505-2E9C-101B-9397-08002B2CF9AE}" pid="25" name="SDSenderName">
    <vt:lpwstr/>
  </property>
  <property fmtid="{D5CDD505-2E9C-101B-9397-08002B2CF9AE}" pid="26" name="SDToList">
    <vt:lpwstr/>
  </property>
  <property fmtid="{D5CDD505-2E9C-101B-9397-08002B2CF9AE}" pid="27" name="SDCCList">
    <vt:lpwstr/>
  </property>
  <property fmtid="{D5CDD505-2E9C-101B-9397-08002B2CF9AE}" pid="28" name="STHasReminders">
    <vt:lpwstr>0</vt:lpwstr>
  </property>
  <property fmtid="{D5CDD505-2E9C-101B-9397-08002B2CF9AE}" pid="29" name="SDLink">
    <vt:lpwstr>, </vt:lpwstr>
  </property>
  <property fmtid="{D5CDD505-2E9C-101B-9397-08002B2CF9AE}" pid="30" name="Num_Gim1">
    <vt:lpwstr/>
  </property>
  <property fmtid="{D5CDD505-2E9C-101B-9397-08002B2CF9AE}" pid="31" name="NoseA">
    <vt:lpwstr/>
  </property>
  <property fmtid="{D5CDD505-2E9C-101B-9397-08002B2CF9AE}" pid="32" name="NoseB">
    <vt:lpwstr/>
  </property>
  <property fmtid="{D5CDD505-2E9C-101B-9397-08002B2CF9AE}" pid="33" name="knesset_number">
    <vt:lpwstr/>
  </property>
  <property fmtid="{D5CDD505-2E9C-101B-9397-08002B2CF9AE}" pid="34" name="ValidFrom">
    <vt:lpwstr/>
  </property>
  <property fmtid="{D5CDD505-2E9C-101B-9397-08002B2CF9AE}" pid="35" name="ValidUntill">
    <vt:lpwstr/>
  </property>
  <property fmtid="{D5CDD505-2E9C-101B-9397-08002B2CF9AE}" pid="36" name="To1">
    <vt:lpwstr/>
  </property>
  <property fmtid="{D5CDD505-2E9C-101B-9397-08002B2CF9AE}" pid="37" name="From">
    <vt:lpwstr/>
  </property>
  <property fmtid="{D5CDD505-2E9C-101B-9397-08002B2CF9AE}" pid="38" name="body">
    <vt:lpwstr/>
  </property>
</Properties>
</file>