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DE03BD">
      <w:pPr>
        <w:pStyle w:val="a3"/>
        <w:bidi w:val="0"/>
        <w:rPr>
          <w:rFonts w:cs="David"/>
          <w:b w:val="0"/>
          <w:bCs w:val="0"/>
          <w:sz w:val="26"/>
          <w:szCs w:val="26"/>
          <w:u w:val="none"/>
        </w:rPr>
      </w:pPr>
      <w:bookmarkStart w:id="0" w:name="_GoBack"/>
      <w:bookmarkEnd w:id="0"/>
      <w:r>
        <w:rPr>
          <w:rFonts w:cs="David"/>
          <w:u w:val="none"/>
          <w:rtl/>
        </w:rPr>
        <w:t>הכנסת השבע-עשרה</w:t>
      </w:r>
    </w:p>
    <w:p w:rsidR="00000000" w:rsidRDefault="00DE03BD">
      <w:pPr>
        <w:rPr>
          <w:rFonts w:cs="David"/>
          <w:sz w:val="26"/>
          <w:szCs w:val="26"/>
          <w:rtl/>
        </w:rPr>
      </w:pPr>
    </w:p>
    <w:p w:rsidR="00000000" w:rsidRDefault="00DE03BD">
      <w:pPr>
        <w:rPr>
          <w:rFonts w:cs="David"/>
          <w:sz w:val="26"/>
          <w:szCs w:val="26"/>
          <w:rtl/>
        </w:rPr>
      </w:pPr>
    </w:p>
    <w:tbl>
      <w:tblPr>
        <w:bidiVisual/>
        <w:tblW w:w="0" w:type="auto"/>
        <w:tblInd w:w="4377" w:type="dxa"/>
        <w:tblBorders>
          <w:bottom w:val="single" w:sz="4" w:space="0" w:color="auto"/>
        </w:tblBorders>
        <w:tblLook w:val="0000" w:firstRow="0" w:lastRow="0" w:firstColumn="0" w:lastColumn="0" w:noHBand="0" w:noVBand="0"/>
      </w:tblPr>
      <w:tblGrid>
        <w:gridCol w:w="4145"/>
      </w:tblGrid>
      <w:tr w:rsidR="00000000">
        <w:tblPrEx>
          <w:tblCellMar>
            <w:top w:w="0" w:type="dxa"/>
            <w:bottom w:w="0" w:type="dxa"/>
          </w:tblCellMar>
        </w:tblPrEx>
        <w:tc>
          <w:tcPr>
            <w:tcW w:w="4145" w:type="dxa"/>
            <w:tcBorders>
              <w:top w:val="nil"/>
              <w:left w:val="nil"/>
              <w:bottom w:val="single" w:sz="4" w:space="0" w:color="auto"/>
              <w:right w:val="nil"/>
            </w:tcBorders>
          </w:tcPr>
          <w:p w:rsidR="00000000" w:rsidRDefault="00DE03BD">
            <w:pPr>
              <w:spacing w:after="120"/>
              <w:rPr>
                <w:rFonts w:cs="David"/>
                <w:sz w:val="26"/>
                <w:szCs w:val="26"/>
              </w:rPr>
            </w:pPr>
            <w:r>
              <w:rPr>
                <w:rFonts w:cs="David"/>
                <w:sz w:val="26"/>
                <w:szCs w:val="26"/>
                <w:rtl/>
              </w:rPr>
              <w:t>הצעת</w:t>
            </w:r>
            <w:r>
              <w:rPr>
                <w:rFonts w:cs="David"/>
                <w:sz w:val="26"/>
                <w:szCs w:val="26"/>
              </w:rPr>
              <w:t xml:space="preserve"> </w:t>
            </w:r>
            <w:r>
              <w:rPr>
                <w:rFonts w:cs="David"/>
                <w:sz w:val="26"/>
                <w:szCs w:val="26"/>
                <w:rtl/>
              </w:rPr>
              <w:t xml:space="preserve">חוק של חבר הכנסת </w:t>
            </w:r>
            <w:r>
              <w:rPr>
                <w:rFonts w:cs="David"/>
                <w:b/>
                <w:bCs/>
                <w:sz w:val="26"/>
                <w:szCs w:val="26"/>
                <w:rtl/>
              </w:rPr>
              <w:t>שלמה ברזניץ</w:t>
            </w:r>
          </w:p>
        </w:tc>
      </w:tr>
    </w:tbl>
    <w:p w:rsidR="00000000" w:rsidRDefault="00DE03BD">
      <w:pPr>
        <w:ind w:left="6866"/>
        <w:rPr>
          <w:rFonts w:cs="David"/>
          <w:sz w:val="26"/>
          <w:szCs w:val="26"/>
          <w:rtl/>
        </w:rPr>
      </w:pPr>
      <w:r>
        <w:rPr>
          <w:noProof/>
          <w:lang w:eastAsia="en-US"/>
        </w:rPr>
        <w:pict>
          <v:shapetype id="_x0000_t202" coordsize="21600,21600" o:spt="202" path="m,l,21600r21600,l21600,xe">
            <v:stroke joinstyle="miter"/>
            <v:path gradientshapeok="t" o:connecttype="rect"/>
          </v:shapetype>
          <v:shape id="_x0000_s1026" type="#_x0000_t202" style="position:absolute;left:0;text-align:left;margin-left:89.85pt;margin-top:2pt;width:54pt;height:18pt;z-index:251658240;mso-position-horizontal-relative:text;mso-position-vertical-relative:text" stroked="f">
            <v:textbox style="mso-next-textbox:#_x0000_s1026" inset="0,0,0,0">
              <w:txbxContent>
                <w:p w:rsidR="00000000" w:rsidRDefault="00DE03BD">
                  <w:pPr>
                    <w:rPr>
                      <w:rFonts w:cs="David"/>
                      <w:b/>
                      <w:bCs/>
                      <w:rtl/>
                    </w:rPr>
                  </w:pPr>
                  <w:r>
                    <w:rPr>
                      <w:rtl/>
                    </w:rPr>
                    <w:t xml:space="preserve"> </w:t>
                  </w:r>
                  <w:r>
                    <w:rPr>
                      <w:rFonts w:cs="David"/>
                      <w:b/>
                      <w:bCs/>
                      <w:rtl/>
                    </w:rPr>
                    <w:t>פ/1765/17</w:t>
                  </w:r>
                </w:p>
              </w:txbxContent>
            </v:textbox>
            <w10:anchorlock/>
          </v:shape>
        </w:pict>
      </w:r>
    </w:p>
    <w:p w:rsidR="00000000" w:rsidRDefault="00DE03BD">
      <w:pPr>
        <w:rPr>
          <w:rFonts w:cs="David"/>
          <w:sz w:val="26"/>
          <w:szCs w:val="26"/>
          <w:rtl/>
        </w:rPr>
      </w:pPr>
    </w:p>
    <w:p w:rsidR="00000000" w:rsidRDefault="00DE03BD">
      <w:pPr>
        <w:rPr>
          <w:rFonts w:cs="David"/>
          <w:sz w:val="26"/>
          <w:szCs w:val="26"/>
          <w:rtl/>
        </w:rPr>
      </w:pPr>
    </w:p>
    <w:p w:rsidR="00000000" w:rsidRDefault="00DE03BD">
      <w:pPr>
        <w:pStyle w:val="1"/>
        <w:rPr>
          <w:rFonts w:cs="David"/>
          <w:b w:val="0"/>
          <w:bCs w:val="0"/>
          <w:sz w:val="26"/>
          <w:szCs w:val="26"/>
          <w:u w:val="none"/>
          <w:rtl/>
        </w:rPr>
      </w:pPr>
      <w:r>
        <w:rPr>
          <w:rFonts w:cs="David"/>
          <w:u w:val="none"/>
          <w:rtl/>
        </w:rPr>
        <w:t>הצעת חוק זכויות החולה (תיקון – איסור הפליה מחמת גיל והסכמה מדעת לטיפול רפואי), התשס"ז</w:t>
      </w:r>
      <w:r>
        <w:rPr>
          <w:rFonts w:cs="David"/>
          <w:u w:val="none"/>
          <w:rtl/>
        </w:rPr>
        <w:t>-2006</w:t>
      </w:r>
    </w:p>
    <w:p w:rsidR="00000000" w:rsidRDefault="00DE03BD">
      <w:pPr>
        <w:rPr>
          <w:rFonts w:cs="David"/>
          <w:sz w:val="26"/>
          <w:szCs w:val="26"/>
          <w:rtl/>
        </w:rPr>
      </w:pPr>
    </w:p>
    <w:p w:rsidR="00000000" w:rsidRDefault="00DE03BD">
      <w:pPr>
        <w:rPr>
          <w:rFonts w:cs="David"/>
          <w:sz w:val="26"/>
          <w:szCs w:val="26"/>
          <w:rtl/>
        </w:rPr>
      </w:pPr>
    </w:p>
    <w:tbl>
      <w:tblPr>
        <w:bidiVisual/>
        <w:tblW w:w="0" w:type="auto"/>
        <w:tblCellMar>
          <w:left w:w="57" w:type="dxa"/>
          <w:right w:w="57" w:type="dxa"/>
        </w:tblCellMar>
        <w:tblLook w:val="0000" w:firstRow="0" w:lastRow="0" w:firstColumn="0" w:lastColumn="0" w:noHBand="0" w:noVBand="0"/>
      </w:tblPr>
      <w:tblGrid>
        <w:gridCol w:w="1182"/>
        <w:gridCol w:w="550"/>
        <w:gridCol w:w="597"/>
        <w:gridCol w:w="6091"/>
      </w:tblGrid>
      <w:tr w:rsidR="00000000">
        <w:tblPrEx>
          <w:tblCellMar>
            <w:top w:w="0" w:type="dxa"/>
            <w:bottom w:w="0" w:type="dxa"/>
          </w:tblCellMar>
        </w:tblPrEx>
        <w:trPr>
          <w:cantSplit/>
        </w:trPr>
        <w:tc>
          <w:tcPr>
            <w:tcW w:w="1185" w:type="dxa"/>
            <w:tcBorders>
              <w:top w:val="nil"/>
              <w:left w:val="nil"/>
              <w:bottom w:val="nil"/>
              <w:right w:val="nil"/>
            </w:tcBorders>
          </w:tcPr>
          <w:p w:rsidR="00000000" w:rsidRDefault="00DE03BD">
            <w:pPr>
              <w:spacing w:after="120" w:line="360" w:lineRule="auto"/>
              <w:rPr>
                <w:rFonts w:cs="David"/>
                <w:sz w:val="26"/>
                <w:szCs w:val="26"/>
                <w:rtl/>
              </w:rPr>
            </w:pPr>
            <w:r>
              <w:rPr>
                <w:rFonts w:cs="David"/>
                <w:sz w:val="26"/>
                <w:szCs w:val="26"/>
                <w:rtl/>
              </w:rPr>
              <w:t xml:space="preserve">תיקון סעיף 4 </w:t>
            </w:r>
          </w:p>
        </w:tc>
        <w:tc>
          <w:tcPr>
            <w:tcW w:w="551" w:type="dxa"/>
            <w:tcBorders>
              <w:top w:val="nil"/>
              <w:left w:val="nil"/>
              <w:bottom w:val="nil"/>
              <w:right w:val="nil"/>
            </w:tcBorders>
          </w:tcPr>
          <w:p w:rsidR="00000000" w:rsidRDefault="00DE03BD">
            <w:pPr>
              <w:spacing w:after="120" w:line="360" w:lineRule="auto"/>
              <w:rPr>
                <w:rFonts w:cs="David"/>
                <w:sz w:val="26"/>
                <w:szCs w:val="26"/>
              </w:rPr>
            </w:pPr>
            <w:r>
              <w:rPr>
                <w:rFonts w:cs="David"/>
                <w:sz w:val="26"/>
                <w:szCs w:val="26"/>
                <w:rtl/>
              </w:rPr>
              <w:t>1.</w:t>
            </w:r>
          </w:p>
        </w:tc>
        <w:tc>
          <w:tcPr>
            <w:tcW w:w="6684" w:type="dxa"/>
            <w:gridSpan w:val="2"/>
            <w:tcBorders>
              <w:top w:val="nil"/>
              <w:left w:val="nil"/>
              <w:bottom w:val="nil"/>
              <w:right w:val="nil"/>
            </w:tcBorders>
          </w:tcPr>
          <w:p w:rsidR="00000000" w:rsidRDefault="00DE03BD">
            <w:pPr>
              <w:spacing w:after="120" w:line="360" w:lineRule="auto"/>
              <w:jc w:val="both"/>
              <w:rPr>
                <w:rFonts w:cs="David"/>
                <w:sz w:val="26"/>
                <w:szCs w:val="26"/>
              </w:rPr>
            </w:pPr>
            <w:r>
              <w:rPr>
                <w:rFonts w:cs="David"/>
                <w:sz w:val="26"/>
                <w:szCs w:val="26"/>
                <w:rtl/>
              </w:rPr>
              <w:t>בחוק זכויות החולה, התשנ"ו-1996 (להלן – החוק העיקרי), בסעיף 4, אחרי "נטיה מינית" יבוא "גיל".</w:t>
            </w:r>
          </w:p>
        </w:tc>
      </w:tr>
      <w:tr w:rsidR="00000000">
        <w:tblPrEx>
          <w:tblCellMar>
            <w:top w:w="0" w:type="dxa"/>
            <w:bottom w:w="0" w:type="dxa"/>
          </w:tblCellMar>
        </w:tblPrEx>
        <w:trPr>
          <w:cantSplit/>
        </w:trPr>
        <w:tc>
          <w:tcPr>
            <w:tcW w:w="1185" w:type="dxa"/>
            <w:tcBorders>
              <w:top w:val="nil"/>
              <w:left w:val="nil"/>
              <w:bottom w:val="nil"/>
              <w:right w:val="nil"/>
            </w:tcBorders>
          </w:tcPr>
          <w:p w:rsidR="00000000" w:rsidRDefault="00DE03BD">
            <w:pPr>
              <w:spacing w:after="120" w:line="360" w:lineRule="auto"/>
              <w:rPr>
                <w:rFonts w:cs="David"/>
                <w:sz w:val="26"/>
                <w:szCs w:val="26"/>
                <w:rtl/>
              </w:rPr>
            </w:pPr>
            <w:r>
              <w:rPr>
                <w:rFonts w:cs="David"/>
                <w:sz w:val="26"/>
                <w:szCs w:val="26"/>
                <w:rtl/>
              </w:rPr>
              <w:t>תיקון סעיף 13</w:t>
            </w:r>
          </w:p>
        </w:tc>
        <w:tc>
          <w:tcPr>
            <w:tcW w:w="551" w:type="dxa"/>
            <w:tcBorders>
              <w:top w:val="nil"/>
              <w:left w:val="nil"/>
              <w:bottom w:val="nil"/>
              <w:right w:val="nil"/>
            </w:tcBorders>
          </w:tcPr>
          <w:p w:rsidR="00000000" w:rsidRDefault="00DE03BD">
            <w:pPr>
              <w:spacing w:after="120" w:line="360" w:lineRule="auto"/>
              <w:rPr>
                <w:rFonts w:cs="David"/>
                <w:sz w:val="26"/>
                <w:szCs w:val="26"/>
              </w:rPr>
            </w:pPr>
            <w:r>
              <w:rPr>
                <w:rFonts w:cs="David"/>
                <w:sz w:val="26"/>
                <w:szCs w:val="26"/>
                <w:rtl/>
              </w:rPr>
              <w:t>2.</w:t>
            </w:r>
          </w:p>
        </w:tc>
        <w:tc>
          <w:tcPr>
            <w:tcW w:w="6684" w:type="dxa"/>
            <w:gridSpan w:val="2"/>
            <w:tcBorders>
              <w:top w:val="nil"/>
              <w:left w:val="nil"/>
              <w:bottom w:val="nil"/>
              <w:right w:val="nil"/>
            </w:tcBorders>
          </w:tcPr>
          <w:p w:rsidR="00000000" w:rsidRDefault="00DE03BD">
            <w:pPr>
              <w:spacing w:after="120" w:line="360" w:lineRule="auto"/>
              <w:jc w:val="both"/>
              <w:rPr>
                <w:rFonts w:cs="David"/>
                <w:sz w:val="26"/>
                <w:szCs w:val="26"/>
              </w:rPr>
            </w:pPr>
            <w:r>
              <w:rPr>
                <w:rFonts w:cs="David"/>
                <w:sz w:val="26"/>
                <w:szCs w:val="26"/>
                <w:rtl/>
              </w:rPr>
              <w:t xml:space="preserve">בסעיף 13(ב) לחוק העיקרי, בסופו יבוא:  </w:t>
            </w:r>
          </w:p>
        </w:tc>
      </w:tr>
      <w:tr w:rsidR="00000000">
        <w:tblPrEx>
          <w:tblCellMar>
            <w:top w:w="0" w:type="dxa"/>
            <w:bottom w:w="0" w:type="dxa"/>
          </w:tblCellMar>
        </w:tblPrEx>
        <w:trPr>
          <w:cantSplit/>
        </w:trPr>
        <w:tc>
          <w:tcPr>
            <w:tcW w:w="1185" w:type="dxa"/>
            <w:tcBorders>
              <w:top w:val="nil"/>
              <w:left w:val="nil"/>
              <w:bottom w:val="nil"/>
              <w:right w:val="nil"/>
            </w:tcBorders>
          </w:tcPr>
          <w:p w:rsidR="00000000" w:rsidRDefault="00DE03BD">
            <w:pPr>
              <w:spacing w:after="120" w:line="360" w:lineRule="auto"/>
              <w:rPr>
                <w:rFonts w:cs="David"/>
                <w:sz w:val="26"/>
                <w:szCs w:val="26"/>
                <w:rtl/>
              </w:rPr>
            </w:pPr>
          </w:p>
        </w:tc>
        <w:tc>
          <w:tcPr>
            <w:tcW w:w="551" w:type="dxa"/>
            <w:tcBorders>
              <w:top w:val="nil"/>
              <w:left w:val="nil"/>
              <w:bottom w:val="nil"/>
              <w:right w:val="nil"/>
            </w:tcBorders>
          </w:tcPr>
          <w:p w:rsidR="00000000" w:rsidRDefault="00DE03BD">
            <w:pPr>
              <w:spacing w:after="120" w:line="360" w:lineRule="auto"/>
              <w:rPr>
                <w:rFonts w:cs="David"/>
                <w:sz w:val="26"/>
                <w:szCs w:val="26"/>
                <w:rtl/>
              </w:rPr>
            </w:pPr>
          </w:p>
        </w:tc>
        <w:tc>
          <w:tcPr>
            <w:tcW w:w="567" w:type="dxa"/>
            <w:tcBorders>
              <w:top w:val="nil"/>
              <w:left w:val="nil"/>
              <w:bottom w:val="nil"/>
              <w:right w:val="nil"/>
            </w:tcBorders>
          </w:tcPr>
          <w:p w:rsidR="00000000" w:rsidRDefault="00DE03BD">
            <w:pPr>
              <w:spacing w:after="120" w:line="360" w:lineRule="auto"/>
              <w:rPr>
                <w:rFonts w:cs="David"/>
                <w:sz w:val="26"/>
                <w:szCs w:val="26"/>
                <w:rtl/>
              </w:rPr>
            </w:pPr>
            <w:r>
              <w:rPr>
                <w:rFonts w:cs="David"/>
                <w:sz w:val="26"/>
                <w:szCs w:val="26"/>
                <w:rtl/>
              </w:rPr>
              <w:t>"(6)</w:t>
            </w:r>
          </w:p>
        </w:tc>
        <w:tc>
          <w:tcPr>
            <w:tcW w:w="6117" w:type="dxa"/>
            <w:tcBorders>
              <w:top w:val="nil"/>
              <w:left w:val="nil"/>
              <w:bottom w:val="nil"/>
              <w:right w:val="nil"/>
            </w:tcBorders>
          </w:tcPr>
          <w:p w:rsidR="00000000" w:rsidRDefault="00DE03BD">
            <w:pPr>
              <w:spacing w:after="120" w:line="360" w:lineRule="auto"/>
              <w:jc w:val="both"/>
              <w:rPr>
                <w:rFonts w:cs="David"/>
                <w:sz w:val="26"/>
                <w:szCs w:val="26"/>
                <w:rtl/>
              </w:rPr>
            </w:pPr>
            <w:r>
              <w:rPr>
                <w:rFonts w:cs="David"/>
                <w:sz w:val="26"/>
                <w:szCs w:val="26"/>
                <w:rtl/>
              </w:rPr>
              <w:t>קיום אינטרסים אישיים או מקצועיים, באם קיימים או צפויים להתקיים, של המטפל א</w:t>
            </w:r>
            <w:r>
              <w:rPr>
                <w:rFonts w:cs="David"/>
                <w:sz w:val="26"/>
                <w:szCs w:val="26"/>
                <w:rtl/>
              </w:rPr>
              <w:t>ו מקום עבודתו, בהצעת טיפול מסוים או הצעת העדפתו."</w:t>
            </w:r>
          </w:p>
          <w:p w:rsidR="00000000" w:rsidRDefault="00DE03BD">
            <w:pPr>
              <w:spacing w:after="120" w:line="360" w:lineRule="auto"/>
              <w:jc w:val="both"/>
              <w:rPr>
                <w:rFonts w:cs="David"/>
                <w:sz w:val="26"/>
                <w:szCs w:val="26"/>
                <w:rtl/>
              </w:rPr>
            </w:pPr>
          </w:p>
        </w:tc>
      </w:tr>
      <w:tr w:rsidR="00000000">
        <w:tblPrEx>
          <w:tblCellMar>
            <w:top w:w="0" w:type="dxa"/>
            <w:bottom w:w="0" w:type="dxa"/>
          </w:tblCellMar>
        </w:tblPrEx>
        <w:trPr>
          <w:cantSplit/>
          <w:trHeight w:val="614"/>
        </w:trPr>
        <w:tc>
          <w:tcPr>
            <w:tcW w:w="1185" w:type="dxa"/>
            <w:vMerge w:val="restart"/>
            <w:tcBorders>
              <w:top w:val="nil"/>
              <w:left w:val="nil"/>
              <w:bottom w:val="nil"/>
              <w:right w:val="nil"/>
            </w:tcBorders>
          </w:tcPr>
          <w:p w:rsidR="00000000" w:rsidRDefault="00DE03BD">
            <w:pPr>
              <w:spacing w:after="120" w:line="360" w:lineRule="auto"/>
              <w:rPr>
                <w:rFonts w:cs="David"/>
                <w:sz w:val="26"/>
                <w:szCs w:val="26"/>
                <w:rtl/>
              </w:rPr>
            </w:pPr>
            <w:r>
              <w:rPr>
                <w:rFonts w:cs="David"/>
                <w:sz w:val="26"/>
                <w:szCs w:val="26"/>
                <w:rtl/>
              </w:rPr>
              <w:t>תיקון סעיף 14</w:t>
            </w:r>
          </w:p>
        </w:tc>
        <w:tc>
          <w:tcPr>
            <w:tcW w:w="551" w:type="dxa"/>
            <w:vMerge w:val="restart"/>
            <w:tcBorders>
              <w:top w:val="nil"/>
              <w:left w:val="nil"/>
              <w:bottom w:val="nil"/>
              <w:right w:val="nil"/>
            </w:tcBorders>
          </w:tcPr>
          <w:p w:rsidR="00000000" w:rsidRDefault="00DE03BD">
            <w:pPr>
              <w:spacing w:after="120" w:line="360" w:lineRule="auto"/>
              <w:rPr>
                <w:rFonts w:cs="David"/>
                <w:sz w:val="26"/>
                <w:szCs w:val="26"/>
                <w:rtl/>
              </w:rPr>
            </w:pPr>
            <w:r>
              <w:rPr>
                <w:rFonts w:cs="David"/>
                <w:sz w:val="26"/>
                <w:szCs w:val="26"/>
                <w:rtl/>
              </w:rPr>
              <w:t>3.</w:t>
            </w:r>
          </w:p>
        </w:tc>
        <w:tc>
          <w:tcPr>
            <w:tcW w:w="6684" w:type="dxa"/>
            <w:gridSpan w:val="2"/>
            <w:tcBorders>
              <w:top w:val="nil"/>
              <w:left w:val="nil"/>
              <w:bottom w:val="nil"/>
              <w:right w:val="nil"/>
            </w:tcBorders>
          </w:tcPr>
          <w:p w:rsidR="00000000" w:rsidRDefault="00DE03BD">
            <w:pPr>
              <w:spacing w:after="120" w:line="360" w:lineRule="auto"/>
              <w:jc w:val="both"/>
              <w:rPr>
                <w:rFonts w:cs="David"/>
                <w:sz w:val="26"/>
                <w:szCs w:val="26"/>
                <w:rtl/>
              </w:rPr>
            </w:pPr>
            <w:r>
              <w:rPr>
                <w:rFonts w:cs="David"/>
                <w:sz w:val="26"/>
                <w:szCs w:val="26"/>
                <w:rtl/>
              </w:rPr>
              <w:t xml:space="preserve">בסעיף 14 לחוק העיקרי, לאחר סעיף קטן (ב) יבוא: </w:t>
            </w:r>
          </w:p>
        </w:tc>
      </w:tr>
      <w:tr w:rsidR="00000000">
        <w:tblPrEx>
          <w:tblCellMar>
            <w:top w:w="0" w:type="dxa"/>
            <w:bottom w:w="0" w:type="dxa"/>
          </w:tblCellMar>
        </w:tblPrEx>
        <w:trPr>
          <w:cantSplit/>
          <w:trHeight w:val="1537"/>
        </w:trPr>
        <w:tc>
          <w:tcPr>
            <w:tcW w:w="1185" w:type="dxa"/>
            <w:vMerge/>
            <w:tcBorders>
              <w:top w:val="nil"/>
              <w:left w:val="nil"/>
              <w:bottom w:val="nil"/>
              <w:right w:val="nil"/>
            </w:tcBorders>
          </w:tcPr>
          <w:p w:rsidR="00000000" w:rsidRDefault="00DE03BD">
            <w:pPr>
              <w:spacing w:after="120" w:line="360" w:lineRule="auto"/>
              <w:rPr>
                <w:rFonts w:cs="David"/>
                <w:sz w:val="26"/>
                <w:szCs w:val="26"/>
                <w:rtl/>
              </w:rPr>
            </w:pPr>
          </w:p>
        </w:tc>
        <w:tc>
          <w:tcPr>
            <w:tcW w:w="551" w:type="dxa"/>
            <w:vMerge/>
            <w:tcBorders>
              <w:top w:val="nil"/>
              <w:left w:val="nil"/>
              <w:bottom w:val="nil"/>
              <w:right w:val="nil"/>
            </w:tcBorders>
          </w:tcPr>
          <w:p w:rsidR="00000000" w:rsidRDefault="00DE03BD">
            <w:pPr>
              <w:spacing w:after="120" w:line="360" w:lineRule="auto"/>
              <w:rPr>
                <w:rFonts w:cs="David"/>
                <w:sz w:val="26"/>
                <w:szCs w:val="26"/>
                <w:rtl/>
              </w:rPr>
            </w:pPr>
          </w:p>
        </w:tc>
        <w:tc>
          <w:tcPr>
            <w:tcW w:w="566" w:type="dxa"/>
            <w:tcBorders>
              <w:top w:val="nil"/>
              <w:left w:val="nil"/>
              <w:bottom w:val="nil"/>
              <w:right w:val="nil"/>
            </w:tcBorders>
          </w:tcPr>
          <w:p w:rsidR="00000000" w:rsidRDefault="00DE03BD">
            <w:pPr>
              <w:spacing w:after="120" w:line="360" w:lineRule="auto"/>
              <w:jc w:val="both"/>
              <w:rPr>
                <w:rFonts w:cs="David"/>
                <w:sz w:val="26"/>
                <w:szCs w:val="26"/>
                <w:rtl/>
              </w:rPr>
            </w:pPr>
            <w:r>
              <w:rPr>
                <w:rFonts w:cs="David"/>
                <w:sz w:val="26"/>
                <w:szCs w:val="26"/>
                <w:rtl/>
              </w:rPr>
              <w:t>"(ב1)</w:t>
            </w:r>
          </w:p>
        </w:tc>
        <w:tc>
          <w:tcPr>
            <w:tcW w:w="6118" w:type="dxa"/>
            <w:tcBorders>
              <w:top w:val="nil"/>
              <w:left w:val="nil"/>
              <w:bottom w:val="nil"/>
              <w:right w:val="nil"/>
            </w:tcBorders>
          </w:tcPr>
          <w:p w:rsidR="00000000" w:rsidRDefault="00DE03BD">
            <w:pPr>
              <w:spacing w:after="120" w:line="360" w:lineRule="auto"/>
              <w:jc w:val="both"/>
              <w:rPr>
                <w:rFonts w:cs="David"/>
                <w:sz w:val="26"/>
                <w:szCs w:val="26"/>
                <w:rtl/>
              </w:rPr>
            </w:pPr>
            <w:r>
              <w:rPr>
                <w:rFonts w:cs="David"/>
                <w:sz w:val="26"/>
                <w:szCs w:val="26"/>
                <w:rtl/>
              </w:rPr>
              <w:t>טופס החתימה על הסכמה מדעת לטיפול רפואי המנוי בתוספת, יימסר למטופל על ידי הרופא המטפל בלבד, בעת הודעת המטפל למטופל על הצורך בטיפול ר</w:t>
            </w:r>
            <w:r>
              <w:rPr>
                <w:rFonts w:cs="David"/>
                <w:sz w:val="26"/>
                <w:szCs w:val="26"/>
                <w:rtl/>
              </w:rPr>
              <w:t>פואי כאמור במועד מוקדם ביותר האפשרי בנסיבות; הרופא המטפל יודיע למטופל על זכותו לעיין בטופס, וכן יודיע לו על המועד האחרון בו ניתן לחתום על הטופס ולהשיבו למטפל, ובלבד שמועד זה יאפשר למטופל שהות סבירה מספקת לעיין בטופס."</w:t>
            </w:r>
          </w:p>
          <w:p w:rsidR="00000000" w:rsidRDefault="00DE03BD">
            <w:pPr>
              <w:spacing w:after="120" w:line="360" w:lineRule="auto"/>
              <w:jc w:val="both"/>
              <w:rPr>
                <w:rFonts w:cs="David"/>
                <w:sz w:val="26"/>
                <w:szCs w:val="26"/>
                <w:rtl/>
              </w:rPr>
            </w:pPr>
          </w:p>
        </w:tc>
      </w:tr>
    </w:tbl>
    <w:p w:rsidR="00000000" w:rsidRDefault="00DE03BD">
      <w:pPr>
        <w:jc w:val="both"/>
        <w:rPr>
          <w:rFonts w:cs="David"/>
          <w:sz w:val="26"/>
          <w:szCs w:val="26"/>
          <w:rtl/>
        </w:rPr>
      </w:pPr>
    </w:p>
    <w:p w:rsidR="00000000" w:rsidRDefault="00DE03BD">
      <w:pPr>
        <w:jc w:val="both"/>
        <w:rPr>
          <w:rFonts w:cs="David"/>
          <w:sz w:val="26"/>
          <w:szCs w:val="26"/>
          <w:rtl/>
        </w:rPr>
      </w:pPr>
    </w:p>
    <w:p w:rsidR="00000000" w:rsidRDefault="00DE03BD">
      <w:pPr>
        <w:pStyle w:val="1"/>
        <w:rPr>
          <w:rFonts w:cs="David"/>
          <w:b w:val="0"/>
          <w:bCs w:val="0"/>
          <w:sz w:val="26"/>
          <w:szCs w:val="26"/>
          <w:rtl/>
        </w:rPr>
      </w:pPr>
      <w:r>
        <w:rPr>
          <w:rFonts w:cs="David"/>
          <w:rtl/>
        </w:rPr>
        <w:t>דברי - הסבר</w:t>
      </w:r>
    </w:p>
    <w:p w:rsidR="00000000" w:rsidRDefault="00DE03BD">
      <w:pPr>
        <w:rPr>
          <w:rFonts w:cs="David"/>
          <w:sz w:val="26"/>
          <w:szCs w:val="26"/>
          <w:rtl/>
        </w:rPr>
      </w:pPr>
    </w:p>
    <w:p w:rsidR="00000000" w:rsidRDefault="00DE03BD">
      <w:pPr>
        <w:rPr>
          <w:rFonts w:cs="David"/>
          <w:sz w:val="26"/>
          <w:szCs w:val="26"/>
          <w:rtl/>
        </w:rPr>
      </w:pPr>
      <w:r>
        <w:rPr>
          <w:rFonts w:cs="David"/>
          <w:sz w:val="26"/>
          <w:szCs w:val="26"/>
          <w:rtl/>
        </w:rPr>
        <w:t>לסעיף 1</w:t>
      </w:r>
    </w:p>
    <w:p w:rsidR="00000000" w:rsidRDefault="00DE03BD">
      <w:pPr>
        <w:jc w:val="both"/>
        <w:rPr>
          <w:rFonts w:cs="David"/>
          <w:sz w:val="26"/>
          <w:szCs w:val="26"/>
          <w:rtl/>
        </w:rPr>
      </w:pPr>
      <w:r>
        <w:rPr>
          <w:rFonts w:cs="David"/>
          <w:sz w:val="26"/>
          <w:szCs w:val="26"/>
          <w:rtl/>
        </w:rPr>
        <w:t>מוצע לקבוע בח</w:t>
      </w:r>
      <w:r>
        <w:rPr>
          <w:rFonts w:cs="David"/>
          <w:sz w:val="26"/>
          <w:szCs w:val="26"/>
          <w:rtl/>
        </w:rPr>
        <w:t>וק זכויות החולה, התשנ"ו-1996 (להלן – החוק), איסור הפליה מחמת גיל במתן טיפול רפואי - חיוני לאסור הפליה גם מסיבה זו, שהיא אינה פחותה בחשיבותה מאיסורי ההפליה האחרים הנקובים בחוק.</w:t>
      </w:r>
    </w:p>
    <w:p w:rsidR="00000000" w:rsidRDefault="00DE03BD">
      <w:pPr>
        <w:jc w:val="both"/>
        <w:rPr>
          <w:rFonts w:cs="David"/>
          <w:sz w:val="26"/>
          <w:szCs w:val="26"/>
          <w:rtl/>
        </w:rPr>
      </w:pPr>
    </w:p>
    <w:p w:rsidR="00000000" w:rsidRDefault="00DE03BD">
      <w:pPr>
        <w:jc w:val="both"/>
        <w:rPr>
          <w:rFonts w:cs="David"/>
          <w:sz w:val="26"/>
          <w:szCs w:val="26"/>
          <w:rtl/>
        </w:rPr>
      </w:pPr>
      <w:r>
        <w:rPr>
          <w:rFonts w:cs="David"/>
          <w:sz w:val="26"/>
          <w:szCs w:val="26"/>
          <w:rtl/>
        </w:rPr>
        <w:t>לסעיף 2</w:t>
      </w:r>
    </w:p>
    <w:p w:rsidR="00000000" w:rsidRDefault="00DE03BD">
      <w:pPr>
        <w:jc w:val="both"/>
        <w:rPr>
          <w:rFonts w:cs="David"/>
          <w:sz w:val="26"/>
          <w:szCs w:val="26"/>
          <w:rtl/>
        </w:rPr>
      </w:pPr>
      <w:r>
        <w:rPr>
          <w:rFonts w:cs="David"/>
          <w:sz w:val="26"/>
          <w:szCs w:val="26"/>
          <w:rtl/>
        </w:rPr>
        <w:t>חיוני כי המטפל יידע את המטופל אודות אינטרסים של המטפל או מקום עבודתו, ב</w:t>
      </w:r>
      <w:r>
        <w:rPr>
          <w:rFonts w:cs="David"/>
          <w:sz w:val="26"/>
          <w:szCs w:val="26"/>
          <w:rtl/>
        </w:rPr>
        <w:t xml:space="preserve">הצעת או העדפת טיפול מסוים דווקא - באם קיימים כאלה - על מנת שהמטופל יוכל לבחון </w:t>
      </w:r>
      <w:r>
        <w:rPr>
          <w:rFonts w:cs="David"/>
          <w:sz w:val="26"/>
          <w:szCs w:val="26"/>
          <w:rtl/>
        </w:rPr>
        <w:lastRenderedPageBreak/>
        <w:t>לאושרם בתמונה מלאה ובמכלול השיקולים את הצעת המטפל והגורמים המלאים המניעים אותה, ואת הסכמתו או אי הסכמתו לקבלת הטיפול המוצע.</w:t>
      </w:r>
    </w:p>
    <w:p w:rsidR="00000000" w:rsidRDefault="00DE03BD">
      <w:pPr>
        <w:jc w:val="both"/>
        <w:rPr>
          <w:rFonts w:cs="David"/>
          <w:sz w:val="26"/>
          <w:szCs w:val="26"/>
          <w:rtl/>
        </w:rPr>
      </w:pPr>
    </w:p>
    <w:p w:rsidR="00000000" w:rsidRDefault="00DE03BD">
      <w:pPr>
        <w:jc w:val="both"/>
        <w:rPr>
          <w:rFonts w:cs="David"/>
          <w:sz w:val="26"/>
          <w:szCs w:val="26"/>
          <w:rtl/>
        </w:rPr>
      </w:pPr>
      <w:r>
        <w:rPr>
          <w:rFonts w:cs="David"/>
          <w:sz w:val="26"/>
          <w:szCs w:val="26"/>
          <w:rtl/>
        </w:rPr>
        <w:t>לסעיף 3</w:t>
      </w:r>
    </w:p>
    <w:p w:rsidR="00000000" w:rsidRDefault="00DE03BD">
      <w:pPr>
        <w:jc w:val="both"/>
        <w:rPr>
          <w:rFonts w:cs="David"/>
          <w:sz w:val="26"/>
          <w:szCs w:val="26"/>
          <w:rtl/>
        </w:rPr>
      </w:pPr>
      <w:r>
        <w:rPr>
          <w:rFonts w:cs="David"/>
          <w:sz w:val="26"/>
          <w:szCs w:val="26"/>
          <w:rtl/>
        </w:rPr>
        <w:t xml:space="preserve">יש לאפשר למטופל לנסות לקבל, ככל שניתן, החלטה </w:t>
      </w:r>
      <w:r>
        <w:rPr>
          <w:rFonts w:cs="David"/>
          <w:sz w:val="26"/>
          <w:szCs w:val="26"/>
          <w:rtl/>
        </w:rPr>
        <w:t>מושכלת לגבי הטיפול המוצע והסכמתו לחתום על טופס ההסכמה, בפרט משום שעסקינן בטיפולים מהסוג המנוי בתוספת לחוק.  על מנת להביא אפשרות זו למיצוי מירבי, יש לאפשר למטופל לקחת עימו את הטופס לעיונו, במקום שיצטרך - כפי שקורה כיום פעמים רבות בפועל - לחתום על הטופס בחופ</w:t>
      </w:r>
      <w:r>
        <w:rPr>
          <w:rFonts w:cs="David"/>
          <w:sz w:val="26"/>
          <w:szCs w:val="26"/>
          <w:rtl/>
        </w:rPr>
        <w:t>זה ותחת לחץ, לעיתים בסמוך מאד לטיפול, בלית ברירה וללא אפשרות לקרוא את הטופס בעיון כראוי ולהתייעץ לגביו עם קרוביו או אחרים.</w:t>
      </w:r>
    </w:p>
    <w:p w:rsidR="00000000" w:rsidRDefault="00DE03BD">
      <w:pPr>
        <w:jc w:val="both"/>
        <w:rPr>
          <w:rFonts w:cs="David"/>
          <w:sz w:val="26"/>
          <w:szCs w:val="26"/>
          <w:rtl/>
        </w:rPr>
      </w:pPr>
    </w:p>
    <w:p w:rsidR="00000000" w:rsidRDefault="00DE03BD">
      <w:pPr>
        <w:jc w:val="both"/>
        <w:rPr>
          <w:rFonts w:cs="David"/>
          <w:sz w:val="26"/>
          <w:szCs w:val="26"/>
          <w:rtl/>
        </w:rPr>
      </w:pPr>
      <w:r>
        <w:rPr>
          <w:rFonts w:cs="David"/>
          <w:sz w:val="26"/>
          <w:szCs w:val="26"/>
          <w:rtl/>
        </w:rPr>
        <w:t>תיקון הסעיף כאמור גם יקנה לטופס שניתן למטופל שהות לעיין בו כראוי, משנה תוקף לעניין הסכמת המטופל לטיפול המוצע.</w:t>
      </w:r>
    </w:p>
    <w:p w:rsidR="00000000" w:rsidRDefault="00DE03BD">
      <w:pPr>
        <w:jc w:val="both"/>
        <w:rPr>
          <w:rFonts w:cs="David"/>
          <w:sz w:val="26"/>
          <w:szCs w:val="26"/>
          <w:rtl/>
        </w:rPr>
      </w:pPr>
    </w:p>
    <w:p w:rsidR="00000000" w:rsidRDefault="00DE03BD">
      <w:pPr>
        <w:jc w:val="both"/>
        <w:rPr>
          <w:rFonts w:cs="David"/>
          <w:sz w:val="26"/>
          <w:szCs w:val="26"/>
          <w:rtl/>
        </w:rPr>
      </w:pPr>
      <w:r>
        <w:rPr>
          <w:rFonts w:cs="David"/>
          <w:sz w:val="26"/>
          <w:szCs w:val="26"/>
          <w:rtl/>
        </w:rPr>
        <w:t>ובכל מקרה, ניתנת לרופ</w:t>
      </w:r>
      <w:r>
        <w:rPr>
          <w:rFonts w:cs="David"/>
          <w:sz w:val="26"/>
          <w:szCs w:val="26"/>
          <w:rtl/>
        </w:rPr>
        <w:t>א המטפל הסמכות לקביעת המועד האחרון לחתימה על הטופס, כרשום בסעיף המוצע, ובלבד שמועד אחרון זה יעמוד במבחן הסבירות ויאפשר למטופל שהות מספקת לקריאת הטופס והחלטה.</w:t>
      </w:r>
    </w:p>
    <w:p w:rsidR="00000000" w:rsidRDefault="00DE03BD">
      <w:pPr>
        <w:jc w:val="both"/>
        <w:rPr>
          <w:rFonts w:cs="David"/>
          <w:sz w:val="26"/>
          <w:szCs w:val="26"/>
          <w:rtl/>
        </w:rPr>
      </w:pPr>
    </w:p>
    <w:p w:rsidR="00000000" w:rsidRDefault="00DE03BD">
      <w:pPr>
        <w:jc w:val="both"/>
        <w:rPr>
          <w:rFonts w:cs="David"/>
          <w:sz w:val="26"/>
          <w:szCs w:val="26"/>
          <w:rtl/>
        </w:rPr>
      </w:pPr>
      <w:r>
        <w:rPr>
          <w:rFonts w:cs="David"/>
          <w:sz w:val="26"/>
          <w:szCs w:val="26"/>
          <w:rtl/>
        </w:rPr>
        <w:t>מוצע גם כי מסירת הטופס למטופל תיעשה ע"י הרופא המטפל בלבד, בשל הצורך בסמכות גבוהה למסירת המידע והט</w:t>
      </w:r>
      <w:r>
        <w:rPr>
          <w:rFonts w:cs="David"/>
          <w:sz w:val="26"/>
          <w:szCs w:val="26"/>
          <w:rtl/>
        </w:rPr>
        <w:t>ופס במקרים פולשניים המנויים בתוספת כאמור.</w:t>
      </w:r>
    </w:p>
    <w:p w:rsidR="00000000" w:rsidRDefault="00DE03BD">
      <w:pPr>
        <w:jc w:val="both"/>
        <w:rPr>
          <w:rFonts w:cs="David"/>
          <w:sz w:val="26"/>
          <w:szCs w:val="26"/>
          <w:rtl/>
        </w:rPr>
      </w:pPr>
    </w:p>
    <w:p w:rsidR="00000000" w:rsidRDefault="00DE03BD">
      <w:pPr>
        <w:jc w:val="both"/>
        <w:rPr>
          <w:rFonts w:cs="David"/>
          <w:sz w:val="26"/>
          <w:szCs w:val="26"/>
          <w:rtl/>
        </w:rPr>
      </w:pPr>
      <w:r>
        <w:rPr>
          <w:rFonts w:cs="David"/>
          <w:sz w:val="26"/>
          <w:szCs w:val="26"/>
          <w:rtl/>
        </w:rPr>
        <w:t xml:space="preserve">בכל מקרה, תיקון אחרון זה, לא יחול במצבי חירום, בהתאם לאמור בסעיף 15 לחוק. </w:t>
      </w:r>
    </w:p>
    <w:p w:rsidR="00000000" w:rsidRDefault="00DE03BD">
      <w:pPr>
        <w:jc w:val="both"/>
        <w:rPr>
          <w:rFonts w:cs="David"/>
          <w:sz w:val="26"/>
          <w:szCs w:val="26"/>
          <w:rtl/>
        </w:rPr>
      </w:pPr>
    </w:p>
    <w:p w:rsidR="00000000" w:rsidRDefault="00DE03BD">
      <w:pPr>
        <w:jc w:val="both"/>
        <w:rPr>
          <w:rFonts w:cs="David"/>
          <w:sz w:val="26"/>
          <w:szCs w:val="26"/>
          <w:rtl/>
        </w:rPr>
      </w:pPr>
    </w:p>
    <w:p w:rsidR="00000000" w:rsidRDefault="00DE03BD">
      <w:pPr>
        <w:pStyle w:val="a3"/>
        <w:jc w:val="left"/>
        <w:rPr>
          <w:rFonts w:cs="David"/>
          <w:b w:val="0"/>
          <w:bCs w:val="0"/>
          <w:sz w:val="26"/>
          <w:szCs w:val="26"/>
          <w:u w:val="none"/>
          <w:rtl/>
        </w:rPr>
      </w:pPr>
    </w:p>
    <w:p w:rsidR="00000000" w:rsidRDefault="00DE03BD">
      <w:pPr>
        <w:pStyle w:val="a3"/>
        <w:jc w:val="left"/>
        <w:rPr>
          <w:rFonts w:cs="David"/>
          <w:b w:val="0"/>
          <w:bCs w:val="0"/>
          <w:sz w:val="26"/>
          <w:szCs w:val="26"/>
          <w:u w:val="none"/>
          <w:rtl/>
        </w:rPr>
      </w:pPr>
    </w:p>
    <w:p w:rsidR="00000000" w:rsidRDefault="00DE03BD">
      <w:pPr>
        <w:pStyle w:val="a3"/>
        <w:jc w:val="left"/>
        <w:rPr>
          <w:rFonts w:cs="David"/>
          <w:b w:val="0"/>
          <w:bCs w:val="0"/>
          <w:sz w:val="26"/>
          <w:szCs w:val="26"/>
          <w:u w:val="none"/>
          <w:rtl/>
        </w:rPr>
      </w:pPr>
      <w:r>
        <w:rPr>
          <w:rFonts w:cs="David"/>
          <w:b w:val="0"/>
          <w:bCs w:val="0"/>
          <w:sz w:val="26"/>
          <w:szCs w:val="26"/>
          <w:u w:val="none"/>
          <w:rtl/>
        </w:rPr>
        <w:t>---------------------------------</w:t>
      </w:r>
    </w:p>
    <w:p w:rsidR="00000000" w:rsidRDefault="00DE03BD">
      <w:pPr>
        <w:pStyle w:val="a3"/>
        <w:jc w:val="left"/>
        <w:rPr>
          <w:rFonts w:cs="David"/>
          <w:b w:val="0"/>
          <w:bCs w:val="0"/>
          <w:sz w:val="26"/>
          <w:szCs w:val="26"/>
          <w:u w:val="none"/>
          <w:rtl/>
        </w:rPr>
      </w:pPr>
      <w:r>
        <w:rPr>
          <w:rFonts w:cs="David"/>
          <w:b w:val="0"/>
          <w:bCs w:val="0"/>
          <w:sz w:val="26"/>
          <w:szCs w:val="26"/>
          <w:u w:val="none"/>
          <w:rtl/>
        </w:rPr>
        <w:t>הוגשה ליו"ר הכנסת והסגנים</w:t>
      </w:r>
    </w:p>
    <w:p w:rsidR="00000000" w:rsidRDefault="00DE03BD">
      <w:pPr>
        <w:pStyle w:val="a3"/>
        <w:jc w:val="left"/>
        <w:rPr>
          <w:rFonts w:cs="David"/>
          <w:b w:val="0"/>
          <w:bCs w:val="0"/>
          <w:sz w:val="26"/>
          <w:szCs w:val="26"/>
          <w:u w:val="none"/>
          <w:rtl/>
        </w:rPr>
      </w:pPr>
      <w:r>
        <w:rPr>
          <w:rFonts w:cs="David"/>
          <w:b w:val="0"/>
          <w:bCs w:val="0"/>
          <w:sz w:val="26"/>
          <w:szCs w:val="26"/>
          <w:u w:val="none"/>
          <w:rtl/>
        </w:rPr>
        <w:t>והונחה על שולחן הכנסת ביום</w:t>
      </w:r>
    </w:p>
    <w:p w:rsidR="00000000" w:rsidRDefault="00DE03BD">
      <w:pPr>
        <w:pStyle w:val="a3"/>
        <w:jc w:val="left"/>
        <w:rPr>
          <w:rFonts w:cs="David"/>
          <w:b w:val="0"/>
          <w:bCs w:val="0"/>
          <w:sz w:val="26"/>
          <w:szCs w:val="26"/>
          <w:u w:val="none"/>
          <w:rtl/>
        </w:rPr>
      </w:pPr>
      <w:r>
        <w:rPr>
          <w:rFonts w:cs="David"/>
          <w:b w:val="0"/>
          <w:bCs w:val="0"/>
          <w:sz w:val="26"/>
          <w:szCs w:val="26"/>
          <w:u w:val="none"/>
          <w:rtl/>
        </w:rPr>
        <w:t>ו' בכסלו התשס"ז – 27.11.06</w:t>
      </w:r>
    </w:p>
    <w:p w:rsidR="00000000" w:rsidRDefault="00DE03BD">
      <w:pPr>
        <w:pStyle w:val="a3"/>
        <w:jc w:val="left"/>
        <w:rPr>
          <w:rFonts w:cs="David"/>
          <w:b w:val="0"/>
          <w:bCs w:val="0"/>
          <w:sz w:val="26"/>
          <w:szCs w:val="26"/>
          <w:u w:val="none"/>
        </w:rPr>
      </w:pP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DE03BD">
      <w:r>
        <w:separator/>
      </w:r>
    </w:p>
  </w:endnote>
  <w:endnote w:type="continuationSeparator" w:id="0">
    <w:p w:rsidR="00000000" w:rsidRDefault="00DE03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0000000000000000000"/>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DE03BD">
      <w:r>
        <w:separator/>
      </w:r>
    </w:p>
  </w:footnote>
  <w:footnote w:type="continuationSeparator" w:id="0">
    <w:p w:rsidR="00000000" w:rsidRDefault="00DE03B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E03BD">
    <w:pPr>
      <w:pStyle w:val="a5"/>
      <w:framePr w:wrap="auto" w:vAnchor="text" w:hAnchor="margin" w:xAlign="center" w:y="1"/>
      <w:rPr>
        <w:rStyle w:val="a7"/>
        <w:rtl/>
      </w:rPr>
    </w:pPr>
    <w:r>
      <w:rPr>
        <w:rStyle w:val="a7"/>
      </w:rPr>
      <w:fldChar w:fldCharType="begin"/>
    </w:r>
    <w:r>
      <w:rPr>
        <w:rStyle w:val="a7"/>
      </w:rPr>
      <w:instrText xml:space="preserve">PAGE  </w:instrText>
    </w:r>
    <w:r>
      <w:rPr>
        <w:rStyle w:val="a7"/>
      </w:rPr>
      <w:fldChar w:fldCharType="separate"/>
    </w:r>
    <w:r>
      <w:rPr>
        <w:rStyle w:val="a7"/>
        <w:noProof/>
        <w:rtl/>
      </w:rPr>
      <w:t>2</w:t>
    </w:r>
    <w:r>
      <w:rPr>
        <w:rStyle w:val="a7"/>
      </w:rPr>
      <w:fldChar w:fldCharType="end"/>
    </w:r>
  </w:p>
  <w:p w:rsidR="00000000" w:rsidRDefault="00DE03BD">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46654ùìîä áøæðéõ - çå÷ æëåéåú äçåìä.doc"/>
    <w:docVar w:name="StartMode" w:val="2"/>
  </w:docVars>
  <w:rsids>
    <w:rsidRoot w:val="00DE03BD"/>
    <w:rsid w:val="00DE03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rFonts w:eastAsia="Times New Roman"/>
      <w:b/>
      <w:bCs/>
      <w:sz w:val="28"/>
      <w:szCs w:val="28"/>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rFonts w:eastAsia="Times New Roman"/>
      <w:b/>
      <w:bCs/>
      <w:sz w:val="28"/>
      <w:szCs w:val="28"/>
      <w:u w:val="single"/>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404</Words>
  <Characters>2023</Characters>
  <Application>Microsoft Office Word</Application>
  <DocSecurity>0</DocSecurity>
  <Lines>16</Lines>
  <Paragraphs>4</Paragraphs>
  <ScaleCrop>false</ScaleCrop>
  <Company>knesset</Company>
  <LinksUpToDate>false</LinksUpToDate>
  <CharactersWithSpaces>2423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זכויות החולה (תיקון - איסור הפליה מחמת גיל והסכמה מדעת לטיפול רפואי), התשס"ז-2006</dc:title>
  <dc:subject/>
  <dc:creator>ozer_breznitz1</dc:creator>
  <cp:keywords/>
  <dc:description/>
  <cp:lastModifiedBy>שמואל כוכב</cp:lastModifiedBy>
  <cp:revision>2</cp:revision>
  <dcterms:created xsi:type="dcterms:W3CDTF">2015-02-03T17:08:00Z</dcterms:created>
  <dcterms:modified xsi:type="dcterms:W3CDTF">2015-02-03T17:08:00Z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129</vt:i4>
  </property>
  <property fmtid="{D5CDD505-2E9C-101B-9397-08002B2CF9AE}" pid="3" name="Nose">
    <vt:lpwstr>':הלשכה המשפטית:חקיקה - נוסח:1.טיוטה לטרומית'_x000d__x000d_</vt:lpwstr>
  </property>
  <property fmtid="{D5CDD505-2E9C-101B-9397-08002B2CF9AE}" pid="4" name="Tizkoret">
    <vt:lpwstr/>
  </property>
  <property fmtid="{D5CDD505-2E9C-101B-9397-08002B2CF9AE}" pid="5" name="YozemHatzaa_ChakList">
    <vt:lpwstr>שלמה ברזניץ</vt:lpwstr>
  </property>
  <property fmtid="{D5CDD505-2E9C-101B-9397-08002B2CF9AE}" pid="6" name="סימוכין">
    <vt:i4>4583105</vt:i4>
  </property>
  <property fmtid="{D5CDD505-2E9C-101B-9397-08002B2CF9AE}" pid="7" name="תאריך המסמך">
    <vt:filetime>2005-03-03T22:00:00Z</vt:filetime>
  </property>
  <property fmtid="{D5CDD505-2E9C-101B-9397-08002B2CF9AE}" pid="8" name="CodeProfile">
    <vt:lpwstr>85</vt:lpwstr>
  </property>
  <property fmtid="{D5CDD505-2E9C-101B-9397-08002B2CF9AE}" pid="9" name="AutoNumber">
    <vt:lpwstr>05726406</vt:lpwstr>
  </property>
  <property fmtid="{D5CDD505-2E9C-101B-9397-08002B2CF9AE}" pid="10" name="מספר הצעת חוק למיון">
    <vt:lpwstr>1765</vt:lpwstr>
  </property>
  <property fmtid="{D5CDD505-2E9C-101B-9397-08002B2CF9AE}" pid="11" name="SDDocDate">
    <vt:lpwstr>2006-11-26T00:00:00Z</vt:lpwstr>
  </property>
  <property fmtid="{D5CDD505-2E9C-101B-9397-08002B2CF9AE}" pid="12" name="SDHebDate">
    <vt:lpwstr>ה' בכסלו, התשס"ז</vt:lpwstr>
  </property>
  <property fmtid="{D5CDD505-2E9C-101B-9397-08002B2CF9AE}" pid="13" name="SDCategories">
    <vt:lpwstr>:דף הבית:נושאים:חקיקה:נוסח לדיון מוקדם;#</vt:lpwstr>
  </property>
  <property fmtid="{D5CDD505-2E9C-101B-9397-08002B2CF9AE}" pid="14" name="תאריך הנחה">
    <vt:lpwstr/>
  </property>
  <property fmtid="{D5CDD505-2E9C-101B-9397-08002B2CF9AE}" pid="15" name="Vaada">
    <vt:lpwstr/>
  </property>
  <property fmtid="{D5CDD505-2E9C-101B-9397-08002B2CF9AE}" pid="16" name="HebrewDate">
    <vt:lpwstr/>
  </property>
  <property fmtid="{D5CDD505-2E9C-101B-9397-08002B2CF9AE}" pid="17" name="SDAuthor">
    <vt:lpwstr>עדי טייכר</vt:lpwstr>
  </property>
  <property fmtid="{D5CDD505-2E9C-101B-9397-08002B2CF9AE}" pid="18" name="MechaberMismach">
    <vt:lpwstr/>
  </property>
  <property fmtid="{D5CDD505-2E9C-101B-9397-08002B2CF9AE}" pid="19" name="MisHatzaatChok">
    <vt:lpwstr>פ/1765/17</vt:lpwstr>
  </property>
  <property fmtid="{D5CDD505-2E9C-101B-9397-08002B2CF9AE}" pid="20" name="SDRemark">
    <vt:lpwstr/>
  </property>
  <property fmtid="{D5CDD505-2E9C-101B-9397-08002B2CF9AE}" pid="21" name="SDOfflineTo">
    <vt:lpwstr/>
  </property>
  <property fmtid="{D5CDD505-2E9C-101B-9397-08002B2CF9AE}" pid="22" name="SDDistList">
    <vt:lpwstr/>
  </property>
  <property fmtid="{D5CDD505-2E9C-101B-9397-08002B2CF9AE}" pid="23" name="SDDistDate">
    <vt:lpwstr/>
  </property>
  <property fmtid="{D5CDD505-2E9C-101B-9397-08002B2CF9AE}" pid="24" name="SDOriginalID">
    <vt:lpwstr/>
  </property>
  <property fmtid="{D5CDD505-2E9C-101B-9397-08002B2CF9AE}" pid="25" name="SDSenderName">
    <vt:lpwstr/>
  </property>
  <property fmtid="{D5CDD505-2E9C-101B-9397-08002B2CF9AE}" pid="26" name="SDToList">
    <vt:lpwstr/>
  </property>
  <property fmtid="{D5CDD505-2E9C-101B-9397-08002B2CF9AE}" pid="27" name="SDCCList">
    <vt:lpwstr/>
  </property>
  <property fmtid="{D5CDD505-2E9C-101B-9397-08002B2CF9AE}" pid="28" name="STHasReminders">
    <vt:lpwstr>0</vt:lpwstr>
  </property>
  <property fmtid="{D5CDD505-2E9C-101B-9397-08002B2CF9AE}" pid="29" name="SDLink">
    <vt:lpwstr>, </vt:lpwstr>
  </property>
  <property fmtid="{D5CDD505-2E9C-101B-9397-08002B2CF9AE}" pid="30" name="Num_Gim1">
    <vt:lpwstr/>
  </property>
  <property fmtid="{D5CDD505-2E9C-101B-9397-08002B2CF9AE}" pid="31" name="NoseA">
    <vt:lpwstr/>
  </property>
  <property fmtid="{D5CDD505-2E9C-101B-9397-08002B2CF9AE}" pid="32" name="NoseB">
    <vt:lpwstr/>
  </property>
  <property fmtid="{D5CDD505-2E9C-101B-9397-08002B2CF9AE}" pid="33" name="knesset_number">
    <vt:lpwstr/>
  </property>
  <property fmtid="{D5CDD505-2E9C-101B-9397-08002B2CF9AE}" pid="34" name="ValidFrom">
    <vt:lpwstr/>
  </property>
  <property fmtid="{D5CDD505-2E9C-101B-9397-08002B2CF9AE}" pid="35" name="ValidUntill">
    <vt:lpwstr/>
  </property>
  <property fmtid="{D5CDD505-2E9C-101B-9397-08002B2CF9AE}" pid="36" name="To1">
    <vt:lpwstr/>
  </property>
  <property fmtid="{D5CDD505-2E9C-101B-9397-08002B2CF9AE}" pid="37" name="From">
    <vt:lpwstr/>
  </property>
  <property fmtid="{D5CDD505-2E9C-101B-9397-08002B2CF9AE}" pid="38" name="body">
    <vt:lpwstr/>
  </property>
</Properties>
</file>