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C10F1">
      <w:pPr>
        <w:pStyle w:val="a3"/>
        <w:spacing w:line="360" w:lineRule="auto"/>
        <w:rPr>
          <w:rFonts w:cs="David"/>
          <w:b w:val="0"/>
          <w:bCs w:val="0"/>
          <w:sz w:val="26"/>
          <w:szCs w:val="26"/>
          <w:u w:val="none"/>
          <w:rtl/>
        </w:rPr>
      </w:pPr>
      <w:bookmarkStart w:id="0" w:name="_GoBack"/>
      <w:bookmarkEnd w:id="0"/>
      <w:r>
        <w:rPr>
          <w:rFonts w:cs="David"/>
          <w:u w:val="none"/>
          <w:rtl/>
        </w:rPr>
        <w:t>הכנסת השבע-עשרה</w:t>
      </w:r>
    </w:p>
    <w:p w:rsidR="00000000" w:rsidRDefault="009C10F1">
      <w:pPr>
        <w:spacing w:line="360" w:lineRule="auto"/>
        <w:rPr>
          <w:rFonts w:cs="David"/>
          <w:sz w:val="26"/>
          <w:szCs w:val="26"/>
          <w:rtl/>
        </w:rPr>
      </w:pPr>
    </w:p>
    <w:tbl>
      <w:tblPr>
        <w:bidiVisual/>
        <w:tblW w:w="0" w:type="auto"/>
        <w:tblInd w:w="3512" w:type="dxa"/>
        <w:tblBorders>
          <w:bottom w:val="single" w:sz="4" w:space="0" w:color="auto"/>
        </w:tblBorders>
        <w:tblLook w:val="0000" w:firstRow="0" w:lastRow="0" w:firstColumn="0" w:lastColumn="0" w:noHBand="0" w:noVBand="0"/>
      </w:tblPr>
      <w:tblGrid>
        <w:gridCol w:w="3015"/>
        <w:gridCol w:w="1995"/>
      </w:tblGrid>
      <w:tr w:rsidR="00000000">
        <w:tblPrEx>
          <w:tblCellMar>
            <w:top w:w="0" w:type="dxa"/>
            <w:bottom w:w="0" w:type="dxa"/>
          </w:tblCellMar>
        </w:tblPrEx>
        <w:trPr>
          <w:trHeight w:val="375"/>
        </w:trPr>
        <w:tc>
          <w:tcPr>
            <w:tcW w:w="3015" w:type="dxa"/>
            <w:tcBorders>
              <w:top w:val="nil"/>
              <w:left w:val="nil"/>
              <w:bottom w:val="nil"/>
              <w:right w:val="nil"/>
            </w:tcBorders>
          </w:tcPr>
          <w:p w:rsidR="00000000" w:rsidRDefault="009C10F1">
            <w:pPr>
              <w:spacing w:after="120"/>
              <w:rPr>
                <w:rFonts w:cs="David"/>
                <w:sz w:val="26"/>
                <w:szCs w:val="26"/>
                <w:rtl/>
              </w:rPr>
            </w:pPr>
            <w:r>
              <w:rPr>
                <w:rFonts w:cs="David"/>
                <w:sz w:val="26"/>
                <w:szCs w:val="26"/>
                <w:rtl/>
              </w:rPr>
              <w:t>הצעת</w:t>
            </w:r>
            <w:r>
              <w:rPr>
                <w:rFonts w:cs="David"/>
                <w:sz w:val="26"/>
                <w:szCs w:val="26"/>
              </w:rPr>
              <w:t xml:space="preserve"> </w:t>
            </w:r>
            <w:r>
              <w:rPr>
                <w:rFonts w:cs="David"/>
                <w:sz w:val="26"/>
                <w:szCs w:val="26"/>
                <w:rtl/>
              </w:rPr>
              <w:t>חוק של חברי הכנסת</w:t>
            </w:r>
          </w:p>
        </w:tc>
        <w:tc>
          <w:tcPr>
            <w:tcW w:w="1995" w:type="dxa"/>
            <w:tcBorders>
              <w:top w:val="nil"/>
              <w:left w:val="nil"/>
              <w:bottom w:val="nil"/>
              <w:right w:val="nil"/>
            </w:tcBorders>
          </w:tcPr>
          <w:p w:rsidR="00000000" w:rsidRDefault="009C10F1">
            <w:pPr>
              <w:spacing w:after="120"/>
              <w:rPr>
                <w:rFonts w:cs="David"/>
                <w:b/>
                <w:bCs/>
                <w:sz w:val="26"/>
                <w:szCs w:val="26"/>
                <w:rtl/>
              </w:rPr>
            </w:pPr>
            <w:r>
              <w:rPr>
                <w:rFonts w:cs="David"/>
                <w:b/>
                <w:bCs/>
                <w:sz w:val="26"/>
                <w:szCs w:val="26"/>
                <w:rtl/>
              </w:rPr>
              <w:t>יורי שטרן</w:t>
            </w:r>
          </w:p>
        </w:tc>
      </w:tr>
      <w:tr w:rsidR="00000000">
        <w:tblPrEx>
          <w:tblCellMar>
            <w:top w:w="0" w:type="dxa"/>
            <w:bottom w:w="0" w:type="dxa"/>
          </w:tblCellMar>
        </w:tblPrEx>
        <w:trPr>
          <w:trHeight w:val="375"/>
        </w:trPr>
        <w:tc>
          <w:tcPr>
            <w:tcW w:w="3015" w:type="dxa"/>
            <w:tcBorders>
              <w:top w:val="nil"/>
              <w:left w:val="nil"/>
              <w:bottom w:val="nil"/>
              <w:right w:val="nil"/>
            </w:tcBorders>
          </w:tcPr>
          <w:p w:rsidR="00000000" w:rsidRDefault="009C10F1">
            <w:pPr>
              <w:spacing w:after="120"/>
              <w:rPr>
                <w:rFonts w:cs="David"/>
                <w:sz w:val="26"/>
                <w:szCs w:val="26"/>
                <w:highlight w:val="yellow"/>
                <w:rtl/>
              </w:rPr>
            </w:pPr>
          </w:p>
        </w:tc>
        <w:tc>
          <w:tcPr>
            <w:tcW w:w="1995" w:type="dxa"/>
            <w:tcBorders>
              <w:top w:val="nil"/>
              <w:left w:val="nil"/>
              <w:bottom w:val="nil"/>
              <w:right w:val="nil"/>
            </w:tcBorders>
          </w:tcPr>
          <w:p w:rsidR="00000000" w:rsidRDefault="009C10F1">
            <w:pPr>
              <w:spacing w:after="120"/>
              <w:rPr>
                <w:rFonts w:cs="David"/>
                <w:sz w:val="26"/>
                <w:szCs w:val="26"/>
                <w:rtl/>
              </w:rPr>
            </w:pPr>
            <w:r>
              <w:rPr>
                <w:rFonts w:cs="David"/>
                <w:sz w:val="26"/>
                <w:szCs w:val="26"/>
                <w:rtl/>
              </w:rPr>
              <w:t xml:space="preserve">יצחק אהרונוביץ </w:t>
            </w:r>
          </w:p>
        </w:tc>
      </w:tr>
      <w:tr w:rsidR="00000000">
        <w:tblPrEx>
          <w:tblCellMar>
            <w:top w:w="0" w:type="dxa"/>
            <w:bottom w:w="0" w:type="dxa"/>
          </w:tblCellMar>
        </w:tblPrEx>
        <w:trPr>
          <w:trHeight w:val="375"/>
        </w:trPr>
        <w:tc>
          <w:tcPr>
            <w:tcW w:w="3015" w:type="dxa"/>
            <w:tcBorders>
              <w:top w:val="nil"/>
              <w:left w:val="nil"/>
              <w:bottom w:val="nil"/>
              <w:right w:val="nil"/>
            </w:tcBorders>
          </w:tcPr>
          <w:p w:rsidR="00000000" w:rsidRDefault="009C10F1">
            <w:pPr>
              <w:spacing w:after="120"/>
              <w:rPr>
                <w:rFonts w:cs="David"/>
                <w:sz w:val="26"/>
                <w:szCs w:val="26"/>
                <w:highlight w:val="yellow"/>
                <w:rtl/>
              </w:rPr>
            </w:pPr>
          </w:p>
        </w:tc>
        <w:tc>
          <w:tcPr>
            <w:tcW w:w="1995" w:type="dxa"/>
            <w:tcBorders>
              <w:top w:val="nil"/>
              <w:left w:val="nil"/>
              <w:bottom w:val="nil"/>
              <w:right w:val="nil"/>
            </w:tcBorders>
          </w:tcPr>
          <w:p w:rsidR="00000000" w:rsidRDefault="009C10F1">
            <w:pPr>
              <w:spacing w:after="120"/>
              <w:rPr>
                <w:rFonts w:cs="David"/>
                <w:sz w:val="26"/>
                <w:szCs w:val="26"/>
                <w:rtl/>
              </w:rPr>
            </w:pPr>
            <w:r>
              <w:rPr>
                <w:rFonts w:cs="David"/>
                <w:sz w:val="26"/>
                <w:szCs w:val="26"/>
                <w:rtl/>
              </w:rPr>
              <w:t>אלכס מילר</w:t>
            </w:r>
          </w:p>
        </w:tc>
      </w:tr>
      <w:tr w:rsidR="00000000">
        <w:tblPrEx>
          <w:tblCellMar>
            <w:top w:w="0" w:type="dxa"/>
            <w:bottom w:w="0" w:type="dxa"/>
          </w:tblCellMar>
        </w:tblPrEx>
        <w:trPr>
          <w:trHeight w:val="375"/>
        </w:trPr>
        <w:tc>
          <w:tcPr>
            <w:tcW w:w="3015" w:type="dxa"/>
            <w:tcBorders>
              <w:top w:val="nil"/>
              <w:left w:val="nil"/>
              <w:bottom w:val="nil"/>
              <w:right w:val="nil"/>
            </w:tcBorders>
          </w:tcPr>
          <w:p w:rsidR="00000000" w:rsidRDefault="009C10F1">
            <w:pPr>
              <w:spacing w:after="120"/>
              <w:rPr>
                <w:rFonts w:cs="David"/>
                <w:sz w:val="26"/>
                <w:szCs w:val="26"/>
                <w:highlight w:val="yellow"/>
                <w:rtl/>
              </w:rPr>
            </w:pPr>
          </w:p>
        </w:tc>
        <w:tc>
          <w:tcPr>
            <w:tcW w:w="1995" w:type="dxa"/>
            <w:tcBorders>
              <w:top w:val="nil"/>
              <w:left w:val="nil"/>
              <w:bottom w:val="nil"/>
              <w:right w:val="nil"/>
            </w:tcBorders>
          </w:tcPr>
          <w:p w:rsidR="00000000" w:rsidRDefault="009C10F1">
            <w:pPr>
              <w:spacing w:after="120"/>
              <w:rPr>
                <w:rFonts w:cs="David"/>
                <w:sz w:val="26"/>
                <w:szCs w:val="26"/>
                <w:rtl/>
              </w:rPr>
            </w:pPr>
            <w:r>
              <w:rPr>
                <w:rFonts w:cs="David"/>
                <w:sz w:val="26"/>
                <w:szCs w:val="26"/>
                <w:rtl/>
              </w:rPr>
              <w:t xml:space="preserve">סטס מיסז'ניקוב </w:t>
            </w:r>
          </w:p>
        </w:tc>
      </w:tr>
      <w:tr w:rsidR="00000000">
        <w:tblPrEx>
          <w:tblCellMar>
            <w:top w:w="0" w:type="dxa"/>
            <w:bottom w:w="0" w:type="dxa"/>
          </w:tblCellMar>
        </w:tblPrEx>
        <w:trPr>
          <w:trHeight w:val="375"/>
        </w:trPr>
        <w:tc>
          <w:tcPr>
            <w:tcW w:w="3015" w:type="dxa"/>
            <w:tcBorders>
              <w:top w:val="nil"/>
              <w:left w:val="nil"/>
              <w:bottom w:val="single" w:sz="4" w:space="0" w:color="auto"/>
              <w:right w:val="nil"/>
            </w:tcBorders>
          </w:tcPr>
          <w:p w:rsidR="00000000" w:rsidRDefault="009C10F1">
            <w:pPr>
              <w:spacing w:after="120"/>
              <w:rPr>
                <w:rFonts w:cs="David"/>
                <w:sz w:val="26"/>
                <w:szCs w:val="26"/>
                <w:highlight w:val="yellow"/>
                <w:rtl/>
              </w:rPr>
            </w:pPr>
          </w:p>
        </w:tc>
        <w:tc>
          <w:tcPr>
            <w:tcW w:w="1995" w:type="dxa"/>
            <w:tcBorders>
              <w:top w:val="nil"/>
              <w:left w:val="nil"/>
              <w:bottom w:val="single" w:sz="4" w:space="0" w:color="auto"/>
              <w:right w:val="nil"/>
            </w:tcBorders>
          </w:tcPr>
          <w:p w:rsidR="00000000" w:rsidRDefault="009C10F1">
            <w:pPr>
              <w:spacing w:after="120"/>
              <w:rPr>
                <w:rFonts w:cs="David"/>
                <w:sz w:val="26"/>
                <w:szCs w:val="26"/>
                <w:rtl/>
              </w:rPr>
            </w:pPr>
            <w:r>
              <w:rPr>
                <w:rFonts w:cs="David"/>
                <w:sz w:val="26"/>
                <w:szCs w:val="26"/>
                <w:rtl/>
              </w:rPr>
              <w:t xml:space="preserve">יוסף שגל </w:t>
            </w:r>
          </w:p>
        </w:tc>
      </w:tr>
    </w:tbl>
    <w:p w:rsidR="00000000" w:rsidRDefault="009C10F1">
      <w:pPr>
        <w:spacing w:line="360" w:lineRule="auto"/>
        <w:jc w:val="center"/>
        <w:rPr>
          <w:rFonts w:cs="David"/>
          <w:b/>
          <w:bCs/>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b/>
          <w:bCs/>
          <w:rtl/>
        </w:rPr>
        <w:t xml:space="preserve"> פ/1490/17</w:t>
      </w:r>
    </w:p>
    <w:p w:rsidR="00000000" w:rsidRDefault="009C10F1">
      <w:pPr>
        <w:spacing w:line="360" w:lineRule="auto"/>
        <w:rPr>
          <w:rFonts w:cs="David"/>
          <w:sz w:val="26"/>
          <w:szCs w:val="26"/>
          <w:rtl/>
        </w:rPr>
      </w:pPr>
    </w:p>
    <w:p w:rsidR="00000000" w:rsidRDefault="009C10F1">
      <w:pPr>
        <w:jc w:val="center"/>
        <w:rPr>
          <w:rFonts w:cs="David"/>
          <w:b/>
          <w:bCs/>
          <w:sz w:val="28"/>
          <w:szCs w:val="28"/>
          <w:rtl/>
        </w:rPr>
      </w:pPr>
      <w:r>
        <w:rPr>
          <w:rFonts w:cs="David"/>
          <w:b/>
          <w:bCs/>
          <w:sz w:val="28"/>
          <w:szCs w:val="28"/>
          <w:rtl/>
        </w:rPr>
        <w:t>הצעת חוק הביטוח הלאומי (תיקו</w:t>
      </w:r>
      <w:r>
        <w:rPr>
          <w:rFonts w:cs="David"/>
          <w:b/>
          <w:bCs/>
          <w:sz w:val="28"/>
          <w:szCs w:val="28"/>
          <w:rtl/>
        </w:rPr>
        <w:t xml:space="preserve">ן - קבלת קצבת זקנה וקצבת נכות בעד פרק </w:t>
      </w:r>
    </w:p>
    <w:p w:rsidR="00000000" w:rsidRDefault="009C10F1">
      <w:pPr>
        <w:jc w:val="center"/>
        <w:rPr>
          <w:rFonts w:cs="David"/>
          <w:b/>
          <w:bCs/>
          <w:sz w:val="28"/>
          <w:szCs w:val="28"/>
          <w:rtl/>
        </w:rPr>
      </w:pPr>
      <w:r>
        <w:rPr>
          <w:rFonts w:cs="David"/>
          <w:b/>
          <w:bCs/>
          <w:sz w:val="28"/>
          <w:szCs w:val="28"/>
          <w:rtl/>
        </w:rPr>
        <w:t>זמן אחד), התשס"ו-2006</w:t>
      </w:r>
    </w:p>
    <w:p w:rsidR="00000000" w:rsidRDefault="009C10F1">
      <w:pPr>
        <w:spacing w:line="360" w:lineRule="auto"/>
        <w:jc w:val="center"/>
        <w:rPr>
          <w:rFonts w:cs="David"/>
          <w:b/>
          <w:bCs/>
          <w:sz w:val="28"/>
          <w:szCs w:val="28"/>
          <w:rtl/>
        </w:rPr>
      </w:pPr>
    </w:p>
    <w:tbl>
      <w:tblPr>
        <w:bidiVisual/>
        <w:tblW w:w="0" w:type="auto"/>
        <w:tblCellMar>
          <w:left w:w="57" w:type="dxa"/>
          <w:right w:w="57" w:type="dxa"/>
        </w:tblCellMar>
        <w:tblLook w:val="0000" w:firstRow="0" w:lastRow="0" w:firstColumn="0" w:lastColumn="0" w:noHBand="0" w:noVBand="0"/>
      </w:tblPr>
      <w:tblGrid>
        <w:gridCol w:w="1163"/>
        <w:gridCol w:w="549"/>
        <w:gridCol w:w="711"/>
        <w:gridCol w:w="5997"/>
      </w:tblGrid>
      <w:tr w:rsidR="00000000">
        <w:tblPrEx>
          <w:tblCellMar>
            <w:top w:w="0" w:type="dxa"/>
            <w:bottom w:w="0" w:type="dxa"/>
          </w:tblCellMar>
        </w:tblPrEx>
        <w:trPr>
          <w:cantSplit/>
        </w:trPr>
        <w:tc>
          <w:tcPr>
            <w:tcW w:w="1163" w:type="dxa"/>
            <w:tcBorders>
              <w:top w:val="nil"/>
              <w:left w:val="nil"/>
              <w:bottom w:val="nil"/>
              <w:right w:val="nil"/>
            </w:tcBorders>
          </w:tcPr>
          <w:p w:rsidR="00000000" w:rsidRDefault="009C10F1">
            <w:pPr>
              <w:spacing w:after="120"/>
              <w:rPr>
                <w:rFonts w:cs="David"/>
                <w:sz w:val="26"/>
                <w:szCs w:val="26"/>
              </w:rPr>
            </w:pPr>
            <w:r>
              <w:rPr>
                <w:rFonts w:cs="David"/>
                <w:sz w:val="26"/>
                <w:szCs w:val="26"/>
                <w:rtl/>
              </w:rPr>
              <w:t>ביטול סעיף 251</w:t>
            </w:r>
          </w:p>
        </w:tc>
        <w:tc>
          <w:tcPr>
            <w:tcW w:w="549" w:type="dxa"/>
            <w:tcBorders>
              <w:top w:val="nil"/>
              <w:left w:val="nil"/>
              <w:bottom w:val="nil"/>
              <w:right w:val="nil"/>
            </w:tcBorders>
          </w:tcPr>
          <w:p w:rsidR="00000000" w:rsidRDefault="009C10F1">
            <w:pPr>
              <w:spacing w:after="120" w:line="360" w:lineRule="auto"/>
              <w:rPr>
                <w:rFonts w:cs="David"/>
                <w:sz w:val="26"/>
                <w:szCs w:val="26"/>
              </w:rPr>
            </w:pPr>
            <w:r>
              <w:rPr>
                <w:rFonts w:cs="David"/>
                <w:sz w:val="26"/>
                <w:szCs w:val="26"/>
                <w:rtl/>
              </w:rPr>
              <w:t>1.</w:t>
            </w:r>
          </w:p>
        </w:tc>
        <w:tc>
          <w:tcPr>
            <w:tcW w:w="6708" w:type="dxa"/>
            <w:gridSpan w:val="2"/>
            <w:tcBorders>
              <w:top w:val="nil"/>
              <w:left w:val="nil"/>
              <w:bottom w:val="nil"/>
              <w:right w:val="nil"/>
            </w:tcBorders>
          </w:tcPr>
          <w:p w:rsidR="00000000" w:rsidRDefault="009C10F1">
            <w:pPr>
              <w:spacing w:after="120" w:line="360" w:lineRule="auto"/>
              <w:jc w:val="both"/>
              <w:rPr>
                <w:rFonts w:cs="David"/>
                <w:sz w:val="26"/>
                <w:szCs w:val="26"/>
              </w:rPr>
            </w:pPr>
            <w:r>
              <w:rPr>
                <w:rFonts w:cs="David"/>
                <w:sz w:val="26"/>
                <w:szCs w:val="26"/>
                <w:rtl/>
              </w:rPr>
              <w:t>בחוק הביטוח הלאומי [נוסח משולב], התשנ"ה–1995</w:t>
            </w:r>
            <w:r>
              <w:rPr>
                <w:rStyle w:val="aa"/>
                <w:rFonts w:cs="David"/>
                <w:sz w:val="26"/>
                <w:szCs w:val="26"/>
                <w:rtl/>
              </w:rPr>
              <w:footnoteReference w:id="1"/>
            </w:r>
            <w:r>
              <w:rPr>
                <w:rFonts w:cs="David"/>
                <w:sz w:val="26"/>
                <w:szCs w:val="26"/>
                <w:rtl/>
              </w:rPr>
              <w:t xml:space="preserve"> (להלן - החוק העיקרי),  סעיף 251 – בטל.</w:t>
            </w:r>
          </w:p>
        </w:tc>
      </w:tr>
      <w:tr w:rsidR="00000000">
        <w:tblPrEx>
          <w:tblCellMar>
            <w:top w:w="0" w:type="dxa"/>
            <w:bottom w:w="0" w:type="dxa"/>
          </w:tblCellMar>
        </w:tblPrEx>
        <w:trPr>
          <w:cantSplit/>
        </w:trPr>
        <w:tc>
          <w:tcPr>
            <w:tcW w:w="1163" w:type="dxa"/>
            <w:tcBorders>
              <w:top w:val="nil"/>
              <w:left w:val="nil"/>
              <w:bottom w:val="nil"/>
              <w:right w:val="nil"/>
            </w:tcBorders>
          </w:tcPr>
          <w:p w:rsidR="00000000" w:rsidRDefault="009C10F1">
            <w:pPr>
              <w:spacing w:after="120"/>
              <w:rPr>
                <w:rFonts w:cs="David"/>
                <w:sz w:val="26"/>
                <w:szCs w:val="26"/>
              </w:rPr>
            </w:pPr>
            <w:r>
              <w:rPr>
                <w:rFonts w:cs="David"/>
                <w:sz w:val="26"/>
                <w:szCs w:val="26"/>
                <w:rtl/>
              </w:rPr>
              <w:t>תיקון סעיף 320</w:t>
            </w:r>
          </w:p>
        </w:tc>
        <w:tc>
          <w:tcPr>
            <w:tcW w:w="549" w:type="dxa"/>
            <w:tcBorders>
              <w:top w:val="nil"/>
              <w:left w:val="nil"/>
              <w:bottom w:val="nil"/>
              <w:right w:val="nil"/>
            </w:tcBorders>
          </w:tcPr>
          <w:p w:rsidR="00000000" w:rsidRDefault="009C10F1">
            <w:pPr>
              <w:spacing w:after="120" w:line="360" w:lineRule="auto"/>
              <w:rPr>
                <w:rFonts w:cs="David"/>
                <w:sz w:val="26"/>
                <w:szCs w:val="26"/>
              </w:rPr>
            </w:pPr>
            <w:r>
              <w:rPr>
                <w:rFonts w:cs="David"/>
                <w:sz w:val="26"/>
                <w:szCs w:val="26"/>
                <w:rtl/>
              </w:rPr>
              <w:t>2.</w:t>
            </w:r>
          </w:p>
        </w:tc>
        <w:tc>
          <w:tcPr>
            <w:tcW w:w="6708" w:type="dxa"/>
            <w:gridSpan w:val="2"/>
            <w:tcBorders>
              <w:top w:val="nil"/>
              <w:left w:val="nil"/>
              <w:bottom w:val="nil"/>
              <w:right w:val="nil"/>
            </w:tcBorders>
          </w:tcPr>
          <w:p w:rsidR="00000000" w:rsidRDefault="009C10F1">
            <w:pPr>
              <w:spacing w:after="120" w:line="360" w:lineRule="auto"/>
              <w:jc w:val="both"/>
              <w:rPr>
                <w:rFonts w:cs="David"/>
                <w:sz w:val="26"/>
                <w:szCs w:val="26"/>
              </w:rPr>
            </w:pPr>
            <w:r>
              <w:rPr>
                <w:rFonts w:cs="David"/>
                <w:sz w:val="26"/>
                <w:szCs w:val="26"/>
                <w:rtl/>
              </w:rPr>
              <w:t>בסעיף 320 לחוק העיקרי, אחרי סעיף קטן (ה) יבוא:</w:t>
            </w:r>
          </w:p>
        </w:tc>
      </w:tr>
      <w:tr w:rsidR="00000000">
        <w:tblPrEx>
          <w:tblCellMar>
            <w:top w:w="0" w:type="dxa"/>
            <w:bottom w:w="0" w:type="dxa"/>
          </w:tblCellMar>
        </w:tblPrEx>
        <w:trPr>
          <w:cantSplit/>
        </w:trPr>
        <w:tc>
          <w:tcPr>
            <w:tcW w:w="1163" w:type="dxa"/>
            <w:tcBorders>
              <w:top w:val="nil"/>
              <w:left w:val="nil"/>
              <w:bottom w:val="nil"/>
              <w:right w:val="nil"/>
            </w:tcBorders>
          </w:tcPr>
          <w:p w:rsidR="00000000" w:rsidRDefault="009C10F1">
            <w:pPr>
              <w:spacing w:after="120"/>
              <w:rPr>
                <w:rFonts w:cs="David"/>
                <w:sz w:val="26"/>
                <w:szCs w:val="26"/>
              </w:rPr>
            </w:pPr>
          </w:p>
        </w:tc>
        <w:tc>
          <w:tcPr>
            <w:tcW w:w="549" w:type="dxa"/>
            <w:tcBorders>
              <w:top w:val="nil"/>
              <w:left w:val="nil"/>
              <w:bottom w:val="nil"/>
              <w:right w:val="nil"/>
            </w:tcBorders>
          </w:tcPr>
          <w:p w:rsidR="00000000" w:rsidRDefault="009C10F1">
            <w:pPr>
              <w:spacing w:after="120" w:line="360" w:lineRule="auto"/>
              <w:rPr>
                <w:rFonts w:cs="David"/>
                <w:sz w:val="26"/>
                <w:szCs w:val="26"/>
              </w:rPr>
            </w:pPr>
          </w:p>
        </w:tc>
        <w:tc>
          <w:tcPr>
            <w:tcW w:w="711" w:type="dxa"/>
            <w:tcBorders>
              <w:top w:val="nil"/>
              <w:left w:val="nil"/>
              <w:bottom w:val="nil"/>
              <w:right w:val="nil"/>
            </w:tcBorders>
          </w:tcPr>
          <w:p w:rsidR="00000000" w:rsidRDefault="009C10F1">
            <w:pPr>
              <w:spacing w:after="120" w:line="360" w:lineRule="auto"/>
              <w:rPr>
                <w:rFonts w:cs="David"/>
                <w:sz w:val="26"/>
                <w:szCs w:val="26"/>
              </w:rPr>
            </w:pPr>
            <w:r>
              <w:rPr>
                <w:rFonts w:cs="David"/>
                <w:sz w:val="26"/>
                <w:szCs w:val="26"/>
                <w:rtl/>
              </w:rPr>
              <w:t>"(ה1)</w:t>
            </w:r>
          </w:p>
        </w:tc>
        <w:tc>
          <w:tcPr>
            <w:tcW w:w="5997" w:type="dxa"/>
            <w:tcBorders>
              <w:top w:val="nil"/>
              <w:left w:val="nil"/>
              <w:bottom w:val="nil"/>
              <w:right w:val="nil"/>
            </w:tcBorders>
          </w:tcPr>
          <w:p w:rsidR="00000000" w:rsidRDefault="009C10F1">
            <w:pPr>
              <w:spacing w:after="120" w:line="360" w:lineRule="auto"/>
              <w:jc w:val="both"/>
              <w:rPr>
                <w:rFonts w:cs="David"/>
                <w:sz w:val="26"/>
                <w:szCs w:val="26"/>
              </w:rPr>
            </w:pPr>
            <w:r>
              <w:rPr>
                <w:rFonts w:cs="David"/>
                <w:sz w:val="26"/>
                <w:szCs w:val="26"/>
                <w:rtl/>
              </w:rPr>
              <w:t>על אף האמור בסעיף (ג)(1), היה אדם זכאי לקצבת נכות ונעשה זכאי לקצבת זקנה, יקבל את שתי הקצבאות במלואן".</w:t>
            </w:r>
          </w:p>
        </w:tc>
      </w:tr>
    </w:tbl>
    <w:p w:rsidR="00000000" w:rsidRDefault="009C10F1">
      <w:pPr>
        <w:spacing w:line="360" w:lineRule="auto"/>
        <w:jc w:val="center"/>
        <w:rPr>
          <w:rFonts w:cs="David"/>
          <w:b/>
          <w:bCs/>
          <w:sz w:val="28"/>
          <w:szCs w:val="28"/>
          <w:u w:val="single"/>
          <w:rtl/>
        </w:rPr>
      </w:pPr>
      <w:r>
        <w:rPr>
          <w:rFonts w:cs="David"/>
          <w:b/>
          <w:bCs/>
          <w:sz w:val="28"/>
          <w:szCs w:val="28"/>
          <w:u w:val="single"/>
          <w:rtl/>
        </w:rPr>
        <w:t>דברי - הסבר</w:t>
      </w:r>
    </w:p>
    <w:p w:rsidR="00000000" w:rsidRDefault="009C10F1">
      <w:pPr>
        <w:jc w:val="both"/>
        <w:rPr>
          <w:rFonts w:cs="David"/>
          <w:sz w:val="26"/>
          <w:szCs w:val="26"/>
          <w:rtl/>
        </w:rPr>
      </w:pPr>
      <w:r>
        <w:rPr>
          <w:rFonts w:cs="David"/>
          <w:sz w:val="26"/>
          <w:szCs w:val="26"/>
          <w:rtl/>
        </w:rPr>
        <w:t xml:space="preserve">הצעת חוק זו נועדה לרפא אי צדק הקיים כיום, בו אדם אינו יכול לקבל, בעד פרק זמן אחד, קיצבת נכות וקיצבת זיקנה במלואן. כיום, מי שהיה זכאי </w:t>
      </w:r>
      <w:r>
        <w:rPr>
          <w:rFonts w:cs="David"/>
          <w:sz w:val="26"/>
          <w:szCs w:val="26"/>
          <w:rtl/>
        </w:rPr>
        <w:t xml:space="preserve">לקיצבת נכות והגיע לגיל זיקנה, מקבל את קיצבת הזיקנה ואם היא נופלת מקיצבת הנכות בגובהה, הוא מקבל גמלה נוספת בגובה ההפרש בין קיצבת הנכות וקיצבת הזיקנה. </w:t>
      </w:r>
    </w:p>
    <w:p w:rsidR="00000000" w:rsidRDefault="009C10F1">
      <w:pPr>
        <w:jc w:val="both"/>
        <w:rPr>
          <w:rFonts w:cs="David"/>
          <w:sz w:val="26"/>
          <w:szCs w:val="26"/>
          <w:rtl/>
        </w:rPr>
      </w:pPr>
    </w:p>
    <w:p w:rsidR="00000000" w:rsidRDefault="009C10F1">
      <w:pPr>
        <w:jc w:val="both"/>
        <w:rPr>
          <w:rFonts w:cs="David"/>
          <w:sz w:val="26"/>
          <w:szCs w:val="26"/>
          <w:rtl/>
        </w:rPr>
      </w:pPr>
      <w:r>
        <w:rPr>
          <w:rFonts w:cs="David"/>
          <w:sz w:val="26"/>
          <w:szCs w:val="26"/>
          <w:rtl/>
        </w:rPr>
        <w:t>אדם הסובל מנכות ומגיע לגיל בו הוא זכאי לקבל קצבת זקנה, קשייו הפיזיים והכלכליים עולים על אלה של אדם אחר בן</w:t>
      </w:r>
      <w:r>
        <w:rPr>
          <w:rFonts w:cs="David"/>
          <w:sz w:val="26"/>
          <w:szCs w:val="26"/>
          <w:rtl/>
        </w:rPr>
        <w:t xml:space="preserve"> גילו ועל המוסד לביטוח לאומי להבטיח כי מצבו לא יורע לעומת מי שזכאי לקצבה אחת בלבד. אדם נכה המגיע לגיל זקנה מבלי שאיבד את נכותו אין הצדקה שקיצבת הנכות תיגזל ממנו במלואה או בחלקה.</w:t>
      </w:r>
    </w:p>
    <w:p w:rsidR="00000000" w:rsidRDefault="009C10F1">
      <w:pPr>
        <w:jc w:val="both"/>
        <w:rPr>
          <w:rFonts w:cs="David"/>
          <w:sz w:val="26"/>
          <w:szCs w:val="26"/>
          <w:rtl/>
        </w:rPr>
      </w:pPr>
    </w:p>
    <w:p w:rsidR="00000000" w:rsidRDefault="009C10F1">
      <w:pPr>
        <w:jc w:val="both"/>
        <w:rPr>
          <w:rFonts w:cs="David"/>
          <w:sz w:val="26"/>
          <w:szCs w:val="26"/>
          <w:rtl/>
        </w:rPr>
      </w:pPr>
      <w:r>
        <w:rPr>
          <w:rFonts w:cs="David"/>
          <w:sz w:val="26"/>
          <w:szCs w:val="26"/>
          <w:rtl/>
        </w:rPr>
        <w:t>הצעת החוק באה לקדם את עניינם של אוכלוסיית הנכים והסיעודיים.</w:t>
      </w:r>
    </w:p>
    <w:p w:rsidR="00000000" w:rsidRDefault="009C10F1">
      <w:pPr>
        <w:jc w:val="both"/>
        <w:rPr>
          <w:rFonts w:cs="David"/>
          <w:sz w:val="26"/>
          <w:szCs w:val="26"/>
          <w:rtl/>
        </w:rPr>
      </w:pPr>
    </w:p>
    <w:p w:rsidR="00000000" w:rsidRDefault="009C10F1">
      <w:pPr>
        <w:jc w:val="both"/>
        <w:rPr>
          <w:rFonts w:cs="David"/>
          <w:sz w:val="26"/>
          <w:szCs w:val="26"/>
          <w:rtl/>
        </w:rPr>
      </w:pPr>
      <w:r>
        <w:rPr>
          <w:rFonts w:cs="David"/>
          <w:sz w:val="26"/>
          <w:szCs w:val="26"/>
          <w:rtl/>
        </w:rPr>
        <w:t>הצעות חוק זהות ה</w:t>
      </w:r>
      <w:r>
        <w:rPr>
          <w:rFonts w:cs="David"/>
          <w:sz w:val="26"/>
          <w:szCs w:val="26"/>
          <w:rtl/>
        </w:rPr>
        <w:t xml:space="preserve">ונחו על שולחן הכנסת השש-עשרה על-ידי חברת הכנסת אורית נוקד (פ/2839), ועל-ידי חבר הכנסת גילה גמליאל (פ/3331), ועל-ידי חברת הכנסת אראלה גולן וקבוצת חברי הכנסת (פ/3574), ועל-ידי חברת הכנסת גילה פינקלשטיין (פ/3943).  </w:t>
      </w:r>
    </w:p>
    <w:p w:rsidR="00000000" w:rsidRDefault="009C10F1">
      <w:pPr>
        <w:jc w:val="both"/>
        <w:rPr>
          <w:rFonts w:cs="David"/>
          <w:sz w:val="26"/>
          <w:szCs w:val="26"/>
          <w:rtl/>
        </w:rPr>
      </w:pPr>
      <w:r>
        <w:rPr>
          <w:rFonts w:cs="David"/>
          <w:sz w:val="26"/>
          <w:szCs w:val="26"/>
          <w:rtl/>
        </w:rPr>
        <w:t>הצעות חוק זהות הונחו על שולחן הכנסת השבע-עש</w:t>
      </w:r>
      <w:r>
        <w:rPr>
          <w:rFonts w:cs="David"/>
          <w:sz w:val="26"/>
          <w:szCs w:val="26"/>
          <w:rtl/>
        </w:rPr>
        <w:t xml:space="preserve">רה על ידי חברת הכנסת אורית נוקד (פ/520), ועל-ידי חבר הכנסת דוד טל (פ/521). </w:t>
      </w:r>
    </w:p>
    <w:p w:rsidR="00000000" w:rsidRDefault="009C10F1">
      <w:pPr>
        <w:jc w:val="both"/>
        <w:rPr>
          <w:rFonts w:cs="David"/>
          <w:sz w:val="26"/>
          <w:szCs w:val="26"/>
          <w:rtl/>
        </w:rPr>
      </w:pPr>
      <w:r>
        <w:rPr>
          <w:rFonts w:cs="David"/>
          <w:sz w:val="26"/>
          <w:szCs w:val="26"/>
          <w:rtl/>
        </w:rPr>
        <w:t xml:space="preserve">הצעת חוק דומה בעיקרה הונחה על שולחן הכנסת השבע-עשרה על-ידי חברת הכנסת סופה לנדבר (פ/1489/17). </w:t>
      </w:r>
    </w:p>
    <w:p w:rsidR="00000000" w:rsidRDefault="009C10F1">
      <w:pPr>
        <w:pStyle w:val="a3"/>
        <w:spacing w:line="360" w:lineRule="auto"/>
        <w:jc w:val="left"/>
        <w:rPr>
          <w:rFonts w:cs="David"/>
          <w:b w:val="0"/>
          <w:bCs w:val="0"/>
          <w:sz w:val="26"/>
          <w:szCs w:val="26"/>
          <w:u w:val="none"/>
          <w:rtl/>
        </w:rPr>
      </w:pPr>
      <w:r>
        <w:rPr>
          <w:rFonts w:cs="David"/>
          <w:b w:val="0"/>
          <w:bCs w:val="0"/>
          <w:sz w:val="26"/>
          <w:szCs w:val="26"/>
          <w:u w:val="none"/>
          <w:rtl/>
        </w:rPr>
        <w:t>---------------------------------</w:t>
      </w:r>
    </w:p>
    <w:p w:rsidR="00000000" w:rsidRDefault="009C10F1">
      <w:pPr>
        <w:pStyle w:val="a3"/>
        <w:jc w:val="left"/>
        <w:rPr>
          <w:rFonts w:cs="David"/>
          <w:b w:val="0"/>
          <w:bCs w:val="0"/>
          <w:sz w:val="26"/>
          <w:szCs w:val="26"/>
          <w:u w:val="none"/>
          <w:rtl/>
        </w:rPr>
      </w:pPr>
      <w:r>
        <w:rPr>
          <w:rFonts w:cs="David"/>
          <w:b w:val="0"/>
          <w:bCs w:val="0"/>
          <w:sz w:val="26"/>
          <w:szCs w:val="26"/>
          <w:u w:val="none"/>
          <w:rtl/>
        </w:rPr>
        <w:t>הוגשה ליו"ר הכנסת והסגנים</w:t>
      </w:r>
    </w:p>
    <w:p w:rsidR="00000000" w:rsidRDefault="009C10F1">
      <w:pPr>
        <w:pStyle w:val="a3"/>
        <w:jc w:val="left"/>
        <w:rPr>
          <w:rFonts w:cs="David"/>
          <w:b w:val="0"/>
          <w:bCs w:val="0"/>
          <w:sz w:val="26"/>
          <w:szCs w:val="26"/>
          <w:u w:val="none"/>
          <w:rtl/>
        </w:rPr>
      </w:pPr>
      <w:r>
        <w:rPr>
          <w:rFonts w:cs="David"/>
          <w:b w:val="0"/>
          <w:bCs w:val="0"/>
          <w:sz w:val="26"/>
          <w:szCs w:val="26"/>
          <w:u w:val="none"/>
          <w:rtl/>
        </w:rPr>
        <w:t>והונחה על שולחן הכנסת ביו</w:t>
      </w:r>
      <w:r>
        <w:rPr>
          <w:rFonts w:cs="David"/>
          <w:b w:val="0"/>
          <w:bCs w:val="0"/>
          <w:sz w:val="26"/>
          <w:szCs w:val="26"/>
          <w:u w:val="none"/>
          <w:rtl/>
        </w:rPr>
        <w:t>ם</w:t>
      </w:r>
    </w:p>
    <w:p w:rsidR="00000000" w:rsidRDefault="009C10F1">
      <w:pPr>
        <w:pStyle w:val="a3"/>
        <w:jc w:val="left"/>
        <w:rPr>
          <w:rFonts w:cs="David"/>
          <w:b w:val="0"/>
          <w:bCs w:val="0"/>
          <w:sz w:val="26"/>
          <w:szCs w:val="26"/>
          <w:u w:val="none"/>
        </w:rPr>
      </w:pPr>
      <w:r>
        <w:rPr>
          <w:rFonts w:cs="David"/>
          <w:b w:val="0"/>
          <w:bCs w:val="0"/>
          <w:sz w:val="26"/>
          <w:szCs w:val="26"/>
          <w:u w:val="none"/>
          <w:rtl/>
        </w:rPr>
        <w:t>כ"ג בתמוז התשס"ו – 19.7.06</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C10F1">
      <w:r>
        <w:separator/>
      </w:r>
    </w:p>
  </w:endnote>
  <w:endnote w:type="continuationSeparator" w:id="0">
    <w:p w:rsidR="00000000" w:rsidRDefault="009C1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C10F1">
      <w:r>
        <w:separator/>
      </w:r>
    </w:p>
  </w:footnote>
  <w:footnote w:type="continuationSeparator" w:id="0">
    <w:p w:rsidR="00000000" w:rsidRDefault="009C10F1">
      <w:r>
        <w:continuationSeparator/>
      </w:r>
    </w:p>
  </w:footnote>
  <w:footnote w:id="1">
    <w:p w:rsidR="00000000" w:rsidRDefault="009C10F1">
      <w:pPr>
        <w:pStyle w:val="a8"/>
      </w:pPr>
      <w:r>
        <w:rPr>
          <w:rStyle w:val="aa"/>
          <w:rFonts w:cs="David"/>
        </w:rPr>
        <w:footnoteRef/>
      </w:r>
      <w:r>
        <w:rPr>
          <w:rFonts w:cs="David"/>
        </w:rPr>
        <w:t xml:space="preserve"> </w:t>
      </w:r>
      <w:r>
        <w:rPr>
          <w:rFonts w:cs="David"/>
          <w:rtl/>
        </w:rPr>
        <w:t xml:space="preserve"> ס"ח התשנ"ה, עמ' 210.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10F1">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9C10F1">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9177éåøé ùèøï - æ÷ðä åðëåú áòã ôø÷ æîï àçã.doc"/>
    <w:docVar w:name="StartMode" w:val="2"/>
  </w:docVars>
  <w:rsids>
    <w:rsidRoot w:val="009C10F1"/>
    <w:rsid w:val="009C10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ascii="Times New Roman" w:hAnsi="Times New Roman" w:cs="Times New Roman"/>
      <w:vertAlign w:val="superscript"/>
    </w:rPr>
  </w:style>
  <w:style w:type="paragraph" w:styleId="ab">
    <w:name w:val="Balloon Text"/>
    <w:basedOn w:val="a"/>
    <w:link w:val="ac"/>
    <w:uiPriority w:val="99"/>
    <w:rPr>
      <w:rFonts w:ascii="Tahoma" w:eastAsia="Times New Roman" w:hAnsi="Tahoma"/>
      <w:sz w:val="16"/>
      <w:szCs w:val="16"/>
    </w:rPr>
  </w:style>
  <w:style w:type="character" w:customStyle="1" w:styleId="ac">
    <w:name w:val="טקסט בלונים תו"/>
    <w:basedOn w:val="a0"/>
    <w:link w:val="ab"/>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282</Words>
  <Characters>1414</Characters>
  <Application>Microsoft Office Word</Application>
  <DocSecurity>0</DocSecurity>
  <Lines>11</Lines>
  <Paragraphs>3</Paragraphs>
  <ScaleCrop>false</ScaleCrop>
  <Company>knesset</Company>
  <LinksUpToDate>false</LinksUpToDate>
  <CharactersWithSpaces>1693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הביטוח הלאומי (תיקון - קבלת קצבת זיקנה וקצבת נכות בעד פרק זמן אחד), התשס"ו-2006 </dc:title>
  <dc:subject/>
  <dc:creator>Knesset</dc:creator>
  <cp:keywords/>
  <dc:description/>
  <cp:lastModifiedBy>שמואל כוכב</cp:lastModifiedBy>
  <cp:revision>2</cp:revision>
  <cp:lastPrinted>2006-07-19T06:33:00Z</cp:lastPrinted>
  <dcterms:created xsi:type="dcterms:W3CDTF">2015-02-03T16:56:00Z</dcterms:created>
  <dcterms:modified xsi:type="dcterms:W3CDTF">2015-02-03T16:56:00Z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יורי שטרן</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04053406</vt:lpwstr>
  </property>
  <property fmtid="{D5CDD505-2E9C-101B-9397-08002B2CF9AE}" pid="10" name="מספר הצעת חוק למיון">
    <vt:lpwstr>1490</vt:lpwstr>
  </property>
  <property fmtid="{D5CDD505-2E9C-101B-9397-08002B2CF9AE}" pid="11" name="SDDocDate">
    <vt:lpwstr>2006-07-19T00:00:00Z</vt:lpwstr>
  </property>
  <property fmtid="{D5CDD505-2E9C-101B-9397-08002B2CF9AE}" pid="12" name="SDHebDate">
    <vt:lpwstr>כ"ג בתמוז,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כוכי שבתאי</vt:lpwstr>
  </property>
  <property fmtid="{D5CDD505-2E9C-101B-9397-08002B2CF9AE}" pid="17" name="MechaberMismach">
    <vt:lpwstr/>
  </property>
  <property fmtid="{D5CDD505-2E9C-101B-9397-08002B2CF9AE}" pid="18" name="MisHatzaatChok">
    <vt:lpwstr>פ/1490/17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