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E4BA3">
      <w:pPr>
        <w:pStyle w:val="a3"/>
        <w:bidi w:val="0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7E4BA3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24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b/>
                <w:bCs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חברי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יצחק לוי</w:t>
            </w:r>
          </w:p>
          <w:p w:rsidR="00000000" w:rsidRDefault="007E4BA3">
            <w:pPr>
              <w:spacing w:after="120"/>
              <w:rPr>
                <w:rFonts w:cs="David"/>
                <w:b/>
                <w:bCs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                                            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מנחם בן ששון</w:t>
            </w:r>
          </w:p>
        </w:tc>
      </w:tr>
    </w:tbl>
    <w:p w:rsidR="00000000" w:rsidRDefault="007E4BA3">
      <w:pPr>
        <w:spacing w:line="360" w:lineRule="auto"/>
        <w:rPr>
          <w:rFonts w:cs="David"/>
          <w:b/>
          <w:bCs/>
          <w:sz w:val="26"/>
          <w:szCs w:val="26"/>
          <w:rtl/>
        </w:rPr>
      </w:pPr>
      <w:r>
        <w:rPr>
          <w:rFonts w:cs="David"/>
          <w:b/>
          <w:bCs/>
          <w:sz w:val="26"/>
          <w:szCs w:val="26"/>
          <w:rtl/>
        </w:rPr>
        <w:t xml:space="preserve">                                                                                                              פ/1626/17</w:t>
      </w:r>
    </w:p>
    <w:p w:rsidR="00000000" w:rsidRDefault="007E4BA3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7E4BA3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הדיינים</w:t>
      </w:r>
      <w:r>
        <w:rPr>
          <w:rFonts w:cs="David"/>
          <w:b/>
          <w:bCs/>
          <w:sz w:val="28"/>
          <w:szCs w:val="28"/>
          <w:rtl/>
        </w:rPr>
        <w:t xml:space="preserve"> (תיקון - כללי אתיקה לדיינים), התשס"ז-2006</w:t>
      </w:r>
    </w:p>
    <w:p w:rsidR="00000000" w:rsidRDefault="007E4BA3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54"/>
        <w:gridCol w:w="380"/>
        <w:gridCol w:w="567"/>
        <w:gridCol w:w="522"/>
        <w:gridCol w:w="541"/>
        <w:gridCol w:w="567"/>
        <w:gridCol w:w="4889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הוספת סעיפים 19בו-19ג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בחוק הדיינים, תשט"ו-1955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 (להלן – חוק הדיינים), אחרי סעיף 19א יבוא: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"כללי אתיקה לדיינים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19ב.</w:t>
            </w:r>
          </w:p>
        </w:tc>
        <w:tc>
          <w:tcPr>
            <w:tcW w:w="5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נשיא בית הדין הרבני הגדול, בהסכמת חבר דייני בית הדין הגדול ולאחר התייע</w:t>
            </w:r>
            <w:r>
              <w:rPr>
                <w:rFonts w:cs="David"/>
                <w:sz w:val="26"/>
                <w:szCs w:val="26"/>
                <w:rtl/>
              </w:rPr>
              <w:t>צות עם שר המשפטים, רשאי לקבוע כללי אתיקה לדיינים.</w:t>
            </w:r>
          </w:p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"ועדת אתיקה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19ג.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 נשיא בית הדין הרבני הגדול, לאחר התייעצות עם שר המשפטים, ימנה ועדת אתיקה בת שלושה חברים והם - דיין של בית הדין הגדול ושני דיינים של בתי הדין הרבניים האזוריים.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(ב) 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ועדת האתיקה </w:t>
            </w:r>
            <w:r>
              <w:rPr>
                <w:rFonts w:cs="David"/>
                <w:sz w:val="26"/>
                <w:szCs w:val="26"/>
                <w:rtl/>
              </w:rPr>
              <w:t>תתן חוות דעת מקדימה בענייני אתיקה של דיינים לפי פנייה של דיין בעניין הנוגע אליו.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(ג) 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חבר ועדת אתיקה ימונה לתקופה אחת של שש שנים.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(ד) 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ועדת האתיקה תפרסם חוות דעת מקדימה שנתנה בלא ציון שמו של מי שלגביו ניתנה חוות הדעת ופרטים מזהים אחרים, אלא אם כן</w:t>
            </w:r>
            <w:r>
              <w:rPr>
                <w:rFonts w:cs="David"/>
                <w:sz w:val="26"/>
                <w:szCs w:val="26"/>
                <w:rtl/>
              </w:rPr>
              <w:t xml:space="preserve"> החליטה אחרת.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(ה) 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ועדת האתיקה תקבע את נוהלי עבודתה וסדרי דיוניה, ככל שלא נקבעו בחוק זה.</w:t>
            </w:r>
          </w:p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lastRenderedPageBreak/>
              <w:t>תיקון סעיף 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2.</w:t>
            </w:r>
          </w:p>
        </w:tc>
        <w:tc>
          <w:tcPr>
            <w:tcW w:w="70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בסעיף 21(א) לחוק הדיינים, אחרי פסקה (4) יבוא: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"(5)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הדיין הפר כלל מכללי האתיקה לדיינים שנקבעו לפי סעיף 19ב."</w:t>
            </w:r>
          </w:p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הוראת מעבר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3.</w:t>
            </w:r>
          </w:p>
        </w:tc>
        <w:tc>
          <w:tcPr>
            <w:tcW w:w="70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7E4BA3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סעיף 21(א)(5) לח</w:t>
            </w:r>
            <w:r>
              <w:rPr>
                <w:rFonts w:cs="David"/>
                <w:sz w:val="26"/>
                <w:szCs w:val="26"/>
                <w:rtl/>
              </w:rPr>
              <w:t xml:space="preserve">וק הדיינים כנוסחו לפי סעיף 2 לחוק זה, לא יחול לגבי מעשה או מחדל שנעשו לפני מועד כניסתם לתוקף של כללי אתיקה לדיינים שנקבעו לפי סעיף 19ב לחוק הדיינים, כנוסחו לפי סעיף 1 לחוק זה. </w:t>
            </w:r>
          </w:p>
        </w:tc>
      </w:tr>
    </w:tbl>
    <w:p w:rsidR="00000000" w:rsidRDefault="007E4BA3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7E4BA3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7E4BA3">
      <w:pPr>
        <w:spacing w:line="360" w:lineRule="auto"/>
        <w:jc w:val="center"/>
        <w:rPr>
          <w:rFonts w:cs="David"/>
          <w:sz w:val="26"/>
          <w:szCs w:val="26"/>
          <w:u w:val="single"/>
          <w:rtl/>
        </w:rPr>
      </w:pPr>
    </w:p>
    <w:p w:rsidR="00000000" w:rsidRDefault="007E4BA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חוק בתי המשפט (תיקון מס' 43), התשס"ו-2006, יצר מסגרת לקביעת כללי</w:t>
      </w:r>
      <w:r>
        <w:rPr>
          <w:rFonts w:cs="David"/>
          <w:sz w:val="26"/>
          <w:szCs w:val="26"/>
          <w:rtl/>
        </w:rPr>
        <w:t xml:space="preserve"> אתיקה לשופטים. לאחר שהכנסת קבעה בחוק את מעמדם של כללי אתיקה לשופטים יש מקום לחוקק חוק מקביל גם בעניינם של דיינים.</w:t>
      </w:r>
    </w:p>
    <w:p w:rsidR="00000000" w:rsidRDefault="007E4BA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החוק מקבילה בהוראותיה לתיקון מס' 43 לחוק בתי המשפט, בשינויים המחויבים.</w:t>
      </w:r>
    </w:p>
    <w:p w:rsidR="00000000" w:rsidRDefault="007E4BA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</w:t>
      </w:r>
    </w:p>
    <w:p w:rsidR="00000000" w:rsidRDefault="007E4BA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והסגנים</w:t>
      </w:r>
    </w:p>
    <w:p w:rsidR="00000000" w:rsidRDefault="007E4BA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שולחן הכנסת בי</w:t>
      </w:r>
      <w:r>
        <w:rPr>
          <w:rFonts w:cs="David"/>
          <w:sz w:val="26"/>
          <w:szCs w:val="26"/>
          <w:rtl/>
        </w:rPr>
        <w:t>ום</w:t>
      </w:r>
    </w:p>
    <w:p w:rsidR="00000000" w:rsidRDefault="007E4BA3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א בחשון התשס"ז - 23.10.06</w:t>
      </w:r>
    </w:p>
    <w:p w:rsidR="00000000" w:rsidRDefault="007E4BA3">
      <w:pPr>
        <w:pStyle w:val="a3"/>
        <w:spacing w:line="360" w:lineRule="auto"/>
        <w:jc w:val="both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4BA3">
      <w:r>
        <w:separator/>
      </w:r>
    </w:p>
  </w:endnote>
  <w:endnote w:type="continuationSeparator" w:id="0">
    <w:p w:rsidR="00000000" w:rsidRDefault="007E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E4BA3">
      <w:r>
        <w:separator/>
      </w:r>
    </w:p>
  </w:footnote>
  <w:footnote w:type="continuationSeparator" w:id="0">
    <w:p w:rsidR="00000000" w:rsidRDefault="007E4BA3">
      <w:r>
        <w:continuationSeparator/>
      </w:r>
    </w:p>
  </w:footnote>
  <w:footnote w:id="1">
    <w:p w:rsidR="00000000" w:rsidRDefault="007E4BA3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ס"ח תשט"ו, עמ' 68.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E4BA3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7E4BA3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45425éöç÷ ìåé - ëììé àúé÷ä ìãééðéí.doc"/>
    <w:docVar w:name="StartMode" w:val="2"/>
  </w:docVars>
  <w:rsids>
    <w:rsidRoot w:val="007E4BA3"/>
    <w:rsid w:val="007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rFonts w:eastAsia="Times New Roman"/>
      <w:sz w:val="32"/>
      <w:szCs w:val="3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1492</Characters>
  <Application>Microsoft Office Word</Application>
  <DocSecurity>0</DocSecurity>
  <Lines>12</Lines>
  <Paragraphs>3</Paragraphs>
  <ScaleCrop>false</ScaleCrop>
  <Company>knesset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הדיינים (כללי אתיקה לדיניים), התשס"ז-2006</dc:title>
  <dc:subject/>
  <dc:creator>Knesset</dc:creator>
  <cp:keywords/>
  <dc:description/>
  <cp:lastModifiedBy>שמואל כוכב</cp:lastModifiedBy>
  <cp:revision>2</cp:revision>
  <dcterms:created xsi:type="dcterms:W3CDTF">2015-02-03T17:02:00Z</dcterms:created>
  <dcterms:modified xsi:type="dcterms:W3CDTF">2015-02-03T17:02:00Z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יצחק לוי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05094306</vt:lpwstr>
  </property>
  <property fmtid="{D5CDD505-2E9C-101B-9397-08002B2CF9AE}" pid="10" name="מספר הצעת חוק למיון">
    <vt:lpwstr>1626</vt:lpwstr>
  </property>
  <property fmtid="{D5CDD505-2E9C-101B-9397-08002B2CF9AE}" pid="11" name="SDDocDate">
    <vt:lpwstr>2006-10-22T00:00:00Z</vt:lpwstr>
  </property>
  <property fmtid="{D5CDD505-2E9C-101B-9397-08002B2CF9AE}" pid="12" name="SDHebDate">
    <vt:lpwstr>ל' בתשרי, התשס"ז</vt:lpwstr>
  </property>
  <property fmtid="{D5CDD505-2E9C-101B-9397-08002B2CF9AE}" pid="13" name="SDCategories">
    <vt:lpwstr>:דף הבית:נושאים:חקיקה:נוסח לדיון מוקדם;#</vt:lpwstr>
  </property>
  <property fmtid="{D5CDD505-2E9C-101B-9397-08002B2CF9AE}" pid="14" name="תאריך הנחה">
    <vt:lpwstr/>
  </property>
  <property fmtid="{D5CDD505-2E9C-101B-9397-08002B2CF9AE}" pid="15" name="Vaada">
    <vt:lpwstr/>
  </property>
  <property fmtid="{D5CDD505-2E9C-101B-9397-08002B2CF9AE}" pid="16" name="HebrewDate">
    <vt:lpwstr/>
  </property>
  <property fmtid="{D5CDD505-2E9C-101B-9397-08002B2CF9AE}" pid="17" name="SDAuthor">
    <vt:lpwstr>עדי טייכר</vt:lpwstr>
  </property>
  <property fmtid="{D5CDD505-2E9C-101B-9397-08002B2CF9AE}" pid="18" name="MechaberMismach">
    <vt:lpwstr/>
  </property>
  <property fmtid="{D5CDD505-2E9C-101B-9397-08002B2CF9AE}" pid="19" name="MisHatzaatChok">
    <vt:lpwstr>פ/1626/17</vt:lpwstr>
  </property>
  <property fmtid="{D5CDD505-2E9C-101B-9397-08002B2CF9AE}" pid="20" name="SDRemark">
    <vt:lpwstr/>
  </property>
  <property fmtid="{D5CDD505-2E9C-101B-9397-08002B2CF9AE}" pid="21" name="SDOfflineTo">
    <vt:lpwstr/>
  </property>
  <property fmtid="{D5CDD505-2E9C-101B-9397-08002B2CF9AE}" pid="22" name="SDDistList">
    <vt:lpwstr/>
  </property>
  <property fmtid="{D5CDD505-2E9C-101B-9397-08002B2CF9AE}" pid="23" name="SDDistDate">
    <vt:lpwstr/>
  </property>
  <property fmtid="{D5CDD505-2E9C-101B-9397-08002B2CF9AE}" pid="24" name="SDOriginalID">
    <vt:lpwstr/>
  </property>
  <property fmtid="{D5CDD505-2E9C-101B-9397-08002B2CF9AE}" pid="25" name="SDSenderName">
    <vt:lpwstr/>
  </property>
  <property fmtid="{D5CDD505-2E9C-101B-9397-08002B2CF9AE}" pid="26" name="SDToList">
    <vt:lpwstr/>
  </property>
  <property fmtid="{D5CDD505-2E9C-101B-9397-08002B2CF9AE}" pid="27" name="SDCCList">
    <vt:lpwstr/>
  </property>
  <property fmtid="{D5CDD505-2E9C-101B-9397-08002B2CF9AE}" pid="28" name="STHasReminders">
    <vt:lpwstr>0</vt:lpwstr>
  </property>
  <property fmtid="{D5CDD505-2E9C-101B-9397-08002B2CF9AE}" pid="29" name="SDLink">
    <vt:lpwstr>, </vt:lpwstr>
  </property>
  <property fmtid="{D5CDD505-2E9C-101B-9397-08002B2CF9AE}" pid="30" name="Num_Gim1">
    <vt:lpwstr/>
  </property>
  <property fmtid="{D5CDD505-2E9C-101B-9397-08002B2CF9AE}" pid="31" name="NoseA">
    <vt:lpwstr/>
  </property>
  <property fmtid="{D5CDD505-2E9C-101B-9397-08002B2CF9AE}" pid="32" name="NoseB">
    <vt:lpwstr/>
  </property>
  <property fmtid="{D5CDD505-2E9C-101B-9397-08002B2CF9AE}" pid="33" name="knesset_number">
    <vt:lpwstr/>
  </property>
  <property fmtid="{D5CDD505-2E9C-101B-9397-08002B2CF9AE}" pid="34" name="ValidFrom">
    <vt:lpwstr/>
  </property>
  <property fmtid="{D5CDD505-2E9C-101B-9397-08002B2CF9AE}" pid="35" name="ValidUntill">
    <vt:lpwstr/>
  </property>
  <property fmtid="{D5CDD505-2E9C-101B-9397-08002B2CF9AE}" pid="36" name="To1">
    <vt:lpwstr/>
  </property>
  <property fmtid="{D5CDD505-2E9C-101B-9397-08002B2CF9AE}" pid="37" name="From">
    <vt:lpwstr/>
  </property>
  <property fmtid="{D5CDD505-2E9C-101B-9397-08002B2CF9AE}" pid="38" name="body">
    <vt:lpwstr/>
  </property>
</Properties>
</file>