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D077A">
      <w:pPr>
        <w:pStyle w:val="a3"/>
        <w:spacing w:line="360" w:lineRule="auto"/>
        <w:rPr>
          <w:rFonts w:cs="David"/>
          <w:u w:val="none"/>
          <w:rtl/>
        </w:rPr>
      </w:pPr>
      <w:bookmarkStart w:id="0" w:name="_GoBack"/>
      <w:bookmarkEnd w:id="0"/>
      <w:r>
        <w:rPr>
          <w:rFonts w:cs="David"/>
          <w:u w:val="none"/>
          <w:rtl/>
        </w:rPr>
        <w:t>הכנסת השבע-עשרה</w:t>
      </w:r>
    </w:p>
    <w:p w:rsidR="00000000" w:rsidRDefault="00CD077A">
      <w:pPr>
        <w:spacing w:line="360" w:lineRule="auto"/>
        <w:jc w:val="center"/>
        <w:rPr>
          <w:rFonts w:cs="David"/>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p>
    <w:tbl>
      <w:tblPr>
        <w:bidiVisual/>
        <w:tblW w:w="0" w:type="auto"/>
        <w:tblInd w:w="4385" w:type="dxa"/>
        <w:tblBorders>
          <w:bottom w:val="single" w:sz="4" w:space="0" w:color="auto"/>
        </w:tblBorders>
        <w:tblLook w:val="0000" w:firstRow="0" w:lastRow="0" w:firstColumn="0" w:lastColumn="0" w:noHBand="0" w:noVBand="0"/>
      </w:tblPr>
      <w:tblGrid>
        <w:gridCol w:w="4137"/>
      </w:tblGrid>
      <w:tr w:rsidR="00000000">
        <w:tblPrEx>
          <w:tblCellMar>
            <w:top w:w="0" w:type="dxa"/>
            <w:bottom w:w="0" w:type="dxa"/>
          </w:tblCellMar>
        </w:tblPrEx>
        <w:trPr>
          <w:cantSplit/>
        </w:trPr>
        <w:tc>
          <w:tcPr>
            <w:tcW w:w="4137" w:type="dxa"/>
            <w:tcBorders>
              <w:top w:val="nil"/>
              <w:left w:val="nil"/>
              <w:bottom w:val="single" w:sz="4" w:space="0" w:color="auto"/>
              <w:right w:val="nil"/>
            </w:tcBorders>
          </w:tcPr>
          <w:p w:rsidR="00000000" w:rsidRDefault="00CD077A">
            <w:pPr>
              <w:spacing w:after="120"/>
              <w:rPr>
                <w:rFonts w:cs="David"/>
                <w:sz w:val="26"/>
                <w:szCs w:val="26"/>
              </w:rPr>
            </w:pPr>
            <w:r>
              <w:rPr>
                <w:rFonts w:cs="David"/>
                <w:sz w:val="26"/>
                <w:szCs w:val="26"/>
                <w:rtl/>
              </w:rPr>
              <w:t xml:space="preserve">הצעת חוק של חבר הכנסת </w:t>
            </w:r>
            <w:r>
              <w:rPr>
                <w:rFonts w:cs="David"/>
                <w:b/>
                <w:bCs/>
                <w:sz w:val="26"/>
                <w:szCs w:val="26"/>
                <w:rtl/>
              </w:rPr>
              <w:t>שלמה ברזניץ</w:t>
            </w:r>
          </w:p>
        </w:tc>
      </w:tr>
    </w:tbl>
    <w:p w:rsidR="00000000" w:rsidRDefault="00CD077A">
      <w:pPr>
        <w:spacing w:line="360" w:lineRule="auto"/>
        <w:jc w:val="center"/>
        <w:rPr>
          <w:rFonts w:cs="David"/>
          <w:b/>
          <w:bCs/>
          <w:sz w:val="32"/>
          <w:szCs w:val="32"/>
          <w:rtl/>
        </w:rPr>
      </w:pPr>
      <w:r>
        <w:rPr>
          <w:rFonts w:cs="David"/>
          <w:sz w:val="26"/>
          <w:szCs w:val="26"/>
          <w:rtl/>
        </w:rPr>
        <w:tab/>
        <w:t xml:space="preserve">                                                                                                </w:t>
      </w:r>
      <w:r>
        <w:rPr>
          <w:rFonts w:cs="David"/>
          <w:b/>
          <w:bCs/>
          <w:sz w:val="26"/>
          <w:szCs w:val="26"/>
          <w:rtl/>
        </w:rPr>
        <w:t>פ</w:t>
      </w:r>
      <w:r>
        <w:rPr>
          <w:rFonts w:cs="David"/>
          <w:b/>
          <w:bCs/>
          <w:sz w:val="26"/>
          <w:szCs w:val="26"/>
          <w:rtl/>
        </w:rPr>
        <w:t>/783/17</w:t>
      </w:r>
      <w:r>
        <w:rPr>
          <w:rFonts w:cs="David"/>
          <w:b/>
          <w:bCs/>
          <w:sz w:val="26"/>
          <w:szCs w:val="26"/>
          <w:rtl/>
        </w:rPr>
        <w:tab/>
      </w:r>
      <w:r>
        <w:rPr>
          <w:rFonts w:cs="David"/>
          <w:b/>
          <w:bCs/>
          <w:sz w:val="26"/>
          <w:szCs w:val="26"/>
          <w:rtl/>
        </w:rPr>
        <w:tab/>
      </w:r>
      <w:r>
        <w:rPr>
          <w:rFonts w:cs="David"/>
          <w:b/>
          <w:bCs/>
          <w:sz w:val="26"/>
          <w:szCs w:val="26"/>
          <w:rtl/>
        </w:rPr>
        <w:tab/>
      </w:r>
      <w:r>
        <w:rPr>
          <w:rFonts w:cs="David"/>
          <w:b/>
          <w:bCs/>
          <w:sz w:val="26"/>
          <w:szCs w:val="26"/>
          <w:rtl/>
        </w:rPr>
        <w:tab/>
      </w:r>
    </w:p>
    <w:p w:rsidR="00000000" w:rsidRDefault="00CD077A">
      <w:pPr>
        <w:spacing w:line="360" w:lineRule="auto"/>
        <w:jc w:val="center"/>
        <w:rPr>
          <w:rFonts w:cs="David"/>
          <w:sz w:val="32"/>
          <w:szCs w:val="32"/>
          <w:rtl/>
        </w:rPr>
      </w:pPr>
    </w:p>
    <w:p w:rsidR="00000000" w:rsidRDefault="00CD077A">
      <w:pPr>
        <w:spacing w:line="360" w:lineRule="auto"/>
        <w:jc w:val="center"/>
        <w:rPr>
          <w:rFonts w:cs="David"/>
          <w:b/>
          <w:bCs/>
          <w:sz w:val="28"/>
          <w:szCs w:val="28"/>
          <w:rtl/>
          <w:lang w:eastAsia="en-US"/>
        </w:rPr>
      </w:pPr>
      <w:r>
        <w:rPr>
          <w:rFonts w:cs="David"/>
          <w:b/>
          <w:bCs/>
          <w:sz w:val="28"/>
          <w:szCs w:val="28"/>
          <w:rtl/>
          <w:lang w:eastAsia="en-US"/>
        </w:rPr>
        <w:t>הצעת חוק לתיקון פקודת הסמים המסוכנים (הכרזה על סם מסוכן),</w:t>
      </w:r>
    </w:p>
    <w:p w:rsidR="00000000" w:rsidRDefault="00CD077A">
      <w:pPr>
        <w:spacing w:line="360" w:lineRule="auto"/>
        <w:jc w:val="center"/>
        <w:rPr>
          <w:rFonts w:cs="David"/>
          <w:b/>
          <w:bCs/>
          <w:sz w:val="28"/>
          <w:szCs w:val="28"/>
          <w:rtl/>
          <w:lang w:eastAsia="en-US"/>
        </w:rPr>
      </w:pPr>
      <w:r>
        <w:rPr>
          <w:rFonts w:cs="David"/>
          <w:b/>
          <w:bCs/>
          <w:sz w:val="28"/>
          <w:szCs w:val="28"/>
          <w:rtl/>
          <w:lang w:eastAsia="en-US"/>
        </w:rPr>
        <w:t>התשס"ו-2006</w:t>
      </w:r>
    </w:p>
    <w:p w:rsidR="00000000" w:rsidRDefault="00CD077A">
      <w:pPr>
        <w:spacing w:line="360" w:lineRule="auto"/>
        <w:rPr>
          <w:rFonts w:cs="David"/>
          <w:sz w:val="26"/>
          <w:szCs w:val="26"/>
          <w:rtl/>
          <w:lang w:eastAsia="en-US"/>
        </w:rPr>
      </w:pPr>
    </w:p>
    <w:tbl>
      <w:tblPr>
        <w:bidiVisual/>
        <w:tblW w:w="0" w:type="auto"/>
        <w:tblCellMar>
          <w:left w:w="0" w:type="dxa"/>
          <w:right w:w="0" w:type="dxa"/>
        </w:tblCellMar>
        <w:tblLook w:val="0000" w:firstRow="0" w:lastRow="0" w:firstColumn="0" w:lastColumn="0" w:noHBand="0" w:noVBand="0"/>
      </w:tblPr>
      <w:tblGrid>
        <w:gridCol w:w="1180"/>
        <w:gridCol w:w="548"/>
        <w:gridCol w:w="6692"/>
      </w:tblGrid>
      <w:tr w:rsidR="00000000">
        <w:trPr>
          <w:cantSplit/>
        </w:trPr>
        <w:tc>
          <w:tcPr>
            <w:tcW w:w="1180" w:type="dxa"/>
            <w:tcBorders>
              <w:top w:val="nil"/>
              <w:left w:val="nil"/>
              <w:bottom w:val="nil"/>
              <w:right w:val="nil"/>
            </w:tcBorders>
            <w:tcMar>
              <w:top w:w="0" w:type="dxa"/>
              <w:left w:w="57" w:type="dxa"/>
              <w:bottom w:w="0" w:type="dxa"/>
              <w:right w:w="57" w:type="dxa"/>
            </w:tcMar>
          </w:tcPr>
          <w:p w:rsidR="00000000" w:rsidRDefault="00CD077A">
            <w:pPr>
              <w:spacing w:after="120"/>
              <w:rPr>
                <w:sz w:val="26"/>
                <w:szCs w:val="26"/>
                <w:lang w:eastAsia="en-US"/>
              </w:rPr>
            </w:pPr>
            <w:r>
              <w:rPr>
                <w:rFonts w:cs="David"/>
                <w:sz w:val="26"/>
                <w:szCs w:val="26"/>
                <w:rtl/>
                <w:lang w:eastAsia="en-US"/>
              </w:rPr>
              <w:t xml:space="preserve">תיקון </w:t>
            </w:r>
            <w:r>
              <w:rPr>
                <w:rFonts w:cs="David"/>
                <w:sz w:val="26"/>
                <w:szCs w:val="26"/>
                <w:rtl/>
                <w:lang w:eastAsia="en-US"/>
              </w:rPr>
              <w:br/>
              <w:t>סעיף 1</w:t>
            </w:r>
          </w:p>
        </w:tc>
        <w:tc>
          <w:tcPr>
            <w:tcW w:w="548" w:type="dxa"/>
            <w:tcBorders>
              <w:top w:val="nil"/>
              <w:left w:val="nil"/>
              <w:bottom w:val="nil"/>
              <w:right w:val="nil"/>
            </w:tcBorders>
            <w:tcMar>
              <w:top w:w="0" w:type="dxa"/>
              <w:left w:w="57" w:type="dxa"/>
              <w:bottom w:w="0" w:type="dxa"/>
              <w:right w:w="57" w:type="dxa"/>
            </w:tcMar>
          </w:tcPr>
          <w:p w:rsidR="00000000" w:rsidRDefault="00CD077A">
            <w:pPr>
              <w:spacing w:after="120" w:line="360" w:lineRule="auto"/>
              <w:rPr>
                <w:sz w:val="26"/>
                <w:szCs w:val="26"/>
                <w:lang w:eastAsia="en-US"/>
              </w:rPr>
            </w:pPr>
            <w:r>
              <w:rPr>
                <w:rFonts w:cs="David"/>
                <w:sz w:val="26"/>
                <w:szCs w:val="26"/>
                <w:rtl/>
                <w:lang w:eastAsia="en-US"/>
              </w:rPr>
              <w:t>1.</w:t>
            </w:r>
          </w:p>
        </w:tc>
        <w:tc>
          <w:tcPr>
            <w:tcW w:w="6692" w:type="dxa"/>
            <w:tcBorders>
              <w:top w:val="nil"/>
              <w:left w:val="nil"/>
              <w:bottom w:val="nil"/>
              <w:right w:val="nil"/>
            </w:tcBorders>
            <w:tcMar>
              <w:top w:w="0" w:type="dxa"/>
              <w:left w:w="57" w:type="dxa"/>
              <w:bottom w:w="0" w:type="dxa"/>
              <w:right w:w="57" w:type="dxa"/>
            </w:tcMar>
          </w:tcPr>
          <w:p w:rsidR="00000000" w:rsidRDefault="00CD077A">
            <w:pPr>
              <w:spacing w:after="120" w:line="360" w:lineRule="auto"/>
              <w:jc w:val="both"/>
              <w:rPr>
                <w:sz w:val="26"/>
                <w:szCs w:val="26"/>
                <w:lang w:eastAsia="en-US"/>
              </w:rPr>
            </w:pPr>
            <w:r>
              <w:rPr>
                <w:rFonts w:cs="David"/>
                <w:sz w:val="26"/>
                <w:szCs w:val="26"/>
                <w:rtl/>
                <w:lang w:eastAsia="en-US"/>
              </w:rPr>
              <w:t>בפקודת הסמים המסוכנים [נוסח חדש], התשל"ג-1973</w:t>
            </w:r>
            <w:r>
              <w:rPr>
                <w:rStyle w:val="aa"/>
                <w:sz w:val="26"/>
                <w:szCs w:val="26"/>
                <w:rtl/>
                <w:lang w:eastAsia="en-US"/>
              </w:rPr>
              <w:footnoteReference w:id="1"/>
            </w:r>
            <w:r>
              <w:rPr>
                <w:rFonts w:cs="David"/>
                <w:sz w:val="26"/>
                <w:szCs w:val="26"/>
                <w:rtl/>
                <w:lang w:eastAsia="en-US"/>
              </w:rPr>
              <w:t xml:space="preserve"> (להלן - הפקודה), בסעיף 1, אחרי ההגדרה "מנהל" יבוא:</w:t>
            </w:r>
          </w:p>
        </w:tc>
      </w:tr>
      <w:tr w:rsidR="00000000">
        <w:trPr>
          <w:cantSplit/>
        </w:trPr>
        <w:tc>
          <w:tcPr>
            <w:tcW w:w="1180" w:type="dxa"/>
            <w:tcBorders>
              <w:top w:val="nil"/>
              <w:left w:val="nil"/>
              <w:bottom w:val="nil"/>
              <w:right w:val="nil"/>
            </w:tcBorders>
            <w:tcMar>
              <w:top w:w="0" w:type="dxa"/>
              <w:left w:w="57" w:type="dxa"/>
              <w:bottom w:w="0" w:type="dxa"/>
              <w:right w:w="57" w:type="dxa"/>
            </w:tcMar>
          </w:tcPr>
          <w:p w:rsidR="00000000" w:rsidRDefault="00CD077A">
            <w:pPr>
              <w:spacing w:after="120"/>
              <w:rPr>
                <w:sz w:val="26"/>
                <w:szCs w:val="26"/>
                <w:lang w:eastAsia="en-US"/>
              </w:rPr>
            </w:pPr>
          </w:p>
        </w:tc>
        <w:tc>
          <w:tcPr>
            <w:tcW w:w="548" w:type="dxa"/>
            <w:tcBorders>
              <w:top w:val="nil"/>
              <w:left w:val="nil"/>
              <w:bottom w:val="nil"/>
              <w:right w:val="nil"/>
            </w:tcBorders>
            <w:tcMar>
              <w:top w:w="0" w:type="dxa"/>
              <w:left w:w="57" w:type="dxa"/>
              <w:bottom w:w="0" w:type="dxa"/>
              <w:right w:w="57" w:type="dxa"/>
            </w:tcMar>
          </w:tcPr>
          <w:p w:rsidR="00000000" w:rsidRDefault="00CD077A">
            <w:pPr>
              <w:spacing w:after="120" w:line="360" w:lineRule="auto"/>
              <w:rPr>
                <w:sz w:val="26"/>
                <w:szCs w:val="26"/>
                <w:lang w:eastAsia="en-US"/>
              </w:rPr>
            </w:pPr>
          </w:p>
        </w:tc>
        <w:tc>
          <w:tcPr>
            <w:tcW w:w="6692" w:type="dxa"/>
            <w:tcBorders>
              <w:top w:val="nil"/>
              <w:left w:val="nil"/>
              <w:bottom w:val="nil"/>
              <w:right w:val="nil"/>
            </w:tcBorders>
            <w:tcMar>
              <w:top w:w="0" w:type="dxa"/>
              <w:left w:w="57" w:type="dxa"/>
              <w:bottom w:w="0" w:type="dxa"/>
              <w:right w:w="57" w:type="dxa"/>
            </w:tcMar>
          </w:tcPr>
          <w:p w:rsidR="00000000" w:rsidRDefault="00CD077A">
            <w:pPr>
              <w:spacing w:after="120" w:line="360" w:lineRule="auto"/>
              <w:jc w:val="both"/>
              <w:rPr>
                <w:rFonts w:cs="David"/>
                <w:sz w:val="26"/>
                <w:szCs w:val="26"/>
                <w:rtl/>
                <w:lang w:eastAsia="en-US"/>
              </w:rPr>
            </w:pPr>
            <w:r>
              <w:rPr>
                <w:rFonts w:cs="David"/>
                <w:sz w:val="26"/>
                <w:szCs w:val="26"/>
                <w:rtl/>
                <w:lang w:eastAsia="en-US"/>
              </w:rPr>
              <w:t>""נגזרת כימי</w:t>
            </w:r>
            <w:r>
              <w:rPr>
                <w:rFonts w:cs="David"/>
                <w:sz w:val="26"/>
                <w:szCs w:val="26"/>
                <w:rtl/>
                <w:lang w:eastAsia="en-US"/>
              </w:rPr>
              <w:t>ת" –</w:t>
            </w:r>
            <w:r>
              <w:rPr>
                <w:sz w:val="26"/>
                <w:szCs w:val="26"/>
                <w:lang w:eastAsia="en-US"/>
              </w:rPr>
              <w:t xml:space="preserve">CHEMICAL DERIVATIVE </w:t>
            </w:r>
            <w:r>
              <w:rPr>
                <w:rFonts w:cs="David"/>
                <w:sz w:val="26"/>
                <w:szCs w:val="26"/>
                <w:rtl/>
                <w:lang w:eastAsia="en-US"/>
              </w:rPr>
              <w:t xml:space="preserve"> - חומר כימי שמבנהו הכימי מבוסס על המבנה הכימי של אב משפחה כימית והמתקבלעל ידי הוספה ו/או גריעה של קבוצה כימית אחת או יותר מהמבנה הכימי של אותו אב משפחה כימי."</w:t>
            </w:r>
          </w:p>
          <w:p w:rsidR="00000000" w:rsidRDefault="00CD077A">
            <w:pPr>
              <w:spacing w:after="120" w:line="360" w:lineRule="auto"/>
              <w:jc w:val="both"/>
              <w:rPr>
                <w:sz w:val="26"/>
                <w:szCs w:val="26"/>
                <w:lang w:eastAsia="en-US"/>
              </w:rPr>
            </w:pPr>
          </w:p>
        </w:tc>
      </w:tr>
      <w:tr w:rsidR="00000000">
        <w:trPr>
          <w:cantSplit/>
        </w:trPr>
        <w:tc>
          <w:tcPr>
            <w:tcW w:w="1180" w:type="dxa"/>
            <w:tcBorders>
              <w:top w:val="nil"/>
              <w:left w:val="nil"/>
              <w:bottom w:val="nil"/>
              <w:right w:val="nil"/>
            </w:tcBorders>
            <w:tcMar>
              <w:top w:w="0" w:type="dxa"/>
              <w:left w:w="57" w:type="dxa"/>
              <w:bottom w:w="0" w:type="dxa"/>
              <w:right w:w="57" w:type="dxa"/>
            </w:tcMar>
          </w:tcPr>
          <w:p w:rsidR="00000000" w:rsidRDefault="00CD077A">
            <w:pPr>
              <w:spacing w:after="120"/>
              <w:rPr>
                <w:sz w:val="26"/>
                <w:szCs w:val="26"/>
                <w:lang w:eastAsia="en-US"/>
              </w:rPr>
            </w:pPr>
            <w:r>
              <w:rPr>
                <w:rFonts w:cs="David"/>
                <w:sz w:val="26"/>
                <w:szCs w:val="26"/>
                <w:rtl/>
                <w:lang w:eastAsia="en-US"/>
              </w:rPr>
              <w:t xml:space="preserve">הוספת סיפא </w:t>
            </w:r>
            <w:r>
              <w:rPr>
                <w:rFonts w:cs="David"/>
                <w:sz w:val="26"/>
                <w:szCs w:val="26"/>
                <w:rtl/>
                <w:lang w:eastAsia="en-US"/>
              </w:rPr>
              <w:br/>
              <w:t>לסעיף 41</w:t>
            </w:r>
          </w:p>
        </w:tc>
        <w:tc>
          <w:tcPr>
            <w:tcW w:w="548" w:type="dxa"/>
            <w:tcBorders>
              <w:top w:val="nil"/>
              <w:left w:val="nil"/>
              <w:bottom w:val="nil"/>
              <w:right w:val="nil"/>
            </w:tcBorders>
            <w:tcMar>
              <w:top w:w="0" w:type="dxa"/>
              <w:left w:w="57" w:type="dxa"/>
              <w:bottom w:w="0" w:type="dxa"/>
              <w:right w:w="57" w:type="dxa"/>
            </w:tcMar>
          </w:tcPr>
          <w:p w:rsidR="00000000" w:rsidRDefault="00CD077A">
            <w:pPr>
              <w:spacing w:after="120" w:line="360" w:lineRule="auto"/>
              <w:rPr>
                <w:sz w:val="26"/>
                <w:szCs w:val="26"/>
                <w:lang w:eastAsia="en-US"/>
              </w:rPr>
            </w:pPr>
            <w:r>
              <w:rPr>
                <w:rFonts w:cs="David"/>
                <w:sz w:val="26"/>
                <w:szCs w:val="26"/>
                <w:rtl/>
                <w:lang w:eastAsia="en-US"/>
              </w:rPr>
              <w:t>2.</w:t>
            </w:r>
          </w:p>
        </w:tc>
        <w:tc>
          <w:tcPr>
            <w:tcW w:w="6692" w:type="dxa"/>
            <w:tcBorders>
              <w:top w:val="nil"/>
              <w:left w:val="nil"/>
              <w:bottom w:val="nil"/>
              <w:right w:val="nil"/>
            </w:tcBorders>
            <w:tcMar>
              <w:top w:w="0" w:type="dxa"/>
              <w:left w:w="57" w:type="dxa"/>
              <w:bottom w:w="0" w:type="dxa"/>
              <w:right w:w="57" w:type="dxa"/>
            </w:tcMar>
          </w:tcPr>
          <w:p w:rsidR="00000000" w:rsidRDefault="00CD077A">
            <w:pPr>
              <w:spacing w:after="120" w:line="360" w:lineRule="auto"/>
              <w:jc w:val="both"/>
              <w:rPr>
                <w:rFonts w:cs="David"/>
                <w:sz w:val="26"/>
                <w:szCs w:val="26"/>
                <w:rtl/>
                <w:lang w:eastAsia="en-US"/>
              </w:rPr>
            </w:pPr>
            <w:r>
              <w:rPr>
                <w:rFonts w:cs="David"/>
                <w:sz w:val="26"/>
                <w:szCs w:val="26"/>
                <w:rtl/>
                <w:lang w:eastAsia="en-US"/>
              </w:rPr>
              <w:t>בסעיף 41 לפקודה, במקום "ועדת השירותים הציבורים</w:t>
            </w:r>
            <w:r>
              <w:rPr>
                <w:rFonts w:cs="David"/>
                <w:sz w:val="26"/>
                <w:szCs w:val="26"/>
                <w:rtl/>
                <w:lang w:eastAsia="en-US"/>
              </w:rPr>
              <w:t>" יבוא "ועדת העבודה, הרווחה והבריאות", ובסופו יבוא "על אף האמור, שר הבריאות מוסמך לקבוע כי חומר המהווה סכנה מיידית לשלום הציבור או לבריאותו ייחשב כסם מסוכן ולהכריז כי החומר האמור ייכלל בחלק ב' לתוספת הראשונה לפקודה; תוקף ההכרזה יהיה לשנה מיום כניסתה לתוקף,</w:t>
            </w:r>
            <w:r>
              <w:rPr>
                <w:rFonts w:cs="David"/>
                <w:sz w:val="26"/>
                <w:szCs w:val="26"/>
                <w:rtl/>
                <w:lang w:eastAsia="en-US"/>
              </w:rPr>
              <w:t xml:space="preserve"> ואולם, שר הבריאות רשאי להאריך את תוקף ההכרזה בששה חודשים נוספים אם ועדת העבודה, הרווחה והבריאות של הכנסת לא התכנסה עד תום השנה האמורה."</w:t>
            </w:r>
          </w:p>
          <w:p w:rsidR="00000000" w:rsidRDefault="00CD077A">
            <w:pPr>
              <w:spacing w:after="120" w:line="360" w:lineRule="auto"/>
              <w:jc w:val="both"/>
              <w:rPr>
                <w:sz w:val="26"/>
                <w:szCs w:val="26"/>
                <w:lang w:eastAsia="en-US"/>
              </w:rPr>
            </w:pPr>
          </w:p>
        </w:tc>
      </w:tr>
      <w:tr w:rsidR="00000000">
        <w:trPr>
          <w:cantSplit/>
        </w:trPr>
        <w:tc>
          <w:tcPr>
            <w:tcW w:w="1180" w:type="dxa"/>
            <w:tcBorders>
              <w:top w:val="nil"/>
              <w:left w:val="nil"/>
              <w:bottom w:val="nil"/>
              <w:right w:val="nil"/>
            </w:tcBorders>
            <w:tcMar>
              <w:top w:w="0" w:type="dxa"/>
              <w:left w:w="57" w:type="dxa"/>
              <w:bottom w:w="0" w:type="dxa"/>
              <w:right w:w="57" w:type="dxa"/>
            </w:tcMar>
          </w:tcPr>
          <w:p w:rsidR="00000000" w:rsidRDefault="00CD077A">
            <w:pPr>
              <w:spacing w:after="120"/>
              <w:rPr>
                <w:sz w:val="26"/>
                <w:szCs w:val="26"/>
                <w:lang w:eastAsia="en-US"/>
              </w:rPr>
            </w:pPr>
          </w:p>
        </w:tc>
        <w:tc>
          <w:tcPr>
            <w:tcW w:w="548" w:type="dxa"/>
            <w:tcBorders>
              <w:top w:val="nil"/>
              <w:left w:val="nil"/>
              <w:bottom w:val="nil"/>
              <w:right w:val="nil"/>
            </w:tcBorders>
            <w:tcMar>
              <w:top w:w="0" w:type="dxa"/>
              <w:left w:w="57" w:type="dxa"/>
              <w:bottom w:w="0" w:type="dxa"/>
              <w:right w:w="57" w:type="dxa"/>
            </w:tcMar>
          </w:tcPr>
          <w:p w:rsidR="00000000" w:rsidRDefault="00CD077A">
            <w:pPr>
              <w:spacing w:after="120" w:line="360" w:lineRule="auto"/>
              <w:rPr>
                <w:sz w:val="26"/>
                <w:szCs w:val="26"/>
                <w:lang w:eastAsia="en-US"/>
              </w:rPr>
            </w:pPr>
            <w:r>
              <w:rPr>
                <w:rFonts w:cs="David"/>
                <w:sz w:val="26"/>
                <w:szCs w:val="26"/>
                <w:rtl/>
                <w:lang w:eastAsia="en-US"/>
              </w:rPr>
              <w:t>3.</w:t>
            </w:r>
          </w:p>
        </w:tc>
        <w:tc>
          <w:tcPr>
            <w:tcW w:w="6692" w:type="dxa"/>
            <w:tcBorders>
              <w:top w:val="nil"/>
              <w:left w:val="nil"/>
              <w:bottom w:val="nil"/>
              <w:right w:val="nil"/>
            </w:tcBorders>
            <w:tcMar>
              <w:top w:w="0" w:type="dxa"/>
              <w:left w:w="57" w:type="dxa"/>
              <w:bottom w:w="0" w:type="dxa"/>
              <w:right w:w="57" w:type="dxa"/>
            </w:tcMar>
          </w:tcPr>
          <w:p w:rsidR="00000000" w:rsidRDefault="00CD077A">
            <w:pPr>
              <w:spacing w:after="120" w:line="360" w:lineRule="auto"/>
              <w:jc w:val="both"/>
              <w:rPr>
                <w:rFonts w:cs="David"/>
                <w:sz w:val="26"/>
                <w:szCs w:val="26"/>
                <w:rtl/>
                <w:lang w:eastAsia="en-US"/>
              </w:rPr>
            </w:pPr>
            <w:r>
              <w:rPr>
                <w:rFonts w:cs="David"/>
                <w:sz w:val="26"/>
                <w:szCs w:val="26"/>
                <w:rtl/>
                <w:lang w:eastAsia="en-US"/>
              </w:rPr>
              <w:t>לעניין סעיף זה, חזקה כי חומר שהוא נגזרת כימית של אחד מהחומרים הבאים הוא חומר מסוכן-</w:t>
            </w:r>
          </w:p>
          <w:p w:rsidR="00000000" w:rsidRDefault="00CD077A">
            <w:pPr>
              <w:spacing w:after="120" w:line="360" w:lineRule="auto"/>
              <w:jc w:val="both"/>
              <w:rPr>
                <w:rFonts w:cs="David"/>
                <w:sz w:val="26"/>
                <w:szCs w:val="26"/>
                <w:rtl/>
                <w:lang w:eastAsia="en-US"/>
              </w:rPr>
            </w:pPr>
            <w:r>
              <w:rPr>
                <w:rFonts w:cs="David"/>
                <w:sz w:val="26"/>
                <w:szCs w:val="26"/>
                <w:rtl/>
                <w:lang w:eastAsia="en-US"/>
              </w:rPr>
              <w:t xml:space="preserve">אמפטאמין- </w:t>
            </w:r>
            <w:r>
              <w:rPr>
                <w:sz w:val="26"/>
                <w:szCs w:val="26"/>
                <w:lang w:eastAsia="en-US"/>
              </w:rPr>
              <w:t>AMPHETAMINUM</w:t>
            </w:r>
            <w:r>
              <w:rPr>
                <w:rFonts w:cs="David"/>
                <w:sz w:val="26"/>
                <w:szCs w:val="26"/>
                <w:rtl/>
                <w:lang w:eastAsia="en-US"/>
              </w:rPr>
              <w:t>;</w:t>
            </w:r>
          </w:p>
          <w:p w:rsidR="00000000" w:rsidRDefault="00CD077A">
            <w:pPr>
              <w:spacing w:after="120" w:line="360" w:lineRule="auto"/>
              <w:jc w:val="both"/>
              <w:rPr>
                <w:rFonts w:cs="David"/>
                <w:sz w:val="26"/>
                <w:szCs w:val="26"/>
                <w:rtl/>
                <w:lang w:eastAsia="en-US"/>
              </w:rPr>
            </w:pPr>
            <w:r>
              <w:rPr>
                <w:rFonts w:cs="David"/>
                <w:sz w:val="26"/>
                <w:szCs w:val="26"/>
                <w:rtl/>
                <w:lang w:eastAsia="en-US"/>
              </w:rPr>
              <w:t>טריפט</w:t>
            </w:r>
            <w:r>
              <w:rPr>
                <w:rFonts w:cs="David"/>
                <w:sz w:val="26"/>
                <w:szCs w:val="26"/>
                <w:rtl/>
                <w:lang w:eastAsia="en-US"/>
              </w:rPr>
              <w:t xml:space="preserve">מין- </w:t>
            </w:r>
            <w:r>
              <w:rPr>
                <w:sz w:val="26"/>
                <w:szCs w:val="26"/>
                <w:lang w:eastAsia="en-US"/>
              </w:rPr>
              <w:t>TRYPTAMINUM</w:t>
            </w:r>
            <w:r>
              <w:rPr>
                <w:rFonts w:cs="David"/>
                <w:sz w:val="26"/>
                <w:szCs w:val="26"/>
                <w:rtl/>
                <w:lang w:eastAsia="en-US"/>
              </w:rPr>
              <w:t>;</w:t>
            </w:r>
          </w:p>
          <w:p w:rsidR="00000000" w:rsidRDefault="00CD077A">
            <w:pPr>
              <w:spacing w:after="120" w:line="360" w:lineRule="auto"/>
              <w:jc w:val="both"/>
              <w:rPr>
                <w:sz w:val="26"/>
                <w:szCs w:val="26"/>
                <w:lang w:eastAsia="en-US"/>
              </w:rPr>
            </w:pPr>
            <w:r>
              <w:rPr>
                <w:rFonts w:cs="David"/>
                <w:sz w:val="26"/>
                <w:szCs w:val="26"/>
                <w:rtl/>
                <w:lang w:eastAsia="en-US"/>
              </w:rPr>
              <w:t xml:space="preserve">פנטאניל- </w:t>
            </w:r>
            <w:r>
              <w:rPr>
                <w:sz w:val="26"/>
                <w:szCs w:val="26"/>
                <w:lang w:eastAsia="en-US"/>
              </w:rPr>
              <w:t>FENTANYLUM</w:t>
            </w:r>
            <w:r>
              <w:rPr>
                <w:rFonts w:cs="David"/>
                <w:sz w:val="26"/>
                <w:szCs w:val="26"/>
                <w:rtl/>
                <w:lang w:eastAsia="en-US"/>
              </w:rPr>
              <w:t>.</w:t>
            </w:r>
          </w:p>
        </w:tc>
      </w:tr>
    </w:tbl>
    <w:p w:rsidR="00000000" w:rsidRDefault="00CD077A">
      <w:pPr>
        <w:spacing w:line="360" w:lineRule="auto"/>
        <w:rPr>
          <w:rFonts w:cs="David"/>
          <w:sz w:val="26"/>
          <w:szCs w:val="26"/>
          <w:rtl/>
          <w:lang w:eastAsia="en-US"/>
        </w:rPr>
      </w:pPr>
    </w:p>
    <w:p w:rsidR="00000000" w:rsidRDefault="00CD077A">
      <w:pPr>
        <w:spacing w:line="360" w:lineRule="auto"/>
        <w:jc w:val="both"/>
        <w:rPr>
          <w:rFonts w:cs="David"/>
          <w:sz w:val="26"/>
          <w:szCs w:val="26"/>
          <w:rtl/>
          <w:lang w:eastAsia="en-US"/>
        </w:rPr>
      </w:pPr>
    </w:p>
    <w:p w:rsidR="00000000" w:rsidRDefault="00CD077A">
      <w:pPr>
        <w:keepNext/>
        <w:spacing w:line="360" w:lineRule="auto"/>
        <w:jc w:val="center"/>
        <w:outlineLvl w:val="1"/>
        <w:rPr>
          <w:rFonts w:cs="David"/>
          <w:b/>
          <w:bCs/>
          <w:sz w:val="28"/>
          <w:szCs w:val="28"/>
          <w:u w:val="single"/>
          <w:rtl/>
          <w:lang w:eastAsia="en-US"/>
        </w:rPr>
      </w:pPr>
      <w:r>
        <w:rPr>
          <w:rFonts w:cs="David"/>
          <w:b/>
          <w:bCs/>
          <w:sz w:val="28"/>
          <w:szCs w:val="28"/>
          <w:u w:val="single"/>
          <w:rtl/>
          <w:lang w:eastAsia="en-US"/>
        </w:rPr>
        <w:t>דברי - הסבר</w:t>
      </w:r>
    </w:p>
    <w:p w:rsidR="00000000" w:rsidRDefault="00CD077A">
      <w:pPr>
        <w:spacing w:line="360" w:lineRule="auto"/>
        <w:jc w:val="center"/>
        <w:rPr>
          <w:rFonts w:cs="David"/>
          <w:b/>
          <w:bCs/>
          <w:sz w:val="26"/>
          <w:szCs w:val="26"/>
          <w:u w:val="single"/>
          <w:rtl/>
          <w:lang w:eastAsia="en-US"/>
        </w:rPr>
      </w:pPr>
    </w:p>
    <w:p w:rsidR="00000000" w:rsidRDefault="00CD077A">
      <w:pPr>
        <w:spacing w:line="360" w:lineRule="auto"/>
        <w:jc w:val="both"/>
        <w:rPr>
          <w:rFonts w:cs="David"/>
          <w:sz w:val="26"/>
          <w:szCs w:val="26"/>
          <w:rtl/>
          <w:lang w:eastAsia="en-US"/>
        </w:rPr>
      </w:pPr>
      <w:r>
        <w:rPr>
          <w:rFonts w:cs="David"/>
          <w:sz w:val="26"/>
          <w:szCs w:val="26"/>
          <w:rtl/>
          <w:lang w:eastAsia="en-US"/>
        </w:rPr>
        <w:t>משך  הזמן הדרוש לשם הכללת חומר כסם מסוכן הוא כ-12 חודשים. שוק הסמים פועל באופן דינמי ומהיר ועד שחומר כלשהו נכלל בתוספת הראשונה לפקודת הסמים המסוכנים [נוסח חדש], התשל"ג-1973 (להלן – הפקודה), מצויים בשוק</w:t>
      </w:r>
      <w:r>
        <w:rPr>
          <w:rFonts w:cs="David"/>
          <w:sz w:val="26"/>
          <w:szCs w:val="26"/>
          <w:rtl/>
          <w:lang w:eastAsia="en-US"/>
        </w:rPr>
        <w:t xml:space="preserve"> כבר חומרים חדשים וכך מתקשים הגורמים האמונים על האכיפה לבצע את מלאכתם, ולא אחת עולה הדבר במחיר חיי אדם (כך גם קרה במקרה בו הכללת החומר הפעיל בתכשיר הנושא את השם "חגיגת" ארכה זמן רב ונסתיימה רק לאחר שצעירים רבים נפגעו כתוצאה משימוש בחומר זה).</w:t>
      </w:r>
    </w:p>
    <w:p w:rsidR="00000000" w:rsidRDefault="00CD077A">
      <w:pPr>
        <w:spacing w:line="360" w:lineRule="auto"/>
        <w:jc w:val="both"/>
        <w:rPr>
          <w:rFonts w:cs="David"/>
          <w:sz w:val="26"/>
          <w:szCs w:val="26"/>
          <w:rtl/>
          <w:lang w:eastAsia="en-US"/>
        </w:rPr>
      </w:pPr>
    </w:p>
    <w:p w:rsidR="00000000" w:rsidRDefault="00CD077A">
      <w:pPr>
        <w:spacing w:line="360" w:lineRule="auto"/>
        <w:jc w:val="both"/>
        <w:rPr>
          <w:rFonts w:cs="David"/>
          <w:sz w:val="26"/>
          <w:szCs w:val="26"/>
          <w:rtl/>
          <w:lang w:eastAsia="en-US"/>
        </w:rPr>
      </w:pPr>
      <w:r>
        <w:rPr>
          <w:rFonts w:cs="David"/>
          <w:sz w:val="26"/>
          <w:szCs w:val="26"/>
          <w:rtl/>
          <w:lang w:eastAsia="en-US"/>
        </w:rPr>
        <w:t>מטרת  שינוי ה</w:t>
      </w:r>
      <w:r>
        <w:rPr>
          <w:rFonts w:cs="David"/>
          <w:sz w:val="26"/>
          <w:szCs w:val="26"/>
          <w:rtl/>
          <w:lang w:eastAsia="en-US"/>
        </w:rPr>
        <w:t>פקודה היא יצירת הליך מקוצר שיאפשר להוסיף חומרים לפקודה , ולפרק זמן קצוב של שנה. במהלך אותו זמן יפעלו הגורמים המוסמכים להכללתו של החומר בפקודה על פי ההליך המקובל הקבוע בה.יצוין, כי בארה"ב קיים הליך המאפשר הכללתו של חומר כסם מסוכן לתקופה מוגבלת.</w:t>
      </w:r>
    </w:p>
    <w:p w:rsidR="00000000" w:rsidRDefault="00CD077A">
      <w:pPr>
        <w:spacing w:line="360" w:lineRule="auto"/>
        <w:jc w:val="both"/>
        <w:rPr>
          <w:rFonts w:cs="David"/>
          <w:sz w:val="26"/>
          <w:szCs w:val="26"/>
          <w:rtl/>
          <w:lang w:eastAsia="en-US"/>
        </w:rPr>
      </w:pPr>
    </w:p>
    <w:p w:rsidR="00000000" w:rsidRDefault="00CD077A">
      <w:pPr>
        <w:spacing w:line="360" w:lineRule="auto"/>
        <w:jc w:val="both"/>
        <w:rPr>
          <w:rFonts w:cs="David"/>
          <w:sz w:val="26"/>
          <w:szCs w:val="26"/>
          <w:rtl/>
          <w:lang w:eastAsia="en-US"/>
        </w:rPr>
      </w:pPr>
      <w:r>
        <w:rPr>
          <w:rFonts w:cs="David"/>
          <w:sz w:val="26"/>
          <w:szCs w:val="26"/>
          <w:rtl/>
          <w:lang w:eastAsia="en-US"/>
        </w:rPr>
        <w:t>עוד מוצע לה</w:t>
      </w:r>
      <w:r>
        <w:rPr>
          <w:rFonts w:cs="David"/>
          <w:sz w:val="26"/>
          <w:szCs w:val="26"/>
          <w:rtl/>
          <w:lang w:eastAsia="en-US"/>
        </w:rPr>
        <w:t>וסיף גם נגזרות כימיות של מספר חומרים בגדר הפקודה. חלק מן הסמים שייכים למשפחות חומרים כימיים הנגזרים מ"אבות משפחה כימיים" המוגדרים כבר כיום כסמים מסוכנים - כגון אמפטאמין, טריפטמין ופנטאניל, לאור הקלות ליצור סמים שהם נגזרות כימיות של אבות משפחה כימיים אלה, מ</w:t>
      </w:r>
      <w:r>
        <w:rPr>
          <w:rFonts w:cs="David"/>
          <w:sz w:val="26"/>
          <w:szCs w:val="26"/>
          <w:rtl/>
          <w:lang w:eastAsia="en-US"/>
        </w:rPr>
        <w:t>וצע לקבוע חזקה כי נגזרת כימית של אחד מאבות משפחה אלה תהווה סם מסוכן והוראות הפקודה יחולו עליה.</w:t>
      </w:r>
    </w:p>
    <w:p w:rsidR="00000000" w:rsidRDefault="00CD077A">
      <w:pPr>
        <w:spacing w:line="360" w:lineRule="auto"/>
        <w:jc w:val="both"/>
        <w:rPr>
          <w:rFonts w:cs="David"/>
          <w:sz w:val="26"/>
          <w:szCs w:val="26"/>
          <w:rtl/>
          <w:lang w:eastAsia="en-US"/>
        </w:rPr>
      </w:pPr>
    </w:p>
    <w:p w:rsidR="00000000" w:rsidRDefault="00CD077A">
      <w:pPr>
        <w:spacing w:line="360" w:lineRule="auto"/>
        <w:jc w:val="both"/>
        <w:rPr>
          <w:rFonts w:cs="David"/>
          <w:sz w:val="26"/>
          <w:szCs w:val="26"/>
          <w:rtl/>
          <w:lang w:eastAsia="en-US"/>
        </w:rPr>
      </w:pPr>
      <w:r>
        <w:rPr>
          <w:rFonts w:cs="David"/>
          <w:sz w:val="26"/>
          <w:szCs w:val="26"/>
          <w:rtl/>
          <w:lang w:eastAsia="en-US"/>
        </w:rPr>
        <w:t>אם לא יסתיימו הליכי החקיקה בתוך התקופה הקצובה, תפקע ההכרזה והחומר לא ייכלל עוד בתוספת הראשונה לפקודה, אלא אם כן העיכוב הוא בשל העובדה שהועדה הנוגעת בדבר בכנסת א</w:t>
      </w:r>
      <w:r>
        <w:rPr>
          <w:rFonts w:cs="David"/>
          <w:sz w:val="26"/>
          <w:szCs w:val="26"/>
          <w:rtl/>
          <w:lang w:eastAsia="en-US"/>
        </w:rPr>
        <w:t>ינה מתכנסת, ובמקרה כזה מוצע ששר הבריאות יהיה רשאי להאריך את תוקף ההכרזה בששה חודשים נוספים.</w:t>
      </w:r>
    </w:p>
    <w:p w:rsidR="00000000" w:rsidRDefault="00CD077A">
      <w:pPr>
        <w:spacing w:line="360" w:lineRule="auto"/>
        <w:rPr>
          <w:rtl/>
          <w:lang w:eastAsia="en-US"/>
        </w:rPr>
      </w:pPr>
    </w:p>
    <w:p w:rsidR="00000000" w:rsidRDefault="00CD077A">
      <w:pPr>
        <w:spacing w:line="360" w:lineRule="auto"/>
        <w:jc w:val="both"/>
        <w:rPr>
          <w:rFonts w:cs="David"/>
          <w:sz w:val="26"/>
          <w:szCs w:val="26"/>
          <w:rtl/>
          <w:lang w:eastAsia="en-US"/>
        </w:rPr>
      </w:pPr>
      <w:r>
        <w:rPr>
          <w:rFonts w:cs="David"/>
          <w:sz w:val="26"/>
          <w:szCs w:val="26"/>
          <w:rtl/>
          <w:lang w:eastAsia="en-US"/>
        </w:rPr>
        <w:t xml:space="preserve">הצעת חוק דומה בעיקרה הונחה על שולחן הכנסת השש-עשרה על-ידי חבר הכנסת יחיאל חזן (פ/3821).  </w:t>
      </w:r>
    </w:p>
    <w:p w:rsidR="00000000" w:rsidRDefault="00CD077A">
      <w:pPr>
        <w:spacing w:line="360" w:lineRule="auto"/>
        <w:rPr>
          <w:rtl/>
        </w:rPr>
      </w:pPr>
    </w:p>
    <w:p w:rsidR="00000000" w:rsidRDefault="00CD077A">
      <w:pPr>
        <w:pStyle w:val="a3"/>
        <w:spacing w:line="360" w:lineRule="auto"/>
        <w:jc w:val="left"/>
        <w:rPr>
          <w:rFonts w:cs="David"/>
          <w:u w:val="none"/>
          <w:rtl/>
        </w:rPr>
      </w:pPr>
    </w:p>
    <w:p w:rsidR="00000000" w:rsidRDefault="00CD077A">
      <w:pPr>
        <w:pStyle w:val="a3"/>
        <w:spacing w:line="360" w:lineRule="auto"/>
        <w:jc w:val="left"/>
        <w:rPr>
          <w:rFonts w:cs="David"/>
          <w:u w:val="none"/>
          <w:rtl/>
        </w:rPr>
      </w:pPr>
    </w:p>
    <w:p w:rsidR="00000000" w:rsidRDefault="00CD077A">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CD077A">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CD077A">
      <w:pPr>
        <w:pStyle w:val="a3"/>
        <w:spacing w:line="360" w:lineRule="auto"/>
        <w:jc w:val="left"/>
        <w:rPr>
          <w:rFonts w:cs="David"/>
          <w:b w:val="0"/>
          <w:bCs w:val="0"/>
          <w:sz w:val="26"/>
          <w:szCs w:val="26"/>
          <w:u w:val="none"/>
          <w:rtl/>
        </w:rPr>
      </w:pPr>
      <w:r>
        <w:rPr>
          <w:rFonts w:cs="David"/>
          <w:b w:val="0"/>
          <w:bCs w:val="0"/>
          <w:sz w:val="26"/>
          <w:szCs w:val="26"/>
          <w:u w:val="none"/>
          <w:rtl/>
        </w:rPr>
        <w:t xml:space="preserve">והונחה על </w:t>
      </w:r>
      <w:r>
        <w:rPr>
          <w:rFonts w:cs="David"/>
          <w:b w:val="0"/>
          <w:bCs w:val="0"/>
          <w:sz w:val="26"/>
          <w:szCs w:val="26"/>
          <w:u w:val="none"/>
          <w:rtl/>
        </w:rPr>
        <w:t>שולחן הכנסת ביום</w:t>
      </w:r>
    </w:p>
    <w:p w:rsidR="00000000" w:rsidRDefault="00CD077A">
      <w:pPr>
        <w:pStyle w:val="a3"/>
        <w:spacing w:line="360" w:lineRule="auto"/>
        <w:jc w:val="left"/>
        <w:rPr>
          <w:rFonts w:cs="David"/>
          <w:b w:val="0"/>
          <w:bCs w:val="0"/>
          <w:sz w:val="26"/>
          <w:szCs w:val="26"/>
          <w:u w:val="none"/>
          <w:rtl/>
        </w:rPr>
      </w:pPr>
      <w:r>
        <w:rPr>
          <w:rFonts w:cs="David"/>
          <w:b w:val="0"/>
          <w:bCs w:val="0"/>
          <w:sz w:val="26"/>
          <w:szCs w:val="26"/>
          <w:u w:val="none"/>
          <w:rtl/>
        </w:rPr>
        <w:t>ל' בסיוון התשס"ו - 26.6.06</w:t>
      </w:r>
    </w:p>
    <w:p w:rsidR="00000000" w:rsidRDefault="00CD077A">
      <w:pPr>
        <w:pStyle w:val="a3"/>
        <w:spacing w:line="360" w:lineRule="auto"/>
        <w:jc w:val="left"/>
        <w:rPr>
          <w:rFonts w:cs="David"/>
          <w:b w:val="0"/>
          <w:bCs w:val="0"/>
          <w:sz w:val="26"/>
          <w:szCs w:val="26"/>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D077A">
      <w:r>
        <w:separator/>
      </w:r>
    </w:p>
  </w:endnote>
  <w:endnote w:type="continuationSeparator" w:id="0">
    <w:p w:rsidR="00000000" w:rsidRDefault="00CD0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D077A">
      <w:r>
        <w:separator/>
      </w:r>
    </w:p>
  </w:footnote>
  <w:footnote w:type="continuationSeparator" w:id="0">
    <w:p w:rsidR="00000000" w:rsidRDefault="00CD077A">
      <w:r>
        <w:continuationSeparator/>
      </w:r>
    </w:p>
  </w:footnote>
  <w:footnote w:id="1">
    <w:p w:rsidR="00000000" w:rsidRDefault="00CD077A">
      <w:pPr>
        <w:pStyle w:val="a8"/>
      </w:pPr>
      <w:r>
        <w:rPr>
          <w:rStyle w:val="aa"/>
          <w:rFonts w:cs="David"/>
        </w:rPr>
        <w:footnoteRef/>
      </w:r>
      <w:r>
        <w:rPr>
          <w:rFonts w:cs="David"/>
          <w:rtl/>
        </w:rPr>
        <w:t xml:space="preserve"> דיני מדינת ישראל, נוסח חדש 27, עמ' 526.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077A">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CD077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4480ùìîä áøæðéõ - ô÷åãú äñîéí äîñåëðéí (äëøæä òì ñí îñåëï).doc"/>
    <w:docVar w:name="StartMode" w:val="2"/>
  </w:docVars>
  <w:rsids>
    <w:rsidRoot w:val="00CD077A"/>
    <w:rsid w:val="00CD0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jc w:val="center"/>
      <w:outlineLvl w:val="1"/>
    </w:pPr>
    <w:rPr>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453</Words>
  <Characters>2265</Characters>
  <Application>Microsoft Office Word</Application>
  <DocSecurity>0</DocSecurity>
  <Lines>18</Lines>
  <Paragraphs>5</Paragraphs>
  <ScaleCrop>false</ScaleCrop>
  <Company>knesset</Company>
  <LinksUpToDate>false</LinksUpToDate>
  <CharactersWithSpaces>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הסמים המסוכנים (הכרזה על סם מסוכן), התשס"ו-2006</dc:title>
  <dc:subject/>
  <dc:creator>Knesset</dc:creator>
  <cp:keywords/>
  <dc:description/>
  <cp:lastModifiedBy>שמואל כוכב</cp:lastModifiedBy>
  <cp:revision>2</cp:revision>
  <dcterms:created xsi:type="dcterms:W3CDTF">2015-02-03T19:28:00Z</dcterms:created>
  <dcterms:modified xsi:type="dcterms:W3CDTF">2015-02-03T19:28:00Z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שלמה ברזניץ</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03472306</vt:lpwstr>
  </property>
  <property fmtid="{D5CDD505-2E9C-101B-9397-08002B2CF9AE}" pid="10" name="מספר הצעת חוק למיון">
    <vt:lpwstr>783</vt:lpwstr>
  </property>
  <property fmtid="{D5CDD505-2E9C-101B-9397-08002B2CF9AE}" pid="11" name="SDDocDate">
    <vt:lpwstr>2006-06-22T00:00:00Z</vt:lpwstr>
  </property>
  <property fmtid="{D5CDD505-2E9C-101B-9397-08002B2CF9AE}" pid="12" name="SDHebDate">
    <vt:lpwstr>כ"ו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פ/783/17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