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2A3D">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2E2A3D">
      <w:pPr>
        <w:spacing w:line="360" w:lineRule="auto"/>
        <w:rPr>
          <w:rFonts w:cs="David"/>
          <w:sz w:val="26"/>
          <w:szCs w:val="26"/>
          <w:rtl/>
        </w:rPr>
      </w:pPr>
    </w:p>
    <w:tbl>
      <w:tblPr>
        <w:bidiVisual/>
        <w:tblW w:w="0" w:type="auto"/>
        <w:tblInd w:w="195" w:type="dxa"/>
        <w:tblBorders>
          <w:bottom w:val="single" w:sz="4" w:space="0" w:color="auto"/>
        </w:tblBorders>
        <w:tblLook w:val="0000" w:firstRow="0" w:lastRow="0" w:firstColumn="0" w:lastColumn="0" w:noHBand="0" w:noVBand="0"/>
      </w:tblPr>
      <w:tblGrid>
        <w:gridCol w:w="4072"/>
      </w:tblGrid>
      <w:tr w:rsidR="00000000">
        <w:tc>
          <w:tcPr>
            <w:tcW w:w="4072" w:type="dxa"/>
            <w:tcBorders>
              <w:top w:val="nil"/>
              <w:left w:val="nil"/>
              <w:bottom w:val="single" w:sz="4" w:space="0" w:color="auto"/>
              <w:right w:val="nil"/>
            </w:tcBorders>
          </w:tcPr>
          <w:p w:rsidR="00000000" w:rsidRDefault="002E2A3D">
            <w:pPr>
              <w:spacing w:after="120"/>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סילבן שלום</w:t>
            </w:r>
          </w:p>
        </w:tc>
      </w:tr>
    </w:tbl>
    <w:p w:rsidR="00000000" w:rsidRDefault="002E2A3D">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 xml:space="preserve">                                                   פ/1548/17</w:t>
      </w:r>
    </w:p>
    <w:p w:rsidR="00000000" w:rsidRDefault="002E2A3D">
      <w:pPr>
        <w:spacing w:line="360" w:lineRule="auto"/>
        <w:rPr>
          <w:rFonts w:cs="David"/>
          <w:sz w:val="26"/>
          <w:szCs w:val="26"/>
          <w:rtl/>
        </w:rPr>
      </w:pPr>
    </w:p>
    <w:p w:rsidR="00000000" w:rsidRDefault="002E2A3D">
      <w:pPr>
        <w:spacing w:line="360" w:lineRule="auto"/>
        <w:jc w:val="center"/>
        <w:rPr>
          <w:rFonts w:cs="David"/>
          <w:b/>
          <w:bCs/>
          <w:sz w:val="28"/>
          <w:szCs w:val="28"/>
          <w:rtl/>
        </w:rPr>
      </w:pPr>
      <w:r>
        <w:rPr>
          <w:rFonts w:cs="David"/>
          <w:b/>
          <w:bCs/>
          <w:sz w:val="28"/>
          <w:szCs w:val="28"/>
          <w:rtl/>
        </w:rPr>
        <w:t>הצעת חוק העברת ניירות ערך לנאמנות על י</w:t>
      </w:r>
      <w:r>
        <w:rPr>
          <w:rFonts w:cs="David"/>
          <w:b/>
          <w:bCs/>
          <w:sz w:val="28"/>
          <w:szCs w:val="28"/>
          <w:rtl/>
        </w:rPr>
        <w:t>די נושא משרה ציבורית, התשס"ו-2006</w:t>
      </w:r>
    </w:p>
    <w:p w:rsidR="00000000" w:rsidRDefault="002E2A3D">
      <w:pPr>
        <w:spacing w:line="360" w:lineRule="auto"/>
        <w:rPr>
          <w:rFonts w:cs="David"/>
          <w:sz w:val="26"/>
          <w:szCs w:val="26"/>
          <w:rtl/>
        </w:rPr>
      </w:pPr>
    </w:p>
    <w:tbl>
      <w:tblPr>
        <w:bidiVisual/>
        <w:tblW w:w="0" w:type="auto"/>
        <w:tblInd w:w="57" w:type="dxa"/>
        <w:tblCellMar>
          <w:left w:w="57" w:type="dxa"/>
          <w:right w:w="57" w:type="dxa"/>
        </w:tblCellMar>
        <w:tblLook w:val="0000" w:firstRow="0" w:lastRow="0" w:firstColumn="0" w:lastColumn="0" w:noHBand="0" w:noVBand="0"/>
      </w:tblPr>
      <w:tblGrid>
        <w:gridCol w:w="921"/>
        <w:gridCol w:w="533"/>
        <w:gridCol w:w="481"/>
        <w:gridCol w:w="82"/>
        <w:gridCol w:w="503"/>
        <w:gridCol w:w="5940"/>
      </w:tblGrid>
      <w:tr w:rsidR="00000000">
        <w:trPr>
          <w:cantSplit/>
          <w:trHeight w:val="1211"/>
        </w:trPr>
        <w:tc>
          <w:tcPr>
            <w:tcW w:w="921" w:type="dxa"/>
            <w:vMerge w:val="restart"/>
            <w:tcBorders>
              <w:top w:val="nil"/>
              <w:left w:val="nil"/>
              <w:bottom w:val="nil"/>
              <w:right w:val="nil"/>
            </w:tcBorders>
          </w:tcPr>
          <w:p w:rsidR="00000000" w:rsidRDefault="002E2A3D">
            <w:pPr>
              <w:spacing w:after="120"/>
              <w:rPr>
                <w:rFonts w:cs="David"/>
                <w:sz w:val="26"/>
                <w:szCs w:val="26"/>
              </w:rPr>
            </w:pPr>
            <w:r>
              <w:rPr>
                <w:rFonts w:cs="David"/>
                <w:sz w:val="26"/>
                <w:szCs w:val="26"/>
                <w:rtl/>
              </w:rPr>
              <w:t>הגדרות</w:t>
            </w:r>
          </w:p>
        </w:tc>
        <w:tc>
          <w:tcPr>
            <w:tcW w:w="533" w:type="dxa"/>
            <w:vMerge w:val="restart"/>
            <w:tcBorders>
              <w:top w:val="nil"/>
              <w:left w:val="nil"/>
              <w:bottom w:val="nil"/>
              <w:right w:val="nil"/>
            </w:tcBorders>
          </w:tcPr>
          <w:p w:rsidR="00000000" w:rsidRDefault="002E2A3D">
            <w:pPr>
              <w:spacing w:after="120" w:line="360" w:lineRule="auto"/>
              <w:rPr>
                <w:rFonts w:cs="David"/>
                <w:sz w:val="26"/>
                <w:szCs w:val="26"/>
              </w:rPr>
            </w:pPr>
            <w:r>
              <w:rPr>
                <w:rFonts w:cs="David"/>
                <w:sz w:val="26"/>
                <w:szCs w:val="26"/>
                <w:rtl/>
              </w:rPr>
              <w:t>1.</w:t>
            </w: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"נושא משרה" – נשיא המדינה, שרי ממשלה, סגני שרים, חברי כנסת, רמטכ"ל, מפכ"ל משטרה, נגיד בנק ישראל, משנה לנגיד בנק ישראל, פקידים בכירים במשרד האוצר בדרגת מנכ"ל;</w:t>
            </w:r>
          </w:p>
          <w:p w:rsidR="00000000" w:rsidRDefault="002E2A3D">
            <w:pPr>
              <w:spacing w:line="360" w:lineRule="auto"/>
              <w:jc w:val="both"/>
              <w:rPr>
                <w:rFonts w:cs="David"/>
                <w:sz w:val="26"/>
                <w:szCs w:val="26"/>
              </w:rPr>
            </w:pPr>
          </w:p>
        </w:tc>
      </w:tr>
      <w:tr w:rsidR="00000000">
        <w:trPr>
          <w:cantSplit/>
          <w:trHeight w:val="546"/>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"בן משפחה" - בן זוג, ילד קטין, או כל קרוב שפרנסתו</w:t>
            </w:r>
            <w:r>
              <w:rPr>
                <w:rFonts w:cs="David"/>
                <w:sz w:val="26"/>
                <w:szCs w:val="26"/>
                <w:rtl/>
              </w:rPr>
              <w:t xml:space="preserve"> על בעל המשרה;  </w:t>
            </w:r>
          </w:p>
          <w:p w:rsidR="00000000" w:rsidRDefault="002E2A3D">
            <w:pPr>
              <w:spacing w:line="360" w:lineRule="auto"/>
              <w:jc w:val="both"/>
              <w:rPr>
                <w:rFonts w:cs="David"/>
                <w:sz w:val="26"/>
                <w:szCs w:val="26"/>
                <w:rtl/>
              </w:rPr>
            </w:pPr>
          </w:p>
        </w:tc>
      </w:tr>
      <w:tr w:rsidR="00000000">
        <w:trPr>
          <w:cantSplit/>
          <w:trHeight w:val="1174"/>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 xml:space="preserve">"חבר בני-אדם" - כל גוף של שני בני-אדם או יותר, בין מואגד ובין שלא מואגד, חברה, אגודה שיתופית, שותפות, אגודה עותמאנית, התאחדות וכל גוף שנוסד על-פי כל דין; </w:t>
            </w:r>
          </w:p>
          <w:p w:rsidR="00000000" w:rsidRDefault="002E2A3D">
            <w:pPr>
              <w:spacing w:line="360" w:lineRule="auto"/>
              <w:jc w:val="both"/>
              <w:rPr>
                <w:rFonts w:cs="David"/>
                <w:sz w:val="26"/>
                <w:szCs w:val="26"/>
                <w:rtl/>
              </w:rPr>
            </w:pPr>
          </w:p>
        </w:tc>
      </w:tr>
      <w:tr w:rsidR="00000000">
        <w:trPr>
          <w:cantSplit/>
          <w:trHeight w:val="1258"/>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"כספים" - פיקדונות לסוגיהם השונים, בסכום העולה על הסכום הקובע, במטבע ישראלי</w:t>
            </w:r>
            <w:r>
              <w:rPr>
                <w:rFonts w:cs="David"/>
                <w:sz w:val="26"/>
                <w:szCs w:val="26"/>
                <w:rtl/>
              </w:rPr>
              <w:t>, במטבע חוץ או באגרות חוב המונפקות לפי חוק מילווה קצר מועד, התשמ"ד- 1984</w:t>
            </w:r>
            <w:r>
              <w:rPr>
                <w:rStyle w:val="aa"/>
                <w:rFonts w:cs="David"/>
                <w:sz w:val="26"/>
                <w:szCs w:val="26"/>
                <w:rtl/>
              </w:rPr>
              <w:footnoteReference w:id="1"/>
            </w:r>
            <w:r>
              <w:rPr>
                <w:rFonts w:cs="David"/>
                <w:sz w:val="26"/>
                <w:szCs w:val="26"/>
                <w:rtl/>
              </w:rPr>
              <w:t>, בכל סוג השקעה, למעט בתוכניות חיסכון, בקרנות השתלמות ובקופות גמל;</w:t>
            </w:r>
          </w:p>
          <w:p w:rsidR="00000000" w:rsidRDefault="002E2A3D">
            <w:pPr>
              <w:spacing w:line="360" w:lineRule="auto"/>
              <w:jc w:val="both"/>
              <w:rPr>
                <w:rFonts w:cs="David"/>
                <w:sz w:val="26"/>
                <w:szCs w:val="26"/>
                <w:rtl/>
              </w:rPr>
            </w:pPr>
          </w:p>
        </w:tc>
      </w:tr>
      <w:tr w:rsidR="00000000">
        <w:trPr>
          <w:cantSplit/>
          <w:trHeight w:val="1309"/>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pStyle w:val="NormalWeb"/>
              <w:keepLines/>
              <w:widowControl w:val="0"/>
              <w:bidi/>
              <w:spacing w:before="0" w:beforeAutospacing="0" w:after="0" w:afterAutospacing="0" w:line="360" w:lineRule="auto"/>
              <w:jc w:val="both"/>
              <w:rPr>
                <w:rFonts w:cs="David"/>
                <w:sz w:val="26"/>
                <w:szCs w:val="26"/>
                <w:rtl/>
              </w:rPr>
            </w:pPr>
            <w:r>
              <w:rPr>
                <w:rFonts w:cs="David"/>
                <w:sz w:val="26"/>
                <w:szCs w:val="26"/>
                <w:rtl/>
              </w:rPr>
              <w:t>"הסכום הקובע" - 200,000 שקלים חדשים; הסכום האמור יהיה צמוד למדד המחירים לצרכן (להלן - המדד</w:t>
            </w:r>
            <w:r>
              <w:rPr>
                <w:rFonts w:cs="David"/>
                <w:sz w:val="26"/>
                <w:szCs w:val="26"/>
                <w:rtl/>
              </w:rPr>
              <w:t>) וישתנה ב-1 בפברואר של כל שנה (להלן - יום השינוי) לפי שיעור עליית המדד שפורסם לאחרונה לפני יום השינוי הקודם; מזכיר הממשלה יפרסם את הסכום שעודכן כאמור בהודעה ברשומות;</w:t>
            </w:r>
          </w:p>
          <w:p w:rsidR="00000000" w:rsidRDefault="002E2A3D">
            <w:pPr>
              <w:pStyle w:val="NormalWeb"/>
              <w:keepLines/>
              <w:widowControl w:val="0"/>
              <w:bidi/>
              <w:spacing w:before="0" w:beforeAutospacing="0" w:after="0" w:afterAutospacing="0" w:line="360" w:lineRule="auto"/>
              <w:jc w:val="both"/>
              <w:rPr>
                <w:rFonts w:cs="David"/>
                <w:sz w:val="26"/>
                <w:szCs w:val="26"/>
                <w:rtl/>
              </w:rPr>
            </w:pPr>
            <w:r>
              <w:rPr>
                <w:rFonts w:cs="David"/>
                <w:sz w:val="26"/>
                <w:szCs w:val="26"/>
                <w:rtl/>
              </w:rPr>
              <w:t xml:space="preserve"> </w:t>
            </w:r>
          </w:p>
        </w:tc>
      </w:tr>
      <w:tr w:rsidR="00000000">
        <w:trPr>
          <w:cantSplit/>
          <w:trHeight w:val="360"/>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"ניירות ערך" - תעודות המונפקות בסדרות על ידי תאגיד ומקנות זכות חברות, השתתפות או תבי</w:t>
            </w:r>
            <w:r>
              <w:rPr>
                <w:rFonts w:cs="David"/>
                <w:sz w:val="26"/>
                <w:szCs w:val="26"/>
                <w:rtl/>
              </w:rPr>
              <w:t>עה בו, בין אם הן על שם ובין למוכ"ז, לרבות ניירות-ערך שמנפיקה המדינה, אופציות וחוזים עתידיים כמשמעותם בחוק השקעות משותפות בנאמנות, התשנ"ד-1994</w:t>
            </w:r>
            <w:r>
              <w:rPr>
                <w:rStyle w:val="aa"/>
                <w:rFonts w:cs="David"/>
                <w:sz w:val="26"/>
                <w:szCs w:val="26"/>
                <w:rtl/>
              </w:rPr>
              <w:footnoteReference w:id="2"/>
            </w:r>
            <w:r>
              <w:rPr>
                <w:rFonts w:cs="David"/>
                <w:sz w:val="26"/>
                <w:szCs w:val="26"/>
                <w:rtl/>
              </w:rPr>
              <w:t xml:space="preserve">;  </w:t>
            </w:r>
          </w:p>
          <w:p w:rsidR="00000000" w:rsidRDefault="002E2A3D">
            <w:pPr>
              <w:spacing w:line="360" w:lineRule="auto"/>
              <w:jc w:val="both"/>
              <w:rPr>
                <w:rFonts w:cs="David"/>
                <w:sz w:val="26"/>
                <w:szCs w:val="26"/>
                <w:rtl/>
              </w:rPr>
            </w:pPr>
          </w:p>
        </w:tc>
      </w:tr>
      <w:tr w:rsidR="00000000">
        <w:trPr>
          <w:cantSplit/>
          <w:trHeight w:val="110"/>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 xml:space="preserve">"ענין אישי" - לרבות ענין אישי של נושא המשרה; </w:t>
            </w:r>
          </w:p>
          <w:p w:rsidR="00000000" w:rsidRDefault="002E2A3D">
            <w:pPr>
              <w:spacing w:line="360" w:lineRule="auto"/>
              <w:jc w:val="both"/>
              <w:rPr>
                <w:rFonts w:cs="David"/>
                <w:sz w:val="26"/>
                <w:szCs w:val="26"/>
                <w:rtl/>
              </w:rPr>
            </w:pPr>
          </w:p>
        </w:tc>
      </w:tr>
      <w:tr w:rsidR="00000000">
        <w:trPr>
          <w:cantSplit/>
          <w:trHeight w:val="110"/>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"עסק" - לרבות משלח-יד, מקצוע, מסח</w:t>
            </w:r>
            <w:r>
              <w:rPr>
                <w:rFonts w:cs="David"/>
                <w:sz w:val="26"/>
                <w:szCs w:val="26"/>
                <w:rtl/>
              </w:rPr>
              <w:t xml:space="preserve">ר, מלאכה, חקלאות או תעשיה;   </w:t>
            </w:r>
          </w:p>
          <w:p w:rsidR="00000000" w:rsidRDefault="002E2A3D">
            <w:pPr>
              <w:spacing w:line="360" w:lineRule="auto"/>
              <w:jc w:val="both"/>
              <w:rPr>
                <w:rFonts w:cs="David"/>
                <w:sz w:val="26"/>
                <w:szCs w:val="26"/>
                <w:rtl/>
              </w:rPr>
            </w:pPr>
          </w:p>
        </w:tc>
      </w:tr>
      <w:tr w:rsidR="00000000">
        <w:trPr>
          <w:cantSplit/>
          <w:trHeight w:val="231"/>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 xml:space="preserve">"קרוב" - </w:t>
            </w:r>
          </w:p>
        </w:tc>
      </w:tr>
      <w:tr w:rsidR="00000000">
        <w:trPr>
          <w:cantSplit/>
          <w:trHeight w:val="910"/>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563" w:type="dxa"/>
            <w:gridSpan w:val="2"/>
            <w:tcBorders>
              <w:top w:val="nil"/>
              <w:left w:val="nil"/>
              <w:bottom w:val="nil"/>
              <w:right w:val="nil"/>
            </w:tcBorders>
          </w:tcPr>
          <w:p w:rsidR="00000000" w:rsidRDefault="002E2A3D">
            <w:pPr>
              <w:spacing w:line="360" w:lineRule="auto"/>
              <w:rPr>
                <w:rFonts w:cs="David"/>
                <w:sz w:val="26"/>
                <w:szCs w:val="26"/>
                <w:rtl/>
              </w:rPr>
            </w:pPr>
            <w:r>
              <w:rPr>
                <w:rFonts w:cs="David"/>
                <w:sz w:val="26"/>
                <w:szCs w:val="26"/>
                <w:rtl/>
              </w:rPr>
              <w:t>(א)</w:t>
            </w:r>
          </w:p>
        </w:tc>
        <w:tc>
          <w:tcPr>
            <w:tcW w:w="6443" w:type="dxa"/>
            <w:gridSpan w:val="2"/>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 xml:space="preserve">בן-זוג, הורה, הורי הורה, אח, אחות, צאצא וצאצאי בן-הזוג, בן-זוגו של אחד מאלה, צאצא של אח או אחות, ואח או אחות של הורה;  </w:t>
            </w:r>
          </w:p>
        </w:tc>
      </w:tr>
      <w:tr w:rsidR="00000000">
        <w:trPr>
          <w:cantSplit/>
          <w:trHeight w:val="910"/>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563" w:type="dxa"/>
            <w:gridSpan w:val="2"/>
            <w:tcBorders>
              <w:top w:val="nil"/>
              <w:left w:val="nil"/>
              <w:bottom w:val="nil"/>
              <w:right w:val="nil"/>
            </w:tcBorders>
          </w:tcPr>
          <w:p w:rsidR="00000000" w:rsidRDefault="002E2A3D">
            <w:pPr>
              <w:spacing w:line="360" w:lineRule="auto"/>
              <w:rPr>
                <w:rFonts w:cs="David"/>
                <w:sz w:val="26"/>
                <w:szCs w:val="26"/>
                <w:rtl/>
              </w:rPr>
            </w:pPr>
            <w:r>
              <w:rPr>
                <w:rFonts w:cs="David"/>
                <w:sz w:val="26"/>
                <w:szCs w:val="26"/>
                <w:rtl/>
              </w:rPr>
              <w:t xml:space="preserve">(ב)  </w:t>
            </w:r>
          </w:p>
          <w:p w:rsidR="00000000" w:rsidRDefault="002E2A3D">
            <w:pPr>
              <w:spacing w:line="360" w:lineRule="auto"/>
              <w:rPr>
                <w:rFonts w:cs="David"/>
                <w:sz w:val="26"/>
                <w:szCs w:val="26"/>
                <w:rtl/>
              </w:rPr>
            </w:pPr>
          </w:p>
        </w:tc>
        <w:tc>
          <w:tcPr>
            <w:tcW w:w="6443" w:type="dxa"/>
            <w:gridSpan w:val="2"/>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כל אדם אחר שיש לנושא המשרה עניין אישי במצבו הכלכלי;</w:t>
            </w:r>
          </w:p>
        </w:tc>
      </w:tr>
      <w:tr w:rsidR="00000000">
        <w:trPr>
          <w:cantSplit/>
          <w:trHeight w:val="110"/>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"שליטה" - כל זכות הק</w:t>
            </w:r>
            <w:r>
              <w:rPr>
                <w:rFonts w:cs="David"/>
                <w:sz w:val="26"/>
                <w:szCs w:val="26"/>
                <w:rtl/>
              </w:rPr>
              <w:t xml:space="preserve">יימת לאדם לבדו או ביחד עם קרובו ל- 10% לפחות מהון המניות, או ל-10% לפחות מכוח ההצבעה, או בזכות לקבל 10% לפחות מהרווחים או למנות מנהל של כל חבר-בני-אדם;  </w:t>
            </w:r>
          </w:p>
          <w:p w:rsidR="00000000" w:rsidRDefault="002E2A3D">
            <w:pPr>
              <w:spacing w:line="360" w:lineRule="auto"/>
              <w:jc w:val="both"/>
              <w:rPr>
                <w:rFonts w:cs="David"/>
                <w:sz w:val="26"/>
                <w:szCs w:val="26"/>
                <w:rtl/>
              </w:rPr>
            </w:pPr>
          </w:p>
        </w:tc>
      </w:tr>
      <w:tr w:rsidR="00000000">
        <w:trPr>
          <w:trHeight w:val="963"/>
        </w:trPr>
        <w:tc>
          <w:tcPr>
            <w:tcW w:w="921" w:type="dxa"/>
            <w:tcBorders>
              <w:top w:val="nil"/>
              <w:left w:val="nil"/>
              <w:bottom w:val="nil"/>
              <w:right w:val="nil"/>
            </w:tcBorders>
          </w:tcPr>
          <w:p w:rsidR="00000000" w:rsidRDefault="002E2A3D">
            <w:pPr>
              <w:spacing w:after="120"/>
              <w:rPr>
                <w:rFonts w:cs="David"/>
                <w:sz w:val="26"/>
                <w:szCs w:val="26"/>
              </w:rPr>
            </w:pPr>
            <w:r>
              <w:rPr>
                <w:rFonts w:cs="David"/>
                <w:sz w:val="26"/>
                <w:szCs w:val="26"/>
                <w:rtl/>
              </w:rPr>
              <w:t>מטרה</w:t>
            </w:r>
          </w:p>
        </w:tc>
        <w:tc>
          <w:tcPr>
            <w:tcW w:w="533" w:type="dxa"/>
            <w:tcBorders>
              <w:top w:val="nil"/>
              <w:left w:val="nil"/>
              <w:bottom w:val="nil"/>
              <w:right w:val="nil"/>
            </w:tcBorders>
          </w:tcPr>
          <w:p w:rsidR="00000000" w:rsidRDefault="002E2A3D">
            <w:pPr>
              <w:spacing w:after="120" w:line="360" w:lineRule="auto"/>
              <w:rPr>
                <w:rFonts w:cs="David"/>
                <w:sz w:val="26"/>
                <w:szCs w:val="26"/>
              </w:rPr>
            </w:pPr>
            <w:r>
              <w:rPr>
                <w:rFonts w:cs="David"/>
                <w:sz w:val="26"/>
                <w:szCs w:val="26"/>
                <w:rtl/>
              </w:rPr>
              <w:t>2.</w:t>
            </w:r>
          </w:p>
        </w:tc>
        <w:tc>
          <w:tcPr>
            <w:tcW w:w="7006" w:type="dxa"/>
            <w:gridSpan w:val="4"/>
            <w:tcBorders>
              <w:top w:val="nil"/>
              <w:left w:val="nil"/>
              <w:bottom w:val="nil"/>
              <w:right w:val="nil"/>
            </w:tcBorders>
          </w:tcPr>
          <w:p w:rsidR="00000000" w:rsidRDefault="002E2A3D">
            <w:pPr>
              <w:pStyle w:val="NormalWeb"/>
              <w:bidi/>
              <w:spacing w:line="360" w:lineRule="auto"/>
              <w:jc w:val="both"/>
              <w:rPr>
                <w:rFonts w:cs="David"/>
                <w:sz w:val="26"/>
                <w:szCs w:val="26"/>
                <w:rtl/>
              </w:rPr>
            </w:pPr>
            <w:r>
              <w:rPr>
                <w:rFonts w:cs="David"/>
                <w:sz w:val="26"/>
                <w:szCs w:val="26"/>
                <w:rtl/>
              </w:rPr>
              <w:t>מטרת החוק למנוע ניגודי עניינים ומילוי תפקיד ללא משוא פנים מבעל משרה ציבורית מול ענייניו הפרט</w:t>
            </w:r>
            <w:r>
              <w:rPr>
                <w:rFonts w:cs="David"/>
                <w:sz w:val="26"/>
                <w:szCs w:val="26"/>
                <w:rtl/>
              </w:rPr>
              <w:t>יים.</w:t>
            </w:r>
            <w:r>
              <w:rPr>
                <w:rFonts w:cs="David"/>
                <w:sz w:val="26"/>
                <w:szCs w:val="26"/>
              </w:rPr>
              <w:t xml:space="preserve"> </w:t>
            </w:r>
          </w:p>
        </w:tc>
      </w:tr>
      <w:tr w:rsidR="00000000">
        <w:trPr>
          <w:cantSplit/>
          <w:trHeight w:val="128"/>
        </w:trPr>
        <w:tc>
          <w:tcPr>
            <w:tcW w:w="921" w:type="dxa"/>
            <w:vMerge w:val="restart"/>
            <w:tcBorders>
              <w:top w:val="nil"/>
              <w:left w:val="nil"/>
              <w:bottom w:val="nil"/>
              <w:right w:val="nil"/>
            </w:tcBorders>
          </w:tcPr>
          <w:p w:rsidR="00000000" w:rsidRDefault="002E2A3D">
            <w:pPr>
              <w:spacing w:after="120"/>
              <w:rPr>
                <w:rFonts w:cs="David"/>
                <w:sz w:val="26"/>
                <w:szCs w:val="26"/>
              </w:rPr>
            </w:pPr>
            <w:r>
              <w:rPr>
                <w:rFonts w:cs="David"/>
                <w:sz w:val="26"/>
                <w:szCs w:val="26"/>
                <w:rtl/>
              </w:rPr>
              <w:t>העברת ניירות ערך לנאמנות</w:t>
            </w:r>
          </w:p>
        </w:tc>
        <w:tc>
          <w:tcPr>
            <w:tcW w:w="533" w:type="dxa"/>
            <w:vMerge w:val="restart"/>
            <w:tcBorders>
              <w:top w:val="nil"/>
              <w:left w:val="nil"/>
              <w:bottom w:val="nil"/>
              <w:right w:val="nil"/>
            </w:tcBorders>
          </w:tcPr>
          <w:p w:rsidR="00000000" w:rsidRDefault="002E2A3D">
            <w:pPr>
              <w:spacing w:after="120" w:line="360" w:lineRule="auto"/>
              <w:rPr>
                <w:rFonts w:cs="David"/>
                <w:sz w:val="26"/>
                <w:szCs w:val="26"/>
              </w:rPr>
            </w:pPr>
            <w:r>
              <w:rPr>
                <w:rFonts w:cs="David"/>
                <w:sz w:val="26"/>
                <w:szCs w:val="26"/>
                <w:rtl/>
              </w:rPr>
              <w:t>3.</w:t>
            </w:r>
          </w:p>
        </w:tc>
        <w:tc>
          <w:tcPr>
            <w:tcW w:w="481" w:type="dxa"/>
            <w:tcBorders>
              <w:top w:val="nil"/>
              <w:left w:val="nil"/>
              <w:bottom w:val="nil"/>
              <w:right w:val="nil"/>
            </w:tcBorders>
          </w:tcPr>
          <w:p w:rsidR="00000000" w:rsidRDefault="002E2A3D">
            <w:pPr>
              <w:pStyle w:val="NormalWeb"/>
              <w:bidi/>
              <w:spacing w:line="360" w:lineRule="auto"/>
              <w:rPr>
                <w:rFonts w:cs="David"/>
                <w:sz w:val="26"/>
                <w:szCs w:val="26"/>
              </w:rPr>
            </w:pPr>
            <w:r>
              <w:rPr>
                <w:rFonts w:cs="David"/>
                <w:sz w:val="26"/>
                <w:szCs w:val="26"/>
                <w:rtl/>
              </w:rPr>
              <w:t>א.</w:t>
            </w:r>
          </w:p>
        </w:tc>
        <w:tc>
          <w:tcPr>
            <w:tcW w:w="6525" w:type="dxa"/>
            <w:gridSpan w:val="3"/>
            <w:tcBorders>
              <w:top w:val="nil"/>
              <w:left w:val="nil"/>
              <w:bottom w:val="nil"/>
              <w:right w:val="nil"/>
            </w:tcBorders>
          </w:tcPr>
          <w:p w:rsidR="00000000" w:rsidRDefault="002E2A3D">
            <w:pPr>
              <w:spacing w:line="360" w:lineRule="auto"/>
              <w:jc w:val="both"/>
              <w:rPr>
                <w:rFonts w:cs="David"/>
                <w:sz w:val="26"/>
                <w:szCs w:val="26"/>
              </w:rPr>
            </w:pPr>
            <w:r>
              <w:rPr>
                <w:rFonts w:cs="David"/>
                <w:sz w:val="26"/>
                <w:szCs w:val="26"/>
                <w:rtl/>
                <w:lang w:eastAsia="en-US"/>
              </w:rPr>
              <w:t>בתוך 60 יום מיום המינוי יעביר נושא המשרה את ניירות-הערך שבבעלותו ובבעלות בני משפחתו לחברת נאמנות ציבורית ובלתי תלויה, אשר תחזיק ותנהל את תיק ניירות-הערך בדרך של "נאמנות עיוורת".</w:t>
            </w:r>
            <w:r>
              <w:rPr>
                <w:sz w:val="26"/>
                <w:szCs w:val="26"/>
                <w:rtl/>
              </w:rPr>
              <w:t xml:space="preserve">  </w:t>
            </w:r>
          </w:p>
        </w:tc>
      </w:tr>
      <w:tr w:rsidR="00000000">
        <w:trPr>
          <w:cantSplit/>
          <w:trHeight w:val="126"/>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Pr>
            </w:pPr>
            <w:r>
              <w:rPr>
                <w:rFonts w:cs="David"/>
                <w:sz w:val="26"/>
                <w:szCs w:val="26"/>
                <w:rtl/>
              </w:rPr>
              <w:t>ב.</w:t>
            </w:r>
          </w:p>
        </w:tc>
        <w:tc>
          <w:tcPr>
            <w:tcW w:w="6525" w:type="dxa"/>
            <w:gridSpan w:val="3"/>
            <w:tcBorders>
              <w:top w:val="nil"/>
              <w:left w:val="nil"/>
              <w:bottom w:val="nil"/>
              <w:right w:val="nil"/>
            </w:tcBorders>
          </w:tcPr>
          <w:p w:rsidR="00000000" w:rsidRDefault="002E2A3D">
            <w:pPr>
              <w:pStyle w:val="NormalWeb"/>
              <w:bidi/>
              <w:spacing w:line="360" w:lineRule="auto"/>
              <w:jc w:val="both"/>
              <w:rPr>
                <w:rFonts w:cs="David"/>
                <w:sz w:val="26"/>
                <w:szCs w:val="26"/>
              </w:rPr>
            </w:pPr>
            <w:r>
              <w:rPr>
                <w:rFonts w:cs="David"/>
                <w:sz w:val="26"/>
                <w:szCs w:val="26"/>
                <w:rtl/>
              </w:rPr>
              <w:t xml:space="preserve">נושא המשרה  ובני משפחתו לא יתנו </w:t>
            </w:r>
            <w:r>
              <w:rPr>
                <w:rFonts w:cs="David"/>
                <w:sz w:val="26"/>
                <w:szCs w:val="26"/>
                <w:rtl/>
              </w:rPr>
              <w:t xml:space="preserve">לחברת הנאמנות כל הוראות באלו ניירות-ערך להחזיק ואלו ניירות-ערך למכור או לרכוש, למעט הנחייה חד פעמית, קודם לתחילת מתן השירות, בדבר סוגי ההשקעה שיכללו בתיק ובדבר השיעור המרבי ביחס לשווי התיק, או הנחיה כי אלה ייקבעו לפי שיקול דעתה של חברת הנאמנות.  </w:t>
            </w:r>
          </w:p>
        </w:tc>
      </w:tr>
      <w:tr w:rsidR="00000000">
        <w:trPr>
          <w:cantSplit/>
          <w:trHeight w:val="126"/>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Pr>
            </w:pPr>
            <w:r>
              <w:rPr>
                <w:rFonts w:cs="David"/>
                <w:sz w:val="26"/>
                <w:szCs w:val="26"/>
                <w:rtl/>
              </w:rPr>
              <w:t>ג.</w:t>
            </w:r>
          </w:p>
        </w:tc>
        <w:tc>
          <w:tcPr>
            <w:tcW w:w="6525" w:type="dxa"/>
            <w:gridSpan w:val="3"/>
            <w:tcBorders>
              <w:top w:val="nil"/>
              <w:left w:val="nil"/>
              <w:bottom w:val="nil"/>
              <w:right w:val="nil"/>
            </w:tcBorders>
          </w:tcPr>
          <w:p w:rsidR="00000000" w:rsidRDefault="002E2A3D">
            <w:pPr>
              <w:pStyle w:val="NormalWeb"/>
              <w:bidi/>
              <w:spacing w:line="360" w:lineRule="auto"/>
              <w:jc w:val="both"/>
              <w:rPr>
                <w:rFonts w:cs="David"/>
                <w:sz w:val="26"/>
                <w:szCs w:val="26"/>
              </w:rPr>
            </w:pPr>
            <w:r>
              <w:rPr>
                <w:rFonts w:cs="David"/>
                <w:sz w:val="26"/>
                <w:szCs w:val="26"/>
                <w:rtl/>
              </w:rPr>
              <w:t>חבר</w:t>
            </w:r>
            <w:r>
              <w:rPr>
                <w:rFonts w:cs="David"/>
                <w:sz w:val="26"/>
                <w:szCs w:val="26"/>
                <w:rtl/>
              </w:rPr>
              <w:t>ת הנאמנות לא תמסור לנושא המשרה ולבני משפחתו, כל עוד מכהן נושא המשרה בתפקידו, כל מידע על העסקאות שנעשו בניירות-הערך; המידע היחיד שיימסר יהיה שווי כלל ניירות-הערך, הרווחים שמומשו, והמס ששולם בשל רווחים אלה.</w:t>
            </w:r>
          </w:p>
        </w:tc>
      </w:tr>
      <w:tr w:rsidR="00000000">
        <w:trPr>
          <w:cantSplit/>
          <w:trHeight w:val="688"/>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Pr>
            </w:pPr>
            <w:r>
              <w:rPr>
                <w:rFonts w:cs="David"/>
                <w:sz w:val="26"/>
                <w:szCs w:val="26"/>
                <w:rtl/>
              </w:rPr>
              <w:t>ד.</w:t>
            </w:r>
          </w:p>
        </w:tc>
        <w:tc>
          <w:tcPr>
            <w:tcW w:w="6525" w:type="dxa"/>
            <w:gridSpan w:val="3"/>
            <w:tcBorders>
              <w:top w:val="nil"/>
              <w:left w:val="nil"/>
              <w:bottom w:val="nil"/>
              <w:right w:val="nil"/>
            </w:tcBorders>
          </w:tcPr>
          <w:p w:rsidR="00000000" w:rsidRDefault="002E2A3D">
            <w:pPr>
              <w:pStyle w:val="NormalWeb"/>
              <w:bidi/>
              <w:spacing w:line="360" w:lineRule="auto"/>
              <w:jc w:val="both"/>
              <w:rPr>
                <w:rFonts w:cs="David"/>
                <w:sz w:val="26"/>
                <w:szCs w:val="26"/>
              </w:rPr>
            </w:pPr>
            <w:r>
              <w:rPr>
                <w:rFonts w:cs="David"/>
                <w:sz w:val="26"/>
                <w:szCs w:val="26"/>
                <w:rtl/>
              </w:rPr>
              <w:t xml:space="preserve">שטר-הנאמנות בין נושא המשרה לבין חברת הנאמנים </w:t>
            </w:r>
            <w:r>
              <w:rPr>
                <w:rFonts w:cs="David"/>
                <w:sz w:val="26"/>
                <w:szCs w:val="26"/>
                <w:rtl/>
              </w:rPr>
              <w:t xml:space="preserve">יובא לאישור היועץ המשפטי לממשלה.  </w:t>
            </w:r>
          </w:p>
        </w:tc>
      </w:tr>
      <w:tr w:rsidR="00000000">
        <w:trPr>
          <w:cantSplit/>
          <w:trHeight w:val="126"/>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vMerge/>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Pr>
            </w:pPr>
            <w:r>
              <w:rPr>
                <w:rFonts w:cs="David"/>
                <w:sz w:val="26"/>
                <w:szCs w:val="26"/>
                <w:rtl/>
              </w:rPr>
              <w:t>ה.</w:t>
            </w:r>
          </w:p>
        </w:tc>
        <w:tc>
          <w:tcPr>
            <w:tcW w:w="6525" w:type="dxa"/>
            <w:gridSpan w:val="3"/>
            <w:tcBorders>
              <w:top w:val="nil"/>
              <w:left w:val="nil"/>
              <w:bottom w:val="nil"/>
              <w:right w:val="nil"/>
            </w:tcBorders>
          </w:tcPr>
          <w:p w:rsidR="00000000" w:rsidRDefault="002E2A3D">
            <w:pPr>
              <w:pStyle w:val="NormalWeb"/>
              <w:bidi/>
              <w:spacing w:before="0" w:beforeAutospacing="0" w:after="0" w:afterAutospacing="0" w:line="360" w:lineRule="auto"/>
              <w:jc w:val="both"/>
              <w:rPr>
                <w:rFonts w:cs="David"/>
                <w:sz w:val="26"/>
                <w:szCs w:val="26"/>
                <w:rtl/>
              </w:rPr>
            </w:pPr>
            <w:r>
              <w:rPr>
                <w:rFonts w:cs="David"/>
                <w:sz w:val="26"/>
                <w:szCs w:val="26"/>
                <w:rtl/>
              </w:rPr>
              <w:t>הוראות סעיף זה לא יחולו על מניות שקיימת חובה להעבירן על-פי סעיף 4.</w:t>
            </w:r>
          </w:p>
          <w:p w:rsidR="00000000" w:rsidRDefault="002E2A3D">
            <w:pPr>
              <w:pStyle w:val="NormalWeb"/>
              <w:bidi/>
              <w:spacing w:before="0" w:beforeAutospacing="0" w:after="0" w:afterAutospacing="0" w:line="360" w:lineRule="auto"/>
              <w:jc w:val="both"/>
              <w:rPr>
                <w:rFonts w:cs="David"/>
                <w:sz w:val="26"/>
                <w:szCs w:val="26"/>
              </w:rPr>
            </w:pPr>
          </w:p>
        </w:tc>
      </w:tr>
      <w:tr w:rsidR="00000000">
        <w:trPr>
          <w:cantSplit/>
          <w:trHeight w:val="703"/>
        </w:trPr>
        <w:tc>
          <w:tcPr>
            <w:tcW w:w="921" w:type="dxa"/>
            <w:vMerge w:val="restart"/>
            <w:tcBorders>
              <w:top w:val="nil"/>
              <w:left w:val="nil"/>
              <w:bottom w:val="nil"/>
              <w:right w:val="nil"/>
            </w:tcBorders>
          </w:tcPr>
          <w:p w:rsidR="00000000" w:rsidRDefault="002E2A3D">
            <w:pPr>
              <w:spacing w:after="120"/>
              <w:rPr>
                <w:rFonts w:cs="David"/>
                <w:sz w:val="26"/>
                <w:szCs w:val="26"/>
              </w:rPr>
            </w:pPr>
            <w:r>
              <w:rPr>
                <w:rFonts w:cs="David"/>
                <w:sz w:val="26"/>
                <w:szCs w:val="26"/>
                <w:rtl/>
              </w:rPr>
              <w:t>מכירת עסק ומניות עם תחילת הכהונה</w:t>
            </w:r>
          </w:p>
        </w:tc>
        <w:tc>
          <w:tcPr>
            <w:tcW w:w="533" w:type="dxa"/>
            <w:tcBorders>
              <w:top w:val="nil"/>
              <w:left w:val="nil"/>
              <w:bottom w:val="nil"/>
              <w:right w:val="nil"/>
            </w:tcBorders>
          </w:tcPr>
          <w:p w:rsidR="00000000" w:rsidRDefault="002E2A3D">
            <w:pPr>
              <w:spacing w:after="120" w:line="360" w:lineRule="auto"/>
              <w:rPr>
                <w:rFonts w:cs="David"/>
                <w:sz w:val="26"/>
                <w:szCs w:val="26"/>
              </w:rPr>
            </w:pPr>
            <w:r>
              <w:rPr>
                <w:rFonts w:cs="David"/>
                <w:sz w:val="26"/>
                <w:szCs w:val="26"/>
                <w:rtl/>
              </w:rPr>
              <w:t>4.</w:t>
            </w:r>
          </w:p>
        </w:tc>
        <w:tc>
          <w:tcPr>
            <w:tcW w:w="7006" w:type="dxa"/>
            <w:gridSpan w:val="4"/>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נושא משרה שהוא בעל זכויות בעסק או בעל מניות המקנות לו שליטה בחבר-בני-אדם ינקוט, תוך 60 יום מתחילת הכהונה בתפקי</w:t>
            </w:r>
            <w:r>
              <w:rPr>
                <w:rFonts w:cs="David"/>
                <w:sz w:val="26"/>
                <w:szCs w:val="26"/>
                <w:rtl/>
              </w:rPr>
              <w:t xml:space="preserve">דו, באחת מהדרכים הבאות כדי למנוע מצב של ניגוד עניינים:  </w:t>
            </w:r>
          </w:p>
          <w:p w:rsidR="00000000" w:rsidRDefault="002E2A3D">
            <w:pPr>
              <w:spacing w:line="360" w:lineRule="auto"/>
              <w:jc w:val="both"/>
              <w:rPr>
                <w:rFonts w:cs="David"/>
                <w:sz w:val="26"/>
                <w:szCs w:val="26"/>
              </w:rPr>
            </w:pPr>
          </w:p>
        </w:tc>
      </w:tr>
      <w:tr w:rsidR="00000000">
        <w:trPr>
          <w:cantSplit/>
          <w:trHeight w:val="703"/>
        </w:trPr>
        <w:tc>
          <w:tcPr>
            <w:tcW w:w="921" w:type="dxa"/>
            <w:vMerge/>
            <w:tcBorders>
              <w:top w:val="nil"/>
              <w:left w:val="nil"/>
              <w:bottom w:val="nil"/>
              <w:right w:val="nil"/>
            </w:tcBorders>
          </w:tcPr>
          <w:p w:rsidR="00000000" w:rsidRDefault="002E2A3D">
            <w:pPr>
              <w:spacing w:after="120"/>
              <w:rPr>
                <w:rFonts w:cs="David"/>
                <w:sz w:val="26"/>
                <w:szCs w:val="26"/>
                <w:rtl/>
              </w:rPr>
            </w:pPr>
          </w:p>
        </w:tc>
        <w:tc>
          <w:tcPr>
            <w:tcW w:w="533" w:type="dxa"/>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tl/>
              </w:rPr>
            </w:pPr>
          </w:p>
        </w:tc>
        <w:tc>
          <w:tcPr>
            <w:tcW w:w="585" w:type="dxa"/>
            <w:gridSpan w:val="2"/>
            <w:tcBorders>
              <w:top w:val="nil"/>
              <w:left w:val="nil"/>
              <w:bottom w:val="nil"/>
              <w:right w:val="nil"/>
            </w:tcBorders>
          </w:tcPr>
          <w:p w:rsidR="00000000" w:rsidRDefault="002E2A3D">
            <w:pPr>
              <w:spacing w:line="360" w:lineRule="auto"/>
              <w:rPr>
                <w:rFonts w:cs="David"/>
                <w:sz w:val="26"/>
                <w:szCs w:val="26"/>
                <w:rtl/>
              </w:rPr>
            </w:pPr>
            <w:r>
              <w:rPr>
                <w:rFonts w:cs="David"/>
                <w:sz w:val="26"/>
                <w:szCs w:val="26"/>
                <w:rtl/>
              </w:rPr>
              <w:t xml:space="preserve">(1) </w:t>
            </w:r>
          </w:p>
        </w:tc>
        <w:tc>
          <w:tcPr>
            <w:tcW w:w="5940" w:type="dxa"/>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ימכור את הזכויות בעסק או המניות לאדם שאיננו קרובו ולא חבר-בני-אדם שבשליטתו;</w:t>
            </w:r>
          </w:p>
        </w:tc>
      </w:tr>
      <w:tr w:rsidR="00000000">
        <w:trPr>
          <w:trHeight w:val="703"/>
        </w:trPr>
        <w:tc>
          <w:tcPr>
            <w:tcW w:w="921" w:type="dxa"/>
            <w:tcBorders>
              <w:top w:val="nil"/>
              <w:left w:val="nil"/>
              <w:bottom w:val="nil"/>
              <w:right w:val="nil"/>
            </w:tcBorders>
          </w:tcPr>
          <w:p w:rsidR="00000000" w:rsidRDefault="002E2A3D">
            <w:pPr>
              <w:spacing w:after="120"/>
              <w:rPr>
                <w:rFonts w:cs="David"/>
                <w:sz w:val="26"/>
                <w:szCs w:val="26"/>
                <w:rtl/>
              </w:rPr>
            </w:pPr>
          </w:p>
        </w:tc>
        <w:tc>
          <w:tcPr>
            <w:tcW w:w="533" w:type="dxa"/>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tl/>
              </w:rPr>
            </w:pPr>
          </w:p>
        </w:tc>
        <w:tc>
          <w:tcPr>
            <w:tcW w:w="585" w:type="dxa"/>
            <w:gridSpan w:val="2"/>
            <w:tcBorders>
              <w:top w:val="nil"/>
              <w:left w:val="nil"/>
              <w:bottom w:val="nil"/>
              <w:right w:val="nil"/>
            </w:tcBorders>
          </w:tcPr>
          <w:p w:rsidR="00000000" w:rsidRDefault="002E2A3D">
            <w:pPr>
              <w:spacing w:line="360" w:lineRule="auto"/>
              <w:rPr>
                <w:rFonts w:cs="David"/>
                <w:sz w:val="26"/>
                <w:szCs w:val="26"/>
                <w:rtl/>
              </w:rPr>
            </w:pPr>
            <w:r>
              <w:rPr>
                <w:rFonts w:cs="David"/>
                <w:sz w:val="26"/>
                <w:szCs w:val="26"/>
                <w:rtl/>
              </w:rPr>
              <w:t>(2)</w:t>
            </w:r>
          </w:p>
          <w:p w:rsidR="00000000" w:rsidRDefault="002E2A3D">
            <w:pPr>
              <w:spacing w:line="360" w:lineRule="auto"/>
              <w:rPr>
                <w:rFonts w:cs="David"/>
                <w:sz w:val="26"/>
                <w:szCs w:val="26"/>
                <w:rtl/>
              </w:rPr>
            </w:pPr>
          </w:p>
        </w:tc>
        <w:tc>
          <w:tcPr>
            <w:tcW w:w="5940" w:type="dxa"/>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עבד קרוב של נושא המשרה עמו בעסק או בחבר-בני-אדם כאמור לפחות שנה לפני המינוי כנושא המשרה, רשאי נושא המשרה</w:t>
            </w:r>
            <w:r>
              <w:rPr>
                <w:rFonts w:cs="David"/>
                <w:sz w:val="26"/>
                <w:szCs w:val="26"/>
                <w:rtl/>
              </w:rPr>
              <w:t xml:space="preserve"> למכור או להעביר את כל הזכויות בעסק או כל המניות לאותו קרוב, בתנאי כי הקרוב איננו בן-זוגו או ילדו הקטין;  </w:t>
            </w:r>
          </w:p>
        </w:tc>
      </w:tr>
      <w:tr w:rsidR="00000000">
        <w:trPr>
          <w:trHeight w:val="703"/>
        </w:trPr>
        <w:tc>
          <w:tcPr>
            <w:tcW w:w="921" w:type="dxa"/>
            <w:tcBorders>
              <w:top w:val="nil"/>
              <w:left w:val="nil"/>
              <w:bottom w:val="nil"/>
              <w:right w:val="nil"/>
            </w:tcBorders>
          </w:tcPr>
          <w:p w:rsidR="00000000" w:rsidRDefault="002E2A3D">
            <w:pPr>
              <w:spacing w:after="120"/>
              <w:rPr>
                <w:rFonts w:cs="David"/>
                <w:sz w:val="26"/>
                <w:szCs w:val="26"/>
                <w:rtl/>
              </w:rPr>
            </w:pPr>
          </w:p>
        </w:tc>
        <w:tc>
          <w:tcPr>
            <w:tcW w:w="533" w:type="dxa"/>
            <w:tcBorders>
              <w:top w:val="nil"/>
              <w:left w:val="nil"/>
              <w:bottom w:val="nil"/>
              <w:right w:val="nil"/>
            </w:tcBorders>
          </w:tcPr>
          <w:p w:rsidR="00000000" w:rsidRDefault="002E2A3D">
            <w:pPr>
              <w:spacing w:after="120" w:line="360" w:lineRule="auto"/>
              <w:rPr>
                <w:rFonts w:cs="David"/>
                <w:sz w:val="26"/>
                <w:szCs w:val="26"/>
                <w:rtl/>
              </w:rPr>
            </w:pPr>
          </w:p>
        </w:tc>
        <w:tc>
          <w:tcPr>
            <w:tcW w:w="481" w:type="dxa"/>
            <w:tcBorders>
              <w:top w:val="nil"/>
              <w:left w:val="nil"/>
              <w:bottom w:val="nil"/>
              <w:right w:val="nil"/>
            </w:tcBorders>
          </w:tcPr>
          <w:p w:rsidR="00000000" w:rsidRDefault="002E2A3D">
            <w:pPr>
              <w:pStyle w:val="NormalWeb"/>
              <w:bidi/>
              <w:spacing w:line="360" w:lineRule="auto"/>
              <w:rPr>
                <w:rFonts w:cs="David"/>
                <w:sz w:val="26"/>
                <w:szCs w:val="26"/>
                <w:rtl/>
              </w:rPr>
            </w:pPr>
          </w:p>
        </w:tc>
        <w:tc>
          <w:tcPr>
            <w:tcW w:w="585" w:type="dxa"/>
            <w:gridSpan w:val="2"/>
            <w:tcBorders>
              <w:top w:val="nil"/>
              <w:left w:val="nil"/>
              <w:bottom w:val="nil"/>
              <w:right w:val="nil"/>
            </w:tcBorders>
          </w:tcPr>
          <w:p w:rsidR="00000000" w:rsidRDefault="002E2A3D">
            <w:pPr>
              <w:spacing w:line="360" w:lineRule="auto"/>
              <w:rPr>
                <w:rFonts w:cs="David"/>
                <w:sz w:val="26"/>
                <w:szCs w:val="26"/>
                <w:rtl/>
              </w:rPr>
            </w:pPr>
            <w:r>
              <w:rPr>
                <w:rFonts w:cs="David"/>
                <w:sz w:val="26"/>
                <w:szCs w:val="26"/>
                <w:rtl/>
              </w:rPr>
              <w:t>(3)</w:t>
            </w:r>
          </w:p>
          <w:p w:rsidR="00000000" w:rsidRDefault="002E2A3D">
            <w:pPr>
              <w:spacing w:line="360" w:lineRule="auto"/>
              <w:rPr>
                <w:rFonts w:cs="David"/>
                <w:sz w:val="26"/>
                <w:szCs w:val="26"/>
                <w:rtl/>
              </w:rPr>
            </w:pPr>
          </w:p>
        </w:tc>
        <w:tc>
          <w:tcPr>
            <w:tcW w:w="5940" w:type="dxa"/>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יחכיר את העסק לאדם שאיננו קרובו ושאינו חבר-בני-אדם שבשליטתו תמורת דמי-חכירה קבועים מראש לכל תקופת כהונתו בתפקיד, בתנאי כי דמי-החכירה אינם תל</w:t>
            </w:r>
            <w:r>
              <w:rPr>
                <w:rFonts w:cs="David"/>
                <w:sz w:val="26"/>
                <w:szCs w:val="26"/>
                <w:rtl/>
              </w:rPr>
              <w:t>ויים בהכנסות מהעסק.</w:t>
            </w:r>
          </w:p>
          <w:p w:rsidR="00000000" w:rsidRDefault="002E2A3D">
            <w:pPr>
              <w:spacing w:line="360" w:lineRule="auto"/>
              <w:jc w:val="both"/>
              <w:rPr>
                <w:rFonts w:cs="David"/>
                <w:sz w:val="26"/>
                <w:szCs w:val="26"/>
                <w:rtl/>
              </w:rPr>
            </w:pPr>
          </w:p>
        </w:tc>
      </w:tr>
      <w:tr w:rsidR="00000000">
        <w:trPr>
          <w:trHeight w:val="703"/>
        </w:trPr>
        <w:tc>
          <w:tcPr>
            <w:tcW w:w="921" w:type="dxa"/>
            <w:tcBorders>
              <w:top w:val="nil"/>
              <w:left w:val="nil"/>
              <w:bottom w:val="nil"/>
              <w:right w:val="nil"/>
            </w:tcBorders>
          </w:tcPr>
          <w:p w:rsidR="00000000" w:rsidRDefault="002E2A3D">
            <w:pPr>
              <w:spacing w:after="120"/>
              <w:rPr>
                <w:rFonts w:cs="David"/>
                <w:sz w:val="26"/>
                <w:szCs w:val="26"/>
                <w:rtl/>
              </w:rPr>
            </w:pPr>
            <w:r>
              <w:rPr>
                <w:rFonts w:cs="David"/>
                <w:sz w:val="26"/>
                <w:szCs w:val="26"/>
                <w:rtl/>
              </w:rPr>
              <w:t>תחילה</w:t>
            </w:r>
          </w:p>
        </w:tc>
        <w:tc>
          <w:tcPr>
            <w:tcW w:w="533" w:type="dxa"/>
            <w:tcBorders>
              <w:top w:val="nil"/>
              <w:left w:val="nil"/>
              <w:bottom w:val="nil"/>
              <w:right w:val="nil"/>
            </w:tcBorders>
          </w:tcPr>
          <w:p w:rsidR="00000000" w:rsidRDefault="002E2A3D">
            <w:pPr>
              <w:spacing w:after="120" w:line="360" w:lineRule="auto"/>
              <w:rPr>
                <w:rFonts w:cs="David"/>
                <w:sz w:val="26"/>
                <w:szCs w:val="26"/>
                <w:rtl/>
              </w:rPr>
            </w:pPr>
            <w:r>
              <w:rPr>
                <w:rFonts w:cs="David"/>
                <w:sz w:val="26"/>
                <w:szCs w:val="26"/>
                <w:rtl/>
              </w:rPr>
              <w:t>5.</w:t>
            </w:r>
          </w:p>
        </w:tc>
        <w:tc>
          <w:tcPr>
            <w:tcW w:w="481" w:type="dxa"/>
            <w:tcBorders>
              <w:top w:val="nil"/>
              <w:left w:val="nil"/>
              <w:bottom w:val="nil"/>
              <w:right w:val="nil"/>
            </w:tcBorders>
          </w:tcPr>
          <w:p w:rsidR="00000000" w:rsidRDefault="002E2A3D">
            <w:pPr>
              <w:pStyle w:val="NormalWeb"/>
              <w:bidi/>
              <w:spacing w:line="360" w:lineRule="auto"/>
              <w:rPr>
                <w:rFonts w:cs="David"/>
                <w:sz w:val="26"/>
                <w:szCs w:val="26"/>
                <w:rtl/>
              </w:rPr>
            </w:pPr>
          </w:p>
        </w:tc>
        <w:tc>
          <w:tcPr>
            <w:tcW w:w="6525" w:type="dxa"/>
            <w:gridSpan w:val="3"/>
            <w:tcBorders>
              <w:top w:val="nil"/>
              <w:left w:val="nil"/>
              <w:bottom w:val="nil"/>
              <w:right w:val="nil"/>
            </w:tcBorders>
          </w:tcPr>
          <w:p w:rsidR="00000000" w:rsidRDefault="002E2A3D">
            <w:pPr>
              <w:spacing w:line="360" w:lineRule="auto"/>
              <w:jc w:val="both"/>
              <w:rPr>
                <w:rFonts w:cs="David"/>
                <w:sz w:val="26"/>
                <w:szCs w:val="26"/>
                <w:rtl/>
              </w:rPr>
            </w:pPr>
            <w:r>
              <w:rPr>
                <w:rFonts w:cs="David"/>
                <w:sz w:val="26"/>
                <w:szCs w:val="26"/>
                <w:rtl/>
              </w:rPr>
              <w:t>תחילתו של חוק זה 90 יום מיום פרסומו.</w:t>
            </w:r>
          </w:p>
        </w:tc>
      </w:tr>
    </w:tbl>
    <w:p w:rsidR="00000000" w:rsidRDefault="002E2A3D">
      <w:pPr>
        <w:spacing w:line="360" w:lineRule="auto"/>
        <w:rPr>
          <w:rFonts w:cs="David"/>
          <w:sz w:val="26"/>
          <w:szCs w:val="26"/>
          <w:rtl/>
        </w:rPr>
      </w:pPr>
    </w:p>
    <w:p w:rsidR="00000000" w:rsidRDefault="002E2A3D">
      <w:pPr>
        <w:spacing w:line="360" w:lineRule="auto"/>
        <w:rPr>
          <w:rFonts w:cs="David"/>
          <w:sz w:val="26"/>
          <w:szCs w:val="26"/>
          <w:rtl/>
        </w:rPr>
      </w:pPr>
    </w:p>
    <w:p w:rsidR="00000000" w:rsidRDefault="002E2A3D">
      <w:pPr>
        <w:spacing w:line="360" w:lineRule="auto"/>
        <w:jc w:val="center"/>
        <w:rPr>
          <w:rFonts w:cs="David"/>
          <w:sz w:val="26"/>
          <w:szCs w:val="26"/>
          <w:rtl/>
        </w:rPr>
      </w:pPr>
      <w:r>
        <w:rPr>
          <w:rFonts w:cs="David"/>
          <w:b/>
          <w:bCs/>
          <w:sz w:val="28"/>
          <w:szCs w:val="28"/>
          <w:u w:val="single"/>
          <w:rtl/>
        </w:rPr>
        <w:t>דברי  - הסבר</w:t>
      </w:r>
    </w:p>
    <w:p w:rsidR="00000000" w:rsidRDefault="002E2A3D">
      <w:pPr>
        <w:spacing w:line="360" w:lineRule="auto"/>
        <w:jc w:val="both"/>
        <w:rPr>
          <w:rFonts w:cs="David"/>
          <w:sz w:val="26"/>
          <w:szCs w:val="26"/>
          <w:rtl/>
        </w:rPr>
      </w:pPr>
    </w:p>
    <w:p w:rsidR="00000000" w:rsidRDefault="002E2A3D">
      <w:pPr>
        <w:spacing w:line="360" w:lineRule="auto"/>
        <w:jc w:val="both"/>
        <w:rPr>
          <w:rFonts w:cs="David"/>
          <w:sz w:val="26"/>
          <w:szCs w:val="26"/>
          <w:rtl/>
        </w:rPr>
      </w:pPr>
      <w:r>
        <w:rPr>
          <w:rFonts w:cs="David"/>
          <w:sz w:val="26"/>
          <w:szCs w:val="26"/>
          <w:rtl/>
        </w:rPr>
        <w:t>בעקבות פרשת מכירת מניותיו של הרמטכ"ל והוויכוח הציבורי הנוקב שעלה על סדר היום, נוצר הצורך להסדיר את הכללים למניעת ניגוד עניינים של שרים וסגני שרים ולהרחיב אותם לנושאי משרה</w:t>
      </w:r>
      <w:r>
        <w:rPr>
          <w:rFonts w:cs="David"/>
          <w:sz w:val="26"/>
          <w:szCs w:val="26"/>
          <w:rtl/>
        </w:rPr>
        <w:t xml:space="preserve"> בכירים נוספים.</w:t>
      </w:r>
    </w:p>
    <w:p w:rsidR="00000000" w:rsidRDefault="002E2A3D">
      <w:pPr>
        <w:spacing w:line="360" w:lineRule="auto"/>
        <w:jc w:val="both"/>
        <w:rPr>
          <w:rFonts w:cs="David"/>
          <w:sz w:val="26"/>
          <w:szCs w:val="26"/>
          <w:rtl/>
        </w:rPr>
      </w:pPr>
      <w:r>
        <w:rPr>
          <w:rFonts w:cs="David"/>
          <w:sz w:val="26"/>
          <w:szCs w:val="26"/>
          <w:rtl/>
        </w:rPr>
        <w:t>מדובר בנושאי משרה בעלי תפקיד ביצועי שמטבע הדברים בידם מידע מוקדם שעלול להוביל לניגוד עניינים.</w:t>
      </w:r>
    </w:p>
    <w:p w:rsidR="00000000" w:rsidRDefault="002E2A3D">
      <w:pPr>
        <w:spacing w:line="360" w:lineRule="auto"/>
        <w:jc w:val="both"/>
        <w:rPr>
          <w:rFonts w:cs="David"/>
          <w:sz w:val="26"/>
          <w:szCs w:val="26"/>
          <w:rtl/>
        </w:rPr>
      </w:pPr>
    </w:p>
    <w:p w:rsidR="00000000" w:rsidRDefault="002E2A3D">
      <w:pPr>
        <w:spacing w:line="360" w:lineRule="auto"/>
        <w:jc w:val="both"/>
        <w:rPr>
          <w:rFonts w:cs="David"/>
          <w:sz w:val="26"/>
          <w:szCs w:val="26"/>
          <w:rtl/>
        </w:rPr>
      </w:pPr>
      <w:r>
        <w:rPr>
          <w:rFonts w:cs="David"/>
          <w:sz w:val="26"/>
          <w:szCs w:val="26"/>
          <w:rtl/>
        </w:rPr>
        <w:t>--------------------------</w:t>
      </w:r>
    </w:p>
    <w:p w:rsidR="00000000" w:rsidRDefault="002E2A3D">
      <w:pPr>
        <w:spacing w:line="360" w:lineRule="auto"/>
        <w:jc w:val="both"/>
        <w:rPr>
          <w:rFonts w:cs="David"/>
          <w:sz w:val="26"/>
          <w:szCs w:val="26"/>
          <w:rtl/>
        </w:rPr>
      </w:pPr>
      <w:r>
        <w:rPr>
          <w:rFonts w:cs="David"/>
          <w:sz w:val="26"/>
          <w:szCs w:val="26"/>
          <w:rtl/>
        </w:rPr>
        <w:t>הוגשה ליו"ר הכנסת והסגנים</w:t>
      </w:r>
    </w:p>
    <w:p w:rsidR="00000000" w:rsidRDefault="002E2A3D">
      <w:pPr>
        <w:spacing w:line="360" w:lineRule="auto"/>
        <w:jc w:val="both"/>
        <w:rPr>
          <w:rFonts w:cs="David"/>
          <w:sz w:val="26"/>
          <w:szCs w:val="26"/>
          <w:rtl/>
        </w:rPr>
      </w:pPr>
      <w:r>
        <w:rPr>
          <w:rFonts w:cs="David"/>
          <w:sz w:val="26"/>
          <w:szCs w:val="26"/>
          <w:rtl/>
        </w:rPr>
        <w:t>והונחה על שולחן הכנסת ביום</w:t>
      </w:r>
    </w:p>
    <w:p w:rsidR="00000000" w:rsidRDefault="002E2A3D">
      <w:pPr>
        <w:spacing w:line="360" w:lineRule="auto"/>
        <w:jc w:val="both"/>
        <w:rPr>
          <w:rFonts w:cs="David"/>
          <w:sz w:val="26"/>
          <w:szCs w:val="26"/>
          <w:rtl/>
        </w:rPr>
      </w:pPr>
      <w:r>
        <w:rPr>
          <w:rFonts w:cs="David"/>
          <w:sz w:val="26"/>
          <w:szCs w:val="26"/>
          <w:rtl/>
        </w:rPr>
        <w:t>כ"ד בתשרי התשס"ו - 16.10.06</w:t>
      </w:r>
    </w:p>
    <w:sectPr w:rsidR="00000000">
      <w:headerReference w:type="default" r:id="rId6"/>
      <w:pgSz w:w="11906" w:h="16838"/>
      <w:pgMar w:top="1440" w:right="1800" w:bottom="1440" w:left="162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2A3D">
      <w:r>
        <w:separator/>
      </w:r>
    </w:p>
  </w:endnote>
  <w:endnote w:type="continuationSeparator" w:id="0">
    <w:p w:rsidR="00000000" w:rsidRDefault="002E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2A3D">
      <w:r>
        <w:separator/>
      </w:r>
    </w:p>
  </w:footnote>
  <w:footnote w:type="continuationSeparator" w:id="0">
    <w:p w:rsidR="00000000" w:rsidRDefault="002E2A3D">
      <w:r>
        <w:continuationSeparator/>
      </w:r>
    </w:p>
  </w:footnote>
  <w:footnote w:id="1">
    <w:p w:rsidR="00000000" w:rsidRDefault="002E2A3D">
      <w:pPr>
        <w:pStyle w:val="a8"/>
      </w:pPr>
      <w:r>
        <w:rPr>
          <w:rStyle w:val="aa"/>
          <w:rFonts w:cs="David"/>
        </w:rPr>
        <w:footnoteRef/>
      </w:r>
      <w:r>
        <w:rPr>
          <w:rFonts w:cs="David"/>
          <w:rtl/>
        </w:rPr>
        <w:t xml:space="preserve"> ס"ח התשמ"ד, עמ' 68.</w:t>
      </w:r>
    </w:p>
  </w:footnote>
  <w:footnote w:id="2">
    <w:p w:rsidR="00000000" w:rsidRDefault="002E2A3D">
      <w:pPr>
        <w:pStyle w:val="a8"/>
      </w:pPr>
      <w:r>
        <w:rPr>
          <w:rStyle w:val="aa"/>
          <w:rFonts w:cs="David"/>
        </w:rPr>
        <w:footnoteRef/>
      </w:r>
      <w:r>
        <w:rPr>
          <w:rFonts w:cs="David"/>
          <w:rtl/>
        </w:rPr>
        <w:t xml:space="preserve"> ס"ח התשנ"ד, עמ' 308.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A3D">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2E2A3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4909ñéìáï ùìåí - ðééøåú òøê ðåùà îùøä öéáåøéú.doc"/>
    <w:docVar w:name="StartMode" w:val="2"/>
  </w:docVars>
  <w:rsids>
    <w:rsidRoot w:val="002E2A3D"/>
    <w:rsid w:val="002E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NormalWeb">
    <w:name w:val="Normal (Web)"/>
    <w:basedOn w:val="a"/>
    <w:uiPriority w:val="99"/>
    <w:pPr>
      <w:bidi w:val="0"/>
      <w:spacing w:before="100" w:beforeAutospacing="1" w:after="100" w:afterAutospacing="1"/>
    </w:pPr>
    <w:rPr>
      <w:lang w:eastAsia="en-US"/>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652</Words>
  <Characters>3260</Characters>
  <Application>Microsoft Office Word</Application>
  <DocSecurity>0</DocSecurity>
  <Lines>27</Lines>
  <Paragraphs>7</Paragraphs>
  <ScaleCrop>false</ScaleCrop>
  <Company>knesset</Company>
  <LinksUpToDate>false</LinksUpToDate>
  <CharactersWithSpaces>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העברת ניירות ערך לנאמנות על ידי נושא משרה ציבורית, התשס"ו-2006</dc:title>
  <dc:subject/>
  <dc:creator>Knesset</dc:creator>
  <cp:keywords/>
  <dc:description/>
  <cp:lastModifiedBy>שמואל כוכב</cp:lastModifiedBy>
  <cp:revision>2</cp:revision>
  <cp:lastPrinted>2006-09-10T12:55:00Z</cp:lastPrinted>
  <dcterms:created xsi:type="dcterms:W3CDTF">2015-02-03T16:59:00Z</dcterms:created>
  <dcterms:modified xsi:type="dcterms:W3CDTF">2015-02-03T16:59:00Z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סילבן שלום</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04822006</vt:lpwstr>
  </property>
  <property fmtid="{D5CDD505-2E9C-101B-9397-08002B2CF9AE}" pid="10" name="מספר הצעת חוק למיון">
    <vt:lpwstr>1548</vt:lpwstr>
  </property>
  <property fmtid="{D5CDD505-2E9C-101B-9397-08002B2CF9AE}" pid="11" name="SDDocDate">
    <vt:lpwstr>2006-09-20T00:00:00Z</vt:lpwstr>
  </property>
  <property fmtid="{D5CDD505-2E9C-101B-9397-08002B2CF9AE}" pid="12" name="SDHebDate">
    <vt:lpwstr>כ"ז באלול, התשס"ו</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פ/1548</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