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E48C5">
      <w:pPr>
        <w:pStyle w:val="ad"/>
        <w:jc w:val="left"/>
        <w:rPr>
          <w:rFonts w:cs="David"/>
          <w:b w:val="0"/>
          <w:bCs w:val="0"/>
          <w:sz w:val="24"/>
          <w:szCs w:val="24"/>
          <w:u w:val="none"/>
          <w:rtl/>
        </w:rPr>
      </w:pPr>
      <w:bookmarkStart w:id="0" w:name="_GoBack"/>
      <w:bookmarkEnd w:id="0"/>
    </w:p>
    <w:p w:rsidR="00000000" w:rsidRDefault="00EE48C5">
      <w:pPr>
        <w:pStyle w:val="HeadHatzaotHok"/>
        <w:rPr>
          <w:rFonts w:cs="David"/>
          <w:sz w:val="28"/>
          <w:szCs w:val="28"/>
          <w:rtl/>
        </w:rPr>
      </w:pPr>
      <w:r>
        <w:rPr>
          <w:rFonts w:cs="David"/>
          <w:sz w:val="28"/>
          <w:szCs w:val="28"/>
          <w:rtl/>
        </w:rPr>
        <w:t>הכנסת השבע-עשרה</w:t>
      </w:r>
    </w:p>
    <w:p w:rsidR="00000000" w:rsidRDefault="00EE48C5">
      <w:pPr>
        <w:rPr>
          <w:rFonts w:cs="David"/>
          <w:sz w:val="26"/>
          <w:szCs w:val="26"/>
          <w:rtl/>
        </w:rPr>
      </w:pPr>
    </w:p>
    <w:p w:rsidR="00000000" w:rsidRDefault="00EE48C5">
      <w:pPr>
        <w:rPr>
          <w:rFonts w:cs="David"/>
          <w:sz w:val="26"/>
          <w:szCs w:val="26"/>
          <w:rtl/>
        </w:rPr>
      </w:pPr>
    </w:p>
    <w:tbl>
      <w:tblPr>
        <w:bidiVisual/>
        <w:tblW w:w="0" w:type="auto"/>
        <w:tblInd w:w="5084" w:type="dxa"/>
        <w:tblBorders>
          <w:bottom w:val="single" w:sz="4" w:space="0" w:color="auto"/>
        </w:tblBorders>
        <w:tblLook w:val="0000" w:firstRow="0" w:lastRow="0" w:firstColumn="0" w:lastColumn="0" w:noHBand="0" w:noVBand="0"/>
      </w:tblPr>
      <w:tblGrid>
        <w:gridCol w:w="3860"/>
      </w:tblGrid>
      <w:tr w:rsidR="00000000">
        <w:tblPrEx>
          <w:tblCellMar>
            <w:top w:w="0" w:type="dxa"/>
            <w:bottom w:w="0" w:type="dxa"/>
          </w:tblCellMar>
        </w:tblPrEx>
        <w:tc>
          <w:tcPr>
            <w:tcW w:w="3860" w:type="dxa"/>
            <w:tcBorders>
              <w:top w:val="nil"/>
              <w:left w:val="nil"/>
              <w:bottom w:val="single" w:sz="4" w:space="0" w:color="auto"/>
              <w:right w:val="nil"/>
            </w:tcBorders>
          </w:tcPr>
          <w:p w:rsidR="00000000" w:rsidRDefault="00EE48C5">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bookmarkStart w:id="1" w:name="YozemHatzaa"/>
            <w:r>
              <w:rPr>
                <w:rFonts w:cs="David"/>
                <w:b/>
                <w:bCs/>
                <w:sz w:val="26"/>
                <w:szCs w:val="26"/>
              </w:rPr>
              <w:fldChar w:fldCharType="begin">
                <w:ffData>
                  <w:name w:val="YozemHatzaa"/>
                  <w:enabled/>
                  <w:calcOnExit w:val="0"/>
                  <w:textInput/>
                </w:ffData>
              </w:fldChar>
            </w:r>
            <w:r>
              <w:rPr>
                <w:rFonts w:cs="David"/>
                <w:b/>
                <w:bCs/>
                <w:sz w:val="26"/>
                <w:szCs w:val="26"/>
              </w:rPr>
              <w:instrText xml:space="preserve"> FORMTEXT </w:instrText>
            </w:r>
            <w:r>
              <w:rPr>
                <w:rFonts w:cs="David"/>
                <w:b/>
                <w:bCs/>
                <w:sz w:val="26"/>
                <w:szCs w:val="26"/>
              </w:rPr>
            </w:r>
            <w:r>
              <w:rPr>
                <w:rFonts w:cs="David"/>
                <w:b/>
                <w:bCs/>
                <w:sz w:val="26"/>
                <w:szCs w:val="26"/>
              </w:rPr>
              <w:fldChar w:fldCharType="separate"/>
            </w:r>
            <w:r>
              <w:rPr>
                <w:rFonts w:cs="David"/>
                <w:b/>
                <w:bCs/>
                <w:sz w:val="26"/>
                <w:szCs w:val="26"/>
                <w:rtl/>
              </w:rPr>
              <w:t>מגלי והבה</w:t>
            </w:r>
            <w:r>
              <w:rPr>
                <w:rFonts w:cs="David"/>
                <w:b/>
                <w:bCs/>
                <w:sz w:val="26"/>
                <w:szCs w:val="26"/>
              </w:rPr>
              <w:fldChar w:fldCharType="end"/>
            </w:r>
            <w:bookmarkEnd w:id="1"/>
          </w:p>
        </w:tc>
      </w:tr>
    </w:tbl>
    <w:p w:rsidR="00000000" w:rsidRDefault="00EE48C5">
      <w:pPr>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32"/>
          <w:szCs w:val="32"/>
          <w:rtl/>
        </w:rPr>
        <w:t xml:space="preserve">                    </w:t>
      </w:r>
      <w:r>
        <w:rPr>
          <w:rFonts w:cs="David"/>
          <w:b/>
          <w:bCs/>
          <w:rtl/>
        </w:rPr>
        <w:t>פ/1688/17</w:t>
      </w:r>
    </w:p>
    <w:p w:rsidR="00000000" w:rsidRDefault="00EE48C5">
      <w:pPr>
        <w:pStyle w:val="HeadHatzaotHok"/>
        <w:rPr>
          <w:rFonts w:cs="David"/>
          <w:sz w:val="28"/>
          <w:szCs w:val="28"/>
          <w:rtl/>
        </w:rPr>
      </w:pPr>
      <w:r>
        <w:rPr>
          <w:rFonts w:cs="David"/>
          <w:sz w:val="28"/>
          <w:szCs w:val="28"/>
          <w:rtl/>
        </w:rPr>
        <w:t>הצעת חוק המועצה להשכלה גבוהה (תיקון – החמרת הפיקוח בעניין</w:t>
      </w:r>
      <w:r>
        <w:rPr>
          <w:rFonts w:cs="David"/>
          <w:sz w:val="28"/>
          <w:szCs w:val="28"/>
          <w:rtl/>
        </w:rPr>
        <w:t xml:space="preserve"> רישיון פעולה מטעם המועצה להשכלה גבוהה), התשס"ז-2006 </w:t>
      </w:r>
    </w:p>
    <w:p w:rsidR="00000000" w:rsidRDefault="00EE48C5">
      <w:pPr>
        <w:pStyle w:val="HeadHatzaotHok"/>
        <w:rPr>
          <w:rFonts w:cs="David"/>
          <w:sz w:val="28"/>
          <w:szCs w:val="28"/>
          <w:rtl/>
        </w:rPr>
      </w:pPr>
    </w:p>
    <w:tbl>
      <w:tblPr>
        <w:bidiVisual/>
        <w:tblW w:w="9641" w:type="dxa"/>
        <w:tblInd w:w="6"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8"/>
      </w:tblGrid>
      <w:tr w:rsidR="00000000">
        <w:trPr>
          <w:cantSplit/>
          <w:trHeight w:val="60"/>
        </w:trPr>
        <w:tc>
          <w:tcPr>
            <w:tcW w:w="1871" w:type="dxa"/>
            <w:tcBorders>
              <w:top w:val="nil"/>
              <w:left w:val="nil"/>
              <w:bottom w:val="nil"/>
              <w:right w:val="nil"/>
            </w:tcBorders>
          </w:tcPr>
          <w:p w:rsidR="00000000" w:rsidRDefault="00EE48C5">
            <w:pPr>
              <w:pStyle w:val="TableSideHeading"/>
              <w:rPr>
                <w:rFonts w:cs="David"/>
              </w:rPr>
            </w:pPr>
            <w:r>
              <w:rPr>
                <w:rFonts w:cs="David"/>
                <w:sz w:val="26"/>
                <w:rtl/>
              </w:rPr>
              <w:t>תיקון סעיף 25ז</w:t>
            </w:r>
          </w:p>
        </w:tc>
        <w:tc>
          <w:tcPr>
            <w:tcW w:w="624" w:type="dxa"/>
            <w:tcBorders>
              <w:top w:val="nil"/>
              <w:left w:val="nil"/>
              <w:bottom w:val="nil"/>
              <w:right w:val="nil"/>
            </w:tcBorders>
          </w:tcPr>
          <w:p w:rsidR="00000000" w:rsidRDefault="00EE48C5">
            <w:pPr>
              <w:pStyle w:val="TableText"/>
              <w:rPr>
                <w:rFonts w:cs="David"/>
              </w:rPr>
            </w:pPr>
            <w:r>
              <w:rPr>
                <w:rFonts w:cs="David"/>
                <w:sz w:val="26"/>
                <w:rtl/>
              </w:rPr>
              <w:t>1.</w:t>
            </w:r>
          </w:p>
        </w:tc>
        <w:tc>
          <w:tcPr>
            <w:tcW w:w="7146" w:type="dxa"/>
            <w:gridSpan w:val="3"/>
            <w:tcBorders>
              <w:top w:val="nil"/>
              <w:left w:val="nil"/>
              <w:bottom w:val="nil"/>
              <w:right w:val="nil"/>
            </w:tcBorders>
          </w:tcPr>
          <w:p w:rsidR="00000000" w:rsidRDefault="00EE48C5">
            <w:pPr>
              <w:pStyle w:val="TableBlock"/>
              <w:rPr>
                <w:rFonts w:cs="David"/>
              </w:rPr>
            </w:pPr>
            <w:r>
              <w:rPr>
                <w:rFonts w:cs="David"/>
                <w:sz w:val="26"/>
                <w:rtl/>
              </w:rPr>
              <w:t>בחוק המועצה להשכלה גבוהה, התשי"ח-1958</w:t>
            </w:r>
            <w:r>
              <w:rPr>
                <w:rStyle w:val="a7"/>
                <w:rFonts w:cs="David"/>
                <w:sz w:val="26"/>
                <w:rtl/>
              </w:rPr>
              <w:footnoteReference w:id="2"/>
            </w:r>
            <w:r>
              <w:rPr>
                <w:rFonts w:cs="David"/>
                <w:sz w:val="26"/>
                <w:rtl/>
              </w:rPr>
              <w:t xml:space="preserve"> (להלן – החוק העיקרי), בסעיף 25ז האמור בו יסומן "(ג)" ולפניו יבוא - </w:t>
            </w:r>
          </w:p>
        </w:tc>
      </w:tr>
      <w:tr w:rsidR="00000000">
        <w:trPr>
          <w:cantSplit/>
          <w:trHeight w:val="60"/>
        </w:trPr>
        <w:tc>
          <w:tcPr>
            <w:tcW w:w="1871" w:type="dxa"/>
            <w:tcBorders>
              <w:top w:val="nil"/>
              <w:left w:val="nil"/>
              <w:bottom w:val="nil"/>
              <w:right w:val="nil"/>
            </w:tcBorders>
          </w:tcPr>
          <w:p w:rsidR="00000000" w:rsidRDefault="00EE48C5">
            <w:pPr>
              <w:pStyle w:val="TableSideHeading"/>
              <w:rPr>
                <w:rFonts w:cs="David"/>
              </w:rPr>
            </w:pPr>
          </w:p>
        </w:tc>
        <w:tc>
          <w:tcPr>
            <w:tcW w:w="624" w:type="dxa"/>
            <w:tcBorders>
              <w:top w:val="nil"/>
              <w:left w:val="nil"/>
              <w:bottom w:val="nil"/>
              <w:right w:val="nil"/>
            </w:tcBorders>
          </w:tcPr>
          <w:p w:rsidR="00000000" w:rsidRDefault="00EE48C5">
            <w:pPr>
              <w:pStyle w:val="TableText"/>
              <w:rPr>
                <w:rFonts w:cs="David"/>
              </w:rPr>
            </w:pPr>
          </w:p>
        </w:tc>
        <w:tc>
          <w:tcPr>
            <w:tcW w:w="624" w:type="dxa"/>
            <w:tcBorders>
              <w:top w:val="nil"/>
              <w:left w:val="nil"/>
              <w:bottom w:val="nil"/>
              <w:right w:val="nil"/>
            </w:tcBorders>
          </w:tcPr>
          <w:p w:rsidR="00000000" w:rsidRDefault="00EE48C5">
            <w:pPr>
              <w:pStyle w:val="TableText"/>
              <w:rPr>
                <w:rFonts w:cs="David"/>
              </w:rPr>
            </w:pPr>
            <w:r>
              <w:rPr>
                <w:rFonts w:cs="David"/>
                <w:sz w:val="26"/>
                <w:rtl/>
              </w:rPr>
              <w:t>"(א)</w:t>
            </w:r>
          </w:p>
        </w:tc>
        <w:tc>
          <w:tcPr>
            <w:tcW w:w="6522" w:type="dxa"/>
            <w:gridSpan w:val="2"/>
            <w:tcBorders>
              <w:top w:val="nil"/>
              <w:left w:val="nil"/>
              <w:bottom w:val="nil"/>
              <w:right w:val="nil"/>
            </w:tcBorders>
          </w:tcPr>
          <w:p w:rsidR="00000000" w:rsidRDefault="00EE48C5">
            <w:pPr>
              <w:pStyle w:val="TableBlock"/>
              <w:rPr>
                <w:rFonts w:cs="David"/>
              </w:rPr>
            </w:pPr>
            <w:r>
              <w:rPr>
                <w:rFonts w:cs="David"/>
                <w:sz w:val="26"/>
                <w:rtl/>
              </w:rPr>
              <w:t xml:space="preserve"> המוסד בישראל ידווח למועצה, ללא דיחוי, אם חדל</w:t>
            </w:r>
            <w:r>
              <w:rPr>
                <w:rFonts w:cs="David"/>
                <w:sz w:val="26"/>
                <w:rtl/>
              </w:rPr>
              <w:t xml:space="preserve"> להתקיים בו תנאי מן התנאים למתן הרישיון או נתקיים בו תנאי שבגינו רשאית המועצה לבטל רישיון או להתלותו.</w:t>
            </w:r>
          </w:p>
        </w:tc>
      </w:tr>
      <w:tr w:rsidR="00000000">
        <w:trPr>
          <w:cantSplit/>
          <w:trHeight w:val="60"/>
        </w:trPr>
        <w:tc>
          <w:tcPr>
            <w:tcW w:w="1871" w:type="dxa"/>
            <w:tcBorders>
              <w:top w:val="nil"/>
              <w:left w:val="nil"/>
              <w:bottom w:val="nil"/>
              <w:right w:val="nil"/>
            </w:tcBorders>
          </w:tcPr>
          <w:p w:rsidR="00000000" w:rsidRDefault="00EE48C5">
            <w:pPr>
              <w:pStyle w:val="TableSideHeading"/>
              <w:rPr>
                <w:rFonts w:cs="David"/>
              </w:rPr>
            </w:pPr>
          </w:p>
        </w:tc>
        <w:tc>
          <w:tcPr>
            <w:tcW w:w="624" w:type="dxa"/>
            <w:tcBorders>
              <w:top w:val="nil"/>
              <w:left w:val="nil"/>
              <w:bottom w:val="nil"/>
              <w:right w:val="nil"/>
            </w:tcBorders>
          </w:tcPr>
          <w:p w:rsidR="00000000" w:rsidRDefault="00EE48C5">
            <w:pPr>
              <w:pStyle w:val="TableText"/>
              <w:rPr>
                <w:rFonts w:cs="David"/>
              </w:rPr>
            </w:pPr>
          </w:p>
        </w:tc>
        <w:tc>
          <w:tcPr>
            <w:tcW w:w="624" w:type="dxa"/>
            <w:tcBorders>
              <w:top w:val="nil"/>
              <w:left w:val="nil"/>
              <w:bottom w:val="nil"/>
              <w:right w:val="nil"/>
            </w:tcBorders>
          </w:tcPr>
          <w:p w:rsidR="00000000" w:rsidRDefault="00EE48C5">
            <w:pPr>
              <w:pStyle w:val="TableText"/>
              <w:rPr>
                <w:rFonts w:cs="David"/>
              </w:rPr>
            </w:pPr>
            <w:r>
              <w:rPr>
                <w:rFonts w:cs="David"/>
                <w:sz w:val="26"/>
                <w:rtl/>
              </w:rPr>
              <w:t>(ב)</w:t>
            </w:r>
          </w:p>
        </w:tc>
        <w:tc>
          <w:tcPr>
            <w:tcW w:w="6522" w:type="dxa"/>
            <w:gridSpan w:val="2"/>
            <w:tcBorders>
              <w:top w:val="nil"/>
              <w:left w:val="nil"/>
              <w:bottom w:val="nil"/>
              <w:right w:val="nil"/>
            </w:tcBorders>
          </w:tcPr>
          <w:p w:rsidR="00000000" w:rsidRDefault="00EE48C5">
            <w:pPr>
              <w:pStyle w:val="TableBlock"/>
              <w:rPr>
                <w:rFonts w:cs="David"/>
              </w:rPr>
            </w:pPr>
            <w:r>
              <w:rPr>
                <w:rFonts w:cs="David"/>
                <w:sz w:val="26"/>
                <w:rtl/>
              </w:rPr>
              <w:t>המוסד בישראל יגיש למועצה אחת לשלוש שנים מיום קבלת הרישיון:</w:t>
            </w:r>
          </w:p>
        </w:tc>
      </w:tr>
      <w:tr w:rsidR="00000000">
        <w:trPr>
          <w:cantSplit/>
          <w:trHeight w:val="60"/>
        </w:trPr>
        <w:tc>
          <w:tcPr>
            <w:tcW w:w="1871" w:type="dxa"/>
            <w:tcBorders>
              <w:top w:val="nil"/>
              <w:left w:val="nil"/>
              <w:bottom w:val="nil"/>
              <w:right w:val="nil"/>
            </w:tcBorders>
          </w:tcPr>
          <w:p w:rsidR="00000000" w:rsidRDefault="00EE48C5">
            <w:pPr>
              <w:pStyle w:val="TableSideHeading"/>
              <w:rPr>
                <w:rFonts w:cs="David"/>
              </w:rPr>
            </w:pPr>
          </w:p>
        </w:tc>
        <w:tc>
          <w:tcPr>
            <w:tcW w:w="624" w:type="dxa"/>
            <w:tcBorders>
              <w:top w:val="nil"/>
              <w:left w:val="nil"/>
              <w:bottom w:val="nil"/>
              <w:right w:val="nil"/>
            </w:tcBorders>
          </w:tcPr>
          <w:p w:rsidR="00000000" w:rsidRDefault="00EE48C5">
            <w:pPr>
              <w:pStyle w:val="TableText"/>
              <w:rPr>
                <w:rFonts w:cs="David"/>
              </w:rPr>
            </w:pPr>
          </w:p>
        </w:tc>
        <w:tc>
          <w:tcPr>
            <w:tcW w:w="624" w:type="dxa"/>
            <w:tcBorders>
              <w:top w:val="nil"/>
              <w:left w:val="nil"/>
              <w:bottom w:val="nil"/>
              <w:right w:val="nil"/>
            </w:tcBorders>
          </w:tcPr>
          <w:p w:rsidR="00000000" w:rsidRDefault="00EE48C5">
            <w:pPr>
              <w:pStyle w:val="TableText"/>
              <w:rPr>
                <w:rFonts w:cs="David"/>
              </w:rPr>
            </w:pPr>
          </w:p>
        </w:tc>
        <w:tc>
          <w:tcPr>
            <w:tcW w:w="624" w:type="dxa"/>
            <w:tcBorders>
              <w:top w:val="nil"/>
              <w:left w:val="nil"/>
              <w:bottom w:val="nil"/>
              <w:right w:val="nil"/>
            </w:tcBorders>
          </w:tcPr>
          <w:p w:rsidR="00000000" w:rsidRDefault="00EE48C5">
            <w:pPr>
              <w:pStyle w:val="TableText"/>
              <w:rPr>
                <w:rFonts w:cs="David"/>
              </w:rPr>
            </w:pPr>
            <w:r>
              <w:rPr>
                <w:rFonts w:cs="David"/>
                <w:sz w:val="26"/>
                <w:rtl/>
              </w:rPr>
              <w:t>(1)</w:t>
            </w:r>
          </w:p>
        </w:tc>
        <w:tc>
          <w:tcPr>
            <w:tcW w:w="5898" w:type="dxa"/>
            <w:tcBorders>
              <w:top w:val="nil"/>
              <w:left w:val="nil"/>
              <w:bottom w:val="nil"/>
              <w:right w:val="nil"/>
            </w:tcBorders>
          </w:tcPr>
          <w:p w:rsidR="00000000" w:rsidRDefault="00EE48C5">
            <w:pPr>
              <w:pStyle w:val="TableBlock"/>
              <w:rPr>
                <w:rFonts w:cs="David"/>
              </w:rPr>
            </w:pPr>
            <w:r>
              <w:rPr>
                <w:rFonts w:cs="David"/>
                <w:sz w:val="26"/>
                <w:rtl/>
              </w:rPr>
              <w:t>מסמכים המעידים על התקיימותם של התנאים לרישיון, כפי שקבע השר.</w:t>
            </w:r>
          </w:p>
        </w:tc>
      </w:tr>
      <w:tr w:rsidR="00000000">
        <w:trPr>
          <w:cantSplit/>
          <w:trHeight w:val="60"/>
        </w:trPr>
        <w:tc>
          <w:tcPr>
            <w:tcW w:w="1871" w:type="dxa"/>
            <w:tcBorders>
              <w:top w:val="nil"/>
              <w:left w:val="nil"/>
              <w:bottom w:val="nil"/>
              <w:right w:val="nil"/>
            </w:tcBorders>
          </w:tcPr>
          <w:p w:rsidR="00000000" w:rsidRDefault="00EE48C5">
            <w:pPr>
              <w:pStyle w:val="TableSideHeading"/>
              <w:rPr>
                <w:rFonts w:cs="David"/>
              </w:rPr>
            </w:pPr>
          </w:p>
        </w:tc>
        <w:tc>
          <w:tcPr>
            <w:tcW w:w="624" w:type="dxa"/>
            <w:tcBorders>
              <w:top w:val="nil"/>
              <w:left w:val="nil"/>
              <w:bottom w:val="nil"/>
              <w:right w:val="nil"/>
            </w:tcBorders>
          </w:tcPr>
          <w:p w:rsidR="00000000" w:rsidRDefault="00EE48C5">
            <w:pPr>
              <w:pStyle w:val="TableText"/>
              <w:rPr>
                <w:rFonts w:cs="David"/>
              </w:rPr>
            </w:pPr>
          </w:p>
        </w:tc>
        <w:tc>
          <w:tcPr>
            <w:tcW w:w="624" w:type="dxa"/>
            <w:tcBorders>
              <w:top w:val="nil"/>
              <w:left w:val="nil"/>
              <w:bottom w:val="nil"/>
              <w:right w:val="nil"/>
            </w:tcBorders>
          </w:tcPr>
          <w:p w:rsidR="00000000" w:rsidRDefault="00EE48C5">
            <w:pPr>
              <w:pStyle w:val="TableText"/>
              <w:rPr>
                <w:rFonts w:cs="David"/>
              </w:rPr>
            </w:pPr>
          </w:p>
        </w:tc>
        <w:tc>
          <w:tcPr>
            <w:tcW w:w="624" w:type="dxa"/>
            <w:tcBorders>
              <w:top w:val="nil"/>
              <w:left w:val="nil"/>
              <w:bottom w:val="nil"/>
              <w:right w:val="nil"/>
            </w:tcBorders>
          </w:tcPr>
          <w:p w:rsidR="00000000" w:rsidRDefault="00EE48C5">
            <w:pPr>
              <w:pStyle w:val="TableText"/>
              <w:rPr>
                <w:rFonts w:cs="David"/>
              </w:rPr>
            </w:pPr>
            <w:r>
              <w:rPr>
                <w:rFonts w:cs="David"/>
                <w:sz w:val="26"/>
                <w:rtl/>
              </w:rPr>
              <w:t>(2)</w:t>
            </w:r>
          </w:p>
        </w:tc>
        <w:tc>
          <w:tcPr>
            <w:tcW w:w="5898" w:type="dxa"/>
            <w:tcBorders>
              <w:top w:val="nil"/>
              <w:left w:val="nil"/>
              <w:bottom w:val="nil"/>
              <w:right w:val="nil"/>
            </w:tcBorders>
          </w:tcPr>
          <w:p w:rsidR="00000000" w:rsidRDefault="00EE48C5">
            <w:pPr>
              <w:pStyle w:val="TableBlock"/>
              <w:rPr>
                <w:rFonts w:cs="David"/>
              </w:rPr>
            </w:pPr>
            <w:r>
              <w:rPr>
                <w:rFonts w:cs="David"/>
                <w:sz w:val="26"/>
                <w:rtl/>
              </w:rPr>
              <w:t xml:space="preserve">תצהיר מנהל </w:t>
            </w:r>
            <w:r>
              <w:rPr>
                <w:rFonts w:cs="David"/>
                <w:sz w:val="26"/>
                <w:rtl/>
              </w:rPr>
              <w:t>המוסד בישראל המאשר התקיימותם של התנאים לרישיון".</w:t>
            </w:r>
          </w:p>
        </w:tc>
      </w:tr>
      <w:tr w:rsidR="00000000">
        <w:trPr>
          <w:cantSplit/>
          <w:trHeight w:val="60"/>
        </w:trPr>
        <w:tc>
          <w:tcPr>
            <w:tcW w:w="1871" w:type="dxa"/>
            <w:tcBorders>
              <w:top w:val="nil"/>
              <w:left w:val="nil"/>
              <w:bottom w:val="nil"/>
              <w:right w:val="nil"/>
            </w:tcBorders>
          </w:tcPr>
          <w:p w:rsidR="00000000" w:rsidRDefault="00EE48C5">
            <w:pPr>
              <w:pStyle w:val="TableSideHeading"/>
              <w:rPr>
                <w:rFonts w:cs="David"/>
              </w:rPr>
            </w:pPr>
            <w:r>
              <w:rPr>
                <w:rFonts w:cs="David"/>
                <w:sz w:val="26"/>
                <w:rtl/>
              </w:rPr>
              <w:t>תיקון סעיף 25ט</w:t>
            </w:r>
          </w:p>
        </w:tc>
        <w:tc>
          <w:tcPr>
            <w:tcW w:w="624" w:type="dxa"/>
            <w:tcBorders>
              <w:top w:val="nil"/>
              <w:left w:val="nil"/>
              <w:bottom w:val="nil"/>
              <w:right w:val="nil"/>
            </w:tcBorders>
          </w:tcPr>
          <w:p w:rsidR="00000000" w:rsidRDefault="00EE48C5">
            <w:pPr>
              <w:pStyle w:val="TableText"/>
              <w:rPr>
                <w:rFonts w:cs="David"/>
              </w:rPr>
            </w:pPr>
            <w:r>
              <w:rPr>
                <w:rFonts w:cs="David"/>
                <w:sz w:val="26"/>
                <w:rtl/>
              </w:rPr>
              <w:t>2.</w:t>
            </w:r>
          </w:p>
        </w:tc>
        <w:tc>
          <w:tcPr>
            <w:tcW w:w="7146" w:type="dxa"/>
            <w:gridSpan w:val="3"/>
            <w:tcBorders>
              <w:top w:val="nil"/>
              <w:left w:val="nil"/>
              <w:bottom w:val="nil"/>
              <w:right w:val="nil"/>
            </w:tcBorders>
          </w:tcPr>
          <w:p w:rsidR="00000000" w:rsidRDefault="00EE48C5">
            <w:pPr>
              <w:pStyle w:val="TableBlock"/>
              <w:rPr>
                <w:rFonts w:cs="David"/>
              </w:rPr>
            </w:pPr>
            <w:r>
              <w:rPr>
                <w:rFonts w:cs="David"/>
                <w:sz w:val="26"/>
                <w:rtl/>
              </w:rPr>
              <w:t>בסעיף 25ט לחוק העיקרי, אחרי "המפורטים בסעיף 25ד" יבוא "וזאת מנימוקים מיוחדים בלבד".</w:t>
            </w:r>
          </w:p>
        </w:tc>
      </w:tr>
      <w:tr w:rsidR="00000000">
        <w:trPr>
          <w:cantSplit/>
          <w:trHeight w:val="60"/>
        </w:trPr>
        <w:tc>
          <w:tcPr>
            <w:tcW w:w="1871" w:type="dxa"/>
            <w:tcBorders>
              <w:top w:val="nil"/>
              <w:left w:val="nil"/>
              <w:bottom w:val="nil"/>
              <w:right w:val="nil"/>
            </w:tcBorders>
          </w:tcPr>
          <w:p w:rsidR="00000000" w:rsidRDefault="00EE48C5">
            <w:pPr>
              <w:pStyle w:val="TableSideHeading"/>
              <w:rPr>
                <w:rFonts w:cs="David"/>
              </w:rPr>
            </w:pPr>
            <w:r>
              <w:rPr>
                <w:rFonts w:cs="David"/>
                <w:sz w:val="26"/>
                <w:rtl/>
              </w:rPr>
              <w:t>תיקון סעיף 25יא</w:t>
            </w:r>
          </w:p>
        </w:tc>
        <w:tc>
          <w:tcPr>
            <w:tcW w:w="624" w:type="dxa"/>
            <w:tcBorders>
              <w:top w:val="nil"/>
              <w:left w:val="nil"/>
              <w:bottom w:val="nil"/>
              <w:right w:val="nil"/>
            </w:tcBorders>
          </w:tcPr>
          <w:p w:rsidR="00000000" w:rsidRDefault="00EE48C5">
            <w:pPr>
              <w:pStyle w:val="TableText"/>
              <w:rPr>
                <w:rFonts w:cs="David"/>
              </w:rPr>
            </w:pPr>
            <w:r>
              <w:rPr>
                <w:rFonts w:cs="David"/>
                <w:sz w:val="26"/>
                <w:rtl/>
              </w:rPr>
              <w:t>3.</w:t>
            </w:r>
          </w:p>
        </w:tc>
        <w:tc>
          <w:tcPr>
            <w:tcW w:w="7146" w:type="dxa"/>
            <w:gridSpan w:val="3"/>
            <w:tcBorders>
              <w:top w:val="nil"/>
              <w:left w:val="nil"/>
              <w:bottom w:val="nil"/>
              <w:right w:val="nil"/>
            </w:tcBorders>
          </w:tcPr>
          <w:p w:rsidR="00000000" w:rsidRDefault="00EE48C5">
            <w:pPr>
              <w:pStyle w:val="TableBlock"/>
              <w:rPr>
                <w:rFonts w:cs="David"/>
              </w:rPr>
            </w:pPr>
            <w:r>
              <w:rPr>
                <w:rFonts w:cs="David"/>
                <w:sz w:val="26"/>
                <w:rtl/>
              </w:rPr>
              <w:t>בסעיף 25יא לחוק העיקרי, במקום "רשאית המועצה לבטל" יבוא "תבטל המועצה", ובמקום "להתלות</w:t>
            </w:r>
            <w:r>
              <w:rPr>
                <w:rFonts w:cs="David"/>
                <w:sz w:val="26"/>
                <w:rtl/>
              </w:rPr>
              <w:t>ו" יבוא "תתלה אותו".</w:t>
            </w:r>
          </w:p>
        </w:tc>
      </w:tr>
    </w:tbl>
    <w:p w:rsidR="00000000" w:rsidRDefault="00EE48C5">
      <w:pPr>
        <w:pStyle w:val="HeadDivreiHesber"/>
        <w:rPr>
          <w:rFonts w:cs="David"/>
          <w:sz w:val="26"/>
          <w:rtl/>
        </w:rPr>
      </w:pPr>
      <w:r>
        <w:rPr>
          <w:rFonts w:cs="David"/>
          <w:sz w:val="26"/>
          <w:rtl/>
        </w:rPr>
        <w:br/>
        <w:t>דברי הסבר</w:t>
      </w:r>
    </w:p>
    <w:p w:rsidR="00000000" w:rsidRDefault="00EE48C5">
      <w:pPr>
        <w:pStyle w:val="Hesber"/>
        <w:ind w:firstLine="0"/>
        <w:rPr>
          <w:rFonts w:cs="David"/>
          <w:sz w:val="26"/>
          <w:rtl/>
        </w:rPr>
      </w:pPr>
      <w:r>
        <w:rPr>
          <w:rFonts w:cs="David"/>
          <w:sz w:val="26"/>
          <w:rtl/>
        </w:rPr>
        <w:t>תיקון מס' 11 לחוק המועצה להשכלה גבוהה, תשי"ח-1958, אשר נכנס לתוקפו בשנת 1998, נועד להסדיר את פעילותן בישראל של שלוחות של מוסדות להשכלה גבוהה מחו"ל על ידי חיובן בקבלת רישיון, באופן שיבטיח עמידתן בקריטריונים מסוימים בכל הנוגע</w:t>
      </w:r>
      <w:r>
        <w:rPr>
          <w:rFonts w:cs="David"/>
          <w:sz w:val="26"/>
          <w:rtl/>
        </w:rPr>
        <w:t xml:space="preserve"> למספר תחומים, ובהם: זהות תוכנית הלימודים בשלוחה לזו שמתקיימת במוסד האם, הקבלת תוכניות הלימוד בשלוחות לתוכניות דומות המתקיימות במוסדות אקדמיים ישראליים, קיום מקום לימודים הולם וקביעת קריטריונים לקבלת תלמידים.</w:t>
      </w:r>
    </w:p>
    <w:p w:rsidR="00000000" w:rsidRDefault="00EE48C5">
      <w:pPr>
        <w:pStyle w:val="Hesber"/>
        <w:ind w:firstLine="0"/>
        <w:rPr>
          <w:rFonts w:cs="David"/>
          <w:sz w:val="26"/>
          <w:rtl/>
        </w:rPr>
      </w:pPr>
    </w:p>
    <w:p w:rsidR="00000000" w:rsidRDefault="00EE48C5">
      <w:pPr>
        <w:pStyle w:val="Hesber"/>
        <w:ind w:firstLine="0"/>
        <w:rPr>
          <w:rFonts w:cs="David"/>
          <w:sz w:val="26"/>
          <w:rtl/>
        </w:rPr>
      </w:pPr>
      <w:r>
        <w:rPr>
          <w:rFonts w:cs="David"/>
          <w:sz w:val="26"/>
          <w:rtl/>
        </w:rPr>
        <w:t>על אף קיום פיקוח על השלוחות בידי המועצה להשכלה</w:t>
      </w:r>
      <w:r>
        <w:rPr>
          <w:rFonts w:cs="David"/>
          <w:sz w:val="26"/>
          <w:rtl/>
        </w:rPr>
        <w:t xml:space="preserve"> גבוהה, מציינת הוועדה לתכנון ותקצוב של המועצה, בדו"ח מס' 28/29 לשנים תשס"א – תשס"ב, כי מתגלות חריגות והפרות מצד השלוחות בכל הנוגע לזהות, היקף ותוכן הלימודים בשלוחות, לזה של מוסדות האם, לעמידה בקריטריונים שנקבעו לקבלת תלמידים ולקיום מקום לימודים הולם לפי הס</w:t>
      </w:r>
      <w:r>
        <w:rPr>
          <w:rFonts w:cs="David"/>
          <w:sz w:val="26"/>
          <w:rtl/>
        </w:rPr>
        <w:t>טנדרטים שנדרשו.</w:t>
      </w:r>
    </w:p>
    <w:p w:rsidR="00000000" w:rsidRDefault="00EE48C5">
      <w:pPr>
        <w:pStyle w:val="Hesber"/>
        <w:ind w:firstLine="0"/>
        <w:rPr>
          <w:rFonts w:cs="David"/>
          <w:sz w:val="26"/>
          <w:rtl/>
        </w:rPr>
      </w:pPr>
    </w:p>
    <w:p w:rsidR="00000000" w:rsidRDefault="00EE48C5">
      <w:pPr>
        <w:pStyle w:val="Hesber"/>
        <w:ind w:firstLine="0"/>
        <w:rPr>
          <w:rFonts w:cs="David"/>
          <w:sz w:val="26"/>
          <w:rtl/>
        </w:rPr>
      </w:pPr>
      <w:r>
        <w:rPr>
          <w:rFonts w:cs="David"/>
          <w:sz w:val="26"/>
          <w:rtl/>
        </w:rPr>
        <w:t>לאור זאת נראה כי יש צורך לחזק ולהקשיח את הדרישות והסנקציות בכל הנוגע לרישיונן של שלוחות של המוסדות להשכלה גבוהה מחו"ל, על מנת להבטיח את עמידתם בסטנדרטים הנדרשים.</w:t>
      </w:r>
    </w:p>
    <w:p w:rsidR="00000000" w:rsidRDefault="00EE48C5">
      <w:pPr>
        <w:pStyle w:val="Hesber"/>
        <w:ind w:firstLine="0"/>
        <w:rPr>
          <w:rFonts w:cs="David"/>
          <w:sz w:val="26"/>
          <w:rtl/>
        </w:rPr>
      </w:pPr>
      <w:r>
        <w:rPr>
          <w:rFonts w:cs="David"/>
          <w:sz w:val="26"/>
          <w:rtl/>
        </w:rPr>
        <w:t>במסגרת זו מוצעים בהצעת חוק זו שלושה תיקונים להבטחת האמור:</w:t>
      </w:r>
    </w:p>
    <w:p w:rsidR="00000000" w:rsidRDefault="00EE48C5">
      <w:pPr>
        <w:pStyle w:val="Hesber"/>
        <w:ind w:firstLine="0"/>
        <w:rPr>
          <w:rFonts w:cs="David"/>
          <w:sz w:val="26"/>
          <w:rtl/>
        </w:rPr>
      </w:pPr>
    </w:p>
    <w:p w:rsidR="00000000" w:rsidRDefault="00EE48C5">
      <w:pPr>
        <w:pStyle w:val="Hesber"/>
        <w:numPr>
          <w:ilvl w:val="0"/>
          <w:numId w:val="13"/>
        </w:numPr>
        <w:rPr>
          <w:rFonts w:cs="David"/>
          <w:sz w:val="26"/>
          <w:rtl/>
        </w:rPr>
      </w:pPr>
      <w:r>
        <w:rPr>
          <w:rFonts w:cs="David"/>
          <w:sz w:val="26"/>
          <w:rtl/>
        </w:rPr>
        <w:t>דרישה מן השלוחו</w:t>
      </w:r>
      <w:r>
        <w:rPr>
          <w:rFonts w:cs="David"/>
          <w:sz w:val="26"/>
          <w:rtl/>
        </w:rPr>
        <w:t xml:space="preserve">ת להגשת מסמכים מעודכנים למועצה להשכלה גבוהה, אחת לשלוש שנים, המוכיחים עמידתן בדרישות החוק למתן רישיון.  זאת, בליווי תצהיר המאמת את תוכן המסמכים המוגשים. בכך יקוים פיקוח קבוע על השלוחות, אשר לא יהיה מותנה בפיקוח יזום מצד המועצה להשכלה גבוהה. </w:t>
      </w:r>
    </w:p>
    <w:p w:rsidR="00000000" w:rsidRDefault="00EE48C5">
      <w:pPr>
        <w:pStyle w:val="Hesber"/>
        <w:numPr>
          <w:ilvl w:val="0"/>
          <w:numId w:val="13"/>
        </w:numPr>
        <w:rPr>
          <w:rFonts w:cs="David"/>
        </w:rPr>
      </w:pPr>
      <w:r>
        <w:rPr>
          <w:rFonts w:cs="David"/>
          <w:sz w:val="26"/>
          <w:rtl/>
        </w:rPr>
        <w:t>צמצום סמכות</w:t>
      </w:r>
      <w:r>
        <w:rPr>
          <w:rFonts w:cs="David"/>
          <w:sz w:val="26"/>
          <w:rtl/>
        </w:rPr>
        <w:t xml:space="preserve"> המועצה להשכלה גבוהה להענקת רישיון זמני לשלוחה אשר אינה עומדת בכל הדרישות המנויות בסעיף 25ד לחוק. בכך יהפכו הדרישות הקיימות בסעיף 25ד לחוק לדרישות סף אולטימטיביות.</w:t>
      </w:r>
    </w:p>
    <w:p w:rsidR="00000000" w:rsidRDefault="00EE48C5">
      <w:pPr>
        <w:pStyle w:val="Hesber"/>
        <w:numPr>
          <w:ilvl w:val="0"/>
          <w:numId w:val="13"/>
        </w:numPr>
        <w:rPr>
          <w:rFonts w:cs="David"/>
        </w:rPr>
      </w:pPr>
      <w:r>
        <w:rPr>
          <w:rFonts w:cs="David"/>
          <w:sz w:val="26"/>
          <w:rtl/>
        </w:rPr>
        <w:t>הפיכת סנקציית ביטול או התליית הרישיון במקרה של הפרה או אי-קיום הוראות החוק בכל הנוגע לדרי</w:t>
      </w:r>
      <w:r>
        <w:rPr>
          <w:rFonts w:cs="David"/>
          <w:sz w:val="26"/>
          <w:rtl/>
        </w:rPr>
        <w:t>שות מן השלוחות, מסנקציית רשות לסנקציית חובה – דבר שיחזק את המנגנון ההרתעה כלפי השלוחות.</w:t>
      </w:r>
    </w:p>
    <w:p w:rsidR="00000000" w:rsidRDefault="00EE48C5">
      <w:pPr>
        <w:pStyle w:val="Hesber"/>
        <w:ind w:left="360" w:firstLine="0"/>
        <w:rPr>
          <w:rFonts w:cs="David"/>
          <w:sz w:val="26"/>
          <w:rtl/>
        </w:rPr>
      </w:pPr>
    </w:p>
    <w:p w:rsidR="00000000" w:rsidRDefault="00EE48C5">
      <w:pPr>
        <w:pStyle w:val="Hesber"/>
        <w:ind w:firstLine="0"/>
        <w:rPr>
          <w:rFonts w:cs="David"/>
          <w:sz w:val="26"/>
          <w:rtl/>
        </w:rPr>
      </w:pPr>
      <w:r>
        <w:rPr>
          <w:rFonts w:cs="David"/>
          <w:sz w:val="26"/>
          <w:rtl/>
        </w:rPr>
        <w:t>שלושת התיקונים האמורים יחזקו את מנגנוני הפיקוח, ההרתעה והאכיפה בכל הנוגע לעמידת השלוחות בקריטריונים לפעולה בישראל.</w:t>
      </w:r>
    </w:p>
    <w:p w:rsidR="00000000" w:rsidRDefault="00EE48C5">
      <w:pPr>
        <w:pStyle w:val="HesberWriters"/>
        <w:spacing w:after="0"/>
        <w:ind w:left="0"/>
        <w:jc w:val="both"/>
        <w:rPr>
          <w:rFonts w:cs="David"/>
          <w:b w:val="0"/>
          <w:bCs w:val="0"/>
          <w:sz w:val="26"/>
          <w:rtl/>
        </w:rPr>
      </w:pPr>
      <w:r>
        <w:rPr>
          <w:rFonts w:cs="David"/>
          <w:b w:val="0"/>
          <w:bCs w:val="0"/>
          <w:sz w:val="26"/>
          <w:rtl/>
        </w:rPr>
        <w:t>הצעת חוק זהה הונחה על שולחן הכנסת השש-עשרה עך ידי חב</w:t>
      </w:r>
      <w:r>
        <w:rPr>
          <w:rFonts w:cs="David"/>
          <w:b w:val="0"/>
          <w:bCs w:val="0"/>
          <w:sz w:val="26"/>
          <w:rtl/>
        </w:rPr>
        <w:t>ר הכנסת מגלי והבה (פ/1513).</w:t>
      </w:r>
    </w:p>
    <w:p w:rsidR="00000000" w:rsidRDefault="00EE48C5">
      <w:pPr>
        <w:pStyle w:val="HesberWriters"/>
        <w:spacing w:after="0"/>
        <w:ind w:left="0"/>
        <w:jc w:val="both"/>
        <w:rPr>
          <w:rFonts w:cs="David"/>
          <w:b w:val="0"/>
          <w:bCs w:val="0"/>
          <w:sz w:val="26"/>
          <w:rtl/>
        </w:rPr>
      </w:pPr>
    </w:p>
    <w:p w:rsidR="00000000" w:rsidRDefault="00EE48C5">
      <w:pPr>
        <w:rPr>
          <w:rtl/>
        </w:rPr>
      </w:pPr>
    </w:p>
    <w:p w:rsidR="00000000" w:rsidRDefault="00EE48C5">
      <w:pPr>
        <w:rPr>
          <w:rtl/>
        </w:rPr>
      </w:pPr>
    </w:p>
    <w:p w:rsidR="00000000" w:rsidRDefault="00EE48C5">
      <w:pPr>
        <w:spacing w:line="360" w:lineRule="auto"/>
        <w:rPr>
          <w:rFonts w:cs="David"/>
          <w:sz w:val="26"/>
          <w:szCs w:val="26"/>
          <w:rtl/>
        </w:rPr>
      </w:pPr>
      <w:r>
        <w:rPr>
          <w:rFonts w:cs="David"/>
          <w:sz w:val="26"/>
          <w:szCs w:val="26"/>
          <w:rtl/>
        </w:rPr>
        <w:t>---------------------------------</w:t>
      </w:r>
    </w:p>
    <w:p w:rsidR="00000000" w:rsidRDefault="00EE48C5">
      <w:pPr>
        <w:spacing w:line="360" w:lineRule="auto"/>
        <w:rPr>
          <w:rFonts w:cs="David"/>
          <w:sz w:val="26"/>
          <w:szCs w:val="26"/>
          <w:rtl/>
        </w:rPr>
      </w:pPr>
      <w:r>
        <w:rPr>
          <w:rFonts w:cs="David"/>
          <w:sz w:val="26"/>
          <w:szCs w:val="26"/>
          <w:rtl/>
        </w:rPr>
        <w:t>הוגשה ליו"ר הכנסת והסגנים</w:t>
      </w:r>
    </w:p>
    <w:p w:rsidR="00000000" w:rsidRDefault="00EE48C5">
      <w:pPr>
        <w:spacing w:line="360" w:lineRule="auto"/>
        <w:rPr>
          <w:rFonts w:cs="David"/>
          <w:sz w:val="26"/>
          <w:szCs w:val="26"/>
          <w:rtl/>
        </w:rPr>
      </w:pPr>
      <w:r>
        <w:rPr>
          <w:rFonts w:cs="David"/>
          <w:sz w:val="26"/>
          <w:szCs w:val="26"/>
          <w:rtl/>
        </w:rPr>
        <w:t>והונחה על שולחן הכנסת ביום</w:t>
      </w:r>
    </w:p>
    <w:p w:rsidR="00000000" w:rsidRDefault="00EE48C5">
      <w:pPr>
        <w:spacing w:line="360" w:lineRule="auto"/>
        <w:rPr>
          <w:rFonts w:cs="David"/>
          <w:sz w:val="26"/>
          <w:szCs w:val="26"/>
          <w:rtl/>
        </w:rPr>
      </w:pPr>
      <w:r>
        <w:rPr>
          <w:rFonts w:cs="David"/>
          <w:sz w:val="26"/>
          <w:szCs w:val="26"/>
          <w:rtl/>
        </w:rPr>
        <w:t>ט"ו בחשון התשס"ז - 6.11.06</w:t>
      </w:r>
    </w:p>
    <w:sectPr w:rsidR="00000000">
      <w:headerReference w:type="default" r:id="rId7"/>
      <w:footerReference w:type="default" r:id="rId8"/>
      <w:pgSz w:w="11907" w:h="16840" w:code="9"/>
      <w:pgMar w:top="1134" w:right="1134" w:bottom="1701"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E48C5">
      <w:r>
        <w:separator/>
      </w:r>
    </w:p>
  </w:endnote>
  <w:endnote w:type="continuationSeparator" w:id="0">
    <w:p w:rsidR="00000000" w:rsidRDefault="00EE4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48C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E48C5">
      <w:r>
        <w:separator/>
      </w:r>
    </w:p>
  </w:footnote>
  <w:footnote w:type="continuationSeparator" w:id="0">
    <w:p w:rsidR="00000000" w:rsidRDefault="00EE48C5">
      <w:r>
        <w:continuationSeparator/>
      </w:r>
    </w:p>
  </w:footnote>
  <w:footnote w:type="continuationNotice" w:id="1">
    <w:p w:rsidR="00000000" w:rsidRDefault="00EE48C5"/>
  </w:footnote>
  <w:footnote w:id="2">
    <w:p w:rsidR="00000000" w:rsidRDefault="00EE48C5">
      <w:pPr>
        <w:pStyle w:val="a5"/>
      </w:pPr>
      <w:r>
        <w:rPr>
          <w:rStyle w:val="a7"/>
          <w:rFonts w:cs="David"/>
        </w:rPr>
        <w:footnoteRef/>
      </w:r>
      <w:r>
        <w:rPr>
          <w:rFonts w:cs="David"/>
          <w:sz w:val="20"/>
          <w:rtl/>
        </w:rPr>
        <w:t xml:space="preserve"> ס"ח התשי"ח, עמ' 191.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48C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E277B01"/>
    <w:multiLevelType w:val="hybridMultilevel"/>
    <w:tmpl w:val="2D9062C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77873552"/>
    <w:multiLevelType w:val="hybridMultilevel"/>
    <w:tmpl w:val="3ABA3A1E"/>
    <w:lvl w:ilvl="0" w:tplc="6E869F0C">
      <w:start w:val="1"/>
      <w:numFmt w:val="hebrew1"/>
      <w:lvlText w:val="%1."/>
      <w:lvlJc w:val="left"/>
      <w:pPr>
        <w:tabs>
          <w:tab w:val="num" w:pos="840"/>
        </w:tabs>
        <w:ind w:left="840" w:hanging="48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 w:id="1"/>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5248åäáä- îìâ äçîøú äôé÷åç.doc"/>
    <w:docVar w:name="StartMode" w:val="2"/>
  </w:docVars>
  <w:rsids>
    <w:rsidRoot w:val="00EE48C5"/>
    <w:rsid w:val="00EE4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pPr>
      <w:widowControl w:val="0"/>
      <w:autoSpaceDE w:val="0"/>
      <w:autoSpaceDN w:val="0"/>
      <w:bidi/>
      <w:adjustRightInd w:val="0"/>
      <w:snapToGrid w:val="0"/>
      <w:spacing w:after="0" w:line="360" w:lineRule="auto"/>
      <w:textAlignment w:val="center"/>
    </w:pPr>
    <w:rPr>
      <w:rFonts w:ascii="Arial" w:eastAsia="Arial Unicode MS" w:hAnsi="Arial" w:cs="Arial Unicode MS"/>
      <w:color w:val="000000"/>
      <w:sz w:val="20"/>
      <w:szCs w:val="26"/>
      <w:lang w:eastAsia="ja-JP"/>
    </w:rPr>
  </w:style>
  <w:style w:type="paragraph" w:customStyle="1" w:styleId="Cover1-Reshumot">
    <w:name w:val="Cover 1-Reshumot"/>
    <w:basedOn w:val="Noparagraphstyle"/>
    <w:uiPriority w:val="99"/>
    <w:pPr>
      <w:tabs>
        <w:tab w:val="left" w:pos="1191"/>
        <w:tab w:val="left" w:pos="1587"/>
      </w:tabs>
      <w:spacing w:before="240" w:after="240" w:line="480" w:lineRule="auto"/>
      <w:jc w:val="center"/>
    </w:pPr>
  </w:style>
  <w:style w:type="paragraph" w:customStyle="1" w:styleId="Cover2-HatzaotHok">
    <w:name w:val="Cover 2-HatzaotHok"/>
    <w:basedOn w:val="Cover1-Reshumot"/>
    <w:uiPriority w:val="99"/>
    <w:rPr>
      <w:sz w:val="36"/>
      <w:szCs w:val="52"/>
    </w:rPr>
  </w:style>
  <w:style w:type="paragraph" w:customStyle="1" w:styleId="Cover3-Haknesset">
    <w:name w:val="Cover 3-Haknesset"/>
    <w:basedOn w:val="Cover1-Reshumot"/>
    <w:uiPriority w:val="99"/>
    <w:rPr>
      <w:b/>
      <w:bCs/>
      <w:spacing w:val="60"/>
    </w:rPr>
  </w:style>
  <w:style w:type="paragraph" w:customStyle="1" w:styleId="Cover4-Date">
    <w:name w:val="Cover 4-Date"/>
    <w:basedOn w:val="Noparagraphstyle"/>
    <w:uiPriority w:val="99"/>
    <w:pPr>
      <w:pBdr>
        <w:bottom w:val="single" w:sz="4" w:space="0" w:color="auto"/>
      </w:pBdr>
      <w:tabs>
        <w:tab w:val="center" w:pos="4820"/>
        <w:tab w:val="right" w:pos="9639"/>
      </w:tabs>
      <w:spacing w:before="240" w:after="240"/>
    </w:pPr>
  </w:style>
  <w:style w:type="paragraph" w:customStyle="1" w:styleId="TOC">
    <w:name w:val="TOC"/>
    <w:basedOn w:val="Noparagraphstyle"/>
    <w:uiPriority w:val="99"/>
    <w:pPr>
      <w:tabs>
        <w:tab w:val="left" w:leader="dot" w:pos="8789"/>
      </w:tabs>
      <w:spacing w:before="120"/>
      <w:ind w:left="284" w:right="284"/>
    </w:pPr>
  </w:style>
  <w:style w:type="paragraph" w:customStyle="1" w:styleId="TOCpg">
    <w:name w:val="TOC pg"/>
    <w:basedOn w:val="TOC"/>
    <w:uiPriority w:val="99"/>
    <w:pPr>
      <w:spacing w:after="120"/>
      <w:ind w:right="567"/>
      <w:jc w:val="right"/>
    </w:pPr>
  </w:style>
  <w:style w:type="paragraph" w:customStyle="1" w:styleId="HeadMitparsemetBaze">
    <w:name w:val="Head MitparsemetBaze"/>
    <w:basedOn w:val="Noparagraphstyle"/>
    <w:uiPriority w:val="99"/>
    <w:pPr>
      <w:keepNext/>
      <w:keepLines/>
      <w:pageBreakBefore/>
      <w:spacing w:before="480"/>
      <w:jc w:val="both"/>
    </w:pPr>
    <w:rPr>
      <w:b/>
      <w:bCs/>
    </w:rPr>
  </w:style>
  <w:style w:type="paragraph" w:customStyle="1" w:styleId="HeadHatzaotHok">
    <w:name w:val="Head HatzaotHok"/>
    <w:basedOn w:val="Noparagraphstyle"/>
    <w:uiPriority w:val="99"/>
    <w:pPr>
      <w:keepNext/>
      <w:keepLines/>
      <w:spacing w:before="240"/>
      <w:jc w:val="center"/>
    </w:pPr>
    <w:rPr>
      <w:b/>
      <w:bCs/>
    </w:rPr>
  </w:style>
  <w:style w:type="paragraph" w:customStyle="1" w:styleId="HeadHatzaotHok4Futer">
    <w:name w:val="Head HatzaotHok4Futer"/>
    <w:basedOn w:val="HeadHatzaotHok"/>
    <w:uiPriority w:val="99"/>
    <w:pPr>
      <w:spacing w:before="120" w:after="120"/>
    </w:pPr>
    <w:rPr>
      <w:color w:val="FF0000"/>
      <w:w w:val="80"/>
    </w:rPr>
  </w:style>
  <w:style w:type="paragraph" w:styleId="a3">
    <w:name w:val="endnote text"/>
    <w:basedOn w:val="Ragil"/>
    <w:link w:val="a4"/>
    <w:uiPriority w:val="99"/>
    <w:pPr>
      <w:ind w:left="227" w:hanging="227"/>
    </w:pPr>
    <w:rPr>
      <w:sz w:val="14"/>
      <w:szCs w:val="22"/>
    </w:rPr>
  </w:style>
  <w:style w:type="character" w:customStyle="1" w:styleId="a4">
    <w:name w:val="טקסט הערת סיום תו"/>
    <w:basedOn w:val="a0"/>
    <w:link w:val="a3"/>
    <w:uiPriority w:val="99"/>
    <w:semiHidden/>
    <w:rPr>
      <w:rFonts w:ascii="Times New Roman" w:hAnsi="Times New Roman" w:cs="Times New Roman"/>
      <w:sz w:val="20"/>
      <w:szCs w:val="20"/>
      <w:lang w:eastAsia="he-IL"/>
    </w:rPr>
  </w:style>
  <w:style w:type="paragraph" w:customStyle="1" w:styleId="TableText">
    <w:name w:val="Table Text"/>
    <w:basedOn w:val="Ragil"/>
    <w:uiPriority w:val="99"/>
    <w:pPr>
      <w:keepLines/>
      <w:tabs>
        <w:tab w:val="left" w:pos="624"/>
        <w:tab w:val="left" w:pos="1247"/>
      </w:tabs>
      <w:ind w:right="57" w:firstLine="0"/>
    </w:pPr>
  </w:style>
  <w:style w:type="paragraph" w:customStyle="1" w:styleId="TableSideHeading">
    <w:name w:val="Table SideHeading"/>
    <w:basedOn w:val="TableText"/>
    <w:uiPriority w:val="99"/>
  </w:style>
  <w:style w:type="paragraph" w:customStyle="1" w:styleId="TableBlock">
    <w:name w:val="Table Block"/>
    <w:basedOn w:val="TableText"/>
    <w:uiPriority w:val="99"/>
    <w:pPr>
      <w:ind w:right="0"/>
      <w:jc w:val="both"/>
    </w:pPr>
  </w:style>
  <w:style w:type="paragraph" w:customStyle="1" w:styleId="TableHead">
    <w:name w:val="Table Head"/>
    <w:basedOn w:val="TableText"/>
    <w:uiPriority w:val="99"/>
    <w:pPr>
      <w:ind w:right="0"/>
      <w:jc w:val="center"/>
    </w:pPr>
    <w:rPr>
      <w:b/>
      <w:bCs/>
    </w:rPr>
  </w:style>
  <w:style w:type="paragraph" w:customStyle="1" w:styleId="TableText2">
    <w:name w:val="Table Text2"/>
    <w:basedOn w:val="TableText"/>
    <w:uiPriority w:val="99"/>
  </w:style>
  <w:style w:type="paragraph" w:customStyle="1" w:styleId="TableInnerSideHeading">
    <w:name w:val="Table InnerSideHeading"/>
    <w:basedOn w:val="TableSideHeading"/>
    <w:uiPriority w:val="99"/>
  </w:style>
  <w:style w:type="paragraph" w:customStyle="1" w:styleId="Hesber">
    <w:name w:val="Hesber"/>
    <w:basedOn w:val="Ragil"/>
    <w:uiPriority w:val="99"/>
    <w:pPr>
      <w:jc w:val="both"/>
    </w:pPr>
  </w:style>
  <w:style w:type="paragraph" w:styleId="a5">
    <w:name w:val="footnote text"/>
    <w:basedOn w:val="Ragil"/>
    <w:link w:val="a6"/>
    <w:autoRedefine/>
    <w:uiPriority w:val="99"/>
    <w:pPr>
      <w:spacing w:line="240" w:lineRule="auto"/>
      <w:ind w:left="227" w:hanging="227"/>
    </w:pPr>
    <w:rPr>
      <w:sz w:val="14"/>
      <w:szCs w:val="20"/>
    </w:rPr>
  </w:style>
  <w:style w:type="character" w:customStyle="1" w:styleId="a6">
    <w:name w:val="טקסט הערת שוליים תו"/>
    <w:basedOn w:val="a0"/>
    <w:link w:val="a5"/>
    <w:uiPriority w:val="99"/>
    <w:semiHidden/>
    <w:rPr>
      <w:rFonts w:ascii="Times New Roman" w:hAnsi="Times New Roman" w:cs="Times New Roman"/>
      <w:sz w:val="20"/>
      <w:szCs w:val="20"/>
      <w:lang w:eastAsia="he-IL"/>
    </w:rPr>
  </w:style>
  <w:style w:type="character" w:styleId="a7">
    <w:name w:val="footnote reference"/>
    <w:basedOn w:val="a0"/>
    <w:uiPriority w:val="99"/>
    <w:rPr>
      <w:rFonts w:cs="Times New Roman"/>
      <w:vertAlign w:val="superscript"/>
    </w:rPr>
  </w:style>
  <w:style w:type="paragraph" w:customStyle="1" w:styleId="HesberHeading">
    <w:name w:val="Hesber Heading"/>
    <w:basedOn w:val="Hesber"/>
    <w:uiPriority w:val="99"/>
    <w:pPr>
      <w:keepNext/>
      <w:keepLines/>
      <w:spacing w:before="240"/>
      <w:ind w:firstLine="0"/>
    </w:pPr>
    <w:rPr>
      <w:b/>
      <w:bCs/>
    </w:rPr>
  </w:style>
  <w:style w:type="paragraph" w:customStyle="1" w:styleId="HesberWriters">
    <w:name w:val="Hesber Writers"/>
    <w:basedOn w:val="Hesber"/>
    <w:uiPriority w:val="99"/>
    <w:pPr>
      <w:spacing w:before="120" w:after="6000"/>
      <w:ind w:left="1418" w:firstLine="0"/>
      <w:jc w:val="right"/>
    </w:pPr>
    <w:rPr>
      <w:b/>
      <w:bCs/>
    </w:rPr>
  </w:style>
  <w:style w:type="paragraph" w:customStyle="1" w:styleId="Hesber1st">
    <w:name w:val="Hesber 1st"/>
    <w:basedOn w:val="Hesber"/>
    <w:uiPriority w:val="99"/>
    <w:pPr>
      <w:tabs>
        <w:tab w:val="left" w:pos="680"/>
        <w:tab w:val="left" w:pos="1020"/>
      </w:tabs>
      <w:ind w:firstLine="0"/>
    </w:pPr>
  </w:style>
  <w:style w:type="character" w:styleId="a8">
    <w:name w:val="endnote reference"/>
    <w:basedOn w:val="a0"/>
    <w:uiPriority w:val="99"/>
    <w:rPr>
      <w:rFonts w:cs="Times New Roman"/>
      <w:vertAlign w:val="superscript"/>
    </w:rPr>
  </w:style>
  <w:style w:type="paragraph" w:customStyle="1" w:styleId="TableBlockOutdent">
    <w:name w:val="Table BlockOutdent"/>
    <w:basedOn w:val="TableBlock"/>
    <w:uiPriority w:val="99"/>
    <w:pPr>
      <w:ind w:left="624" w:hanging="624"/>
    </w:pPr>
  </w:style>
  <w:style w:type="paragraph" w:styleId="a9">
    <w:name w:val="header"/>
    <w:basedOn w:val="a"/>
    <w:link w:val="aa"/>
    <w:uiPriority w:val="99"/>
    <w:pPr>
      <w:tabs>
        <w:tab w:val="center" w:pos="4153"/>
        <w:tab w:val="right" w:pos="8306"/>
      </w:tabs>
    </w:pPr>
  </w:style>
  <w:style w:type="character" w:customStyle="1" w:styleId="aa">
    <w:name w:val="כותרת עליונה תו"/>
    <w:basedOn w:val="a0"/>
    <w:link w:val="a9"/>
    <w:uiPriority w:val="99"/>
    <w:semiHidden/>
    <w:rPr>
      <w:rFonts w:ascii="Times New Roman" w:hAnsi="Times New Roman" w:cs="Times New Roman"/>
      <w:sz w:val="24"/>
      <w:szCs w:val="24"/>
      <w:lang w:eastAsia="he-IL"/>
    </w:rPr>
  </w:style>
  <w:style w:type="paragraph" w:styleId="ab">
    <w:name w:val="footer"/>
    <w:basedOn w:val="a"/>
    <w:link w:val="ac"/>
    <w:uiPriority w:val="99"/>
    <w:pPr>
      <w:tabs>
        <w:tab w:val="center" w:pos="4153"/>
        <w:tab w:val="right" w:pos="8306"/>
      </w:tabs>
    </w:pPr>
  </w:style>
  <w:style w:type="character" w:customStyle="1" w:styleId="ac">
    <w:name w:val="כותרת תחתונה תו"/>
    <w:basedOn w:val="a0"/>
    <w:link w:val="ab"/>
    <w:uiPriority w:val="99"/>
    <w:semiHidden/>
    <w:rPr>
      <w:rFonts w:ascii="Times New Roman" w:hAnsi="Times New Roman" w:cs="Times New Roman"/>
      <w:sz w:val="24"/>
      <w:szCs w:val="24"/>
      <w:lang w:eastAsia="he-IL"/>
    </w:rPr>
  </w:style>
  <w:style w:type="paragraph" w:customStyle="1" w:styleId="HeadDivreiHesber">
    <w:name w:val="Head DivreiHesber"/>
    <w:basedOn w:val="Ragil"/>
    <w:uiPriority w:val="99"/>
    <w:pPr>
      <w:spacing w:before="360" w:after="120"/>
      <w:ind w:firstLine="0"/>
      <w:jc w:val="center"/>
    </w:pPr>
    <w:rPr>
      <w:b/>
      <w:spacing w:val="40"/>
    </w:rPr>
  </w:style>
  <w:style w:type="paragraph" w:customStyle="1" w:styleId="Ragil">
    <w:name w:val="Ragil"/>
    <w:basedOn w:val="Noparagraphstyle"/>
    <w:uiPriority w:val="99"/>
    <w:pPr>
      <w:ind w:firstLine="340"/>
    </w:pPr>
  </w:style>
  <w:style w:type="paragraph" w:styleId="ad">
    <w:name w:val="Title"/>
    <w:basedOn w:val="a"/>
    <w:link w:val="ae"/>
    <w:uiPriority w:val="99"/>
    <w:qFormat/>
    <w:pPr>
      <w:jc w:val="center"/>
    </w:pPr>
    <w:rPr>
      <w:rFonts w:eastAsia="Times New Roman"/>
      <w:b/>
      <w:bCs/>
      <w:sz w:val="28"/>
      <w:szCs w:val="28"/>
      <w:u w:val="single"/>
    </w:rPr>
  </w:style>
  <w:style w:type="character" w:customStyle="1" w:styleId="ae">
    <w:name w:val="כותרת טקסט תו"/>
    <w:basedOn w:val="a0"/>
    <w:link w:val="ad"/>
    <w:uiPriority w:val="10"/>
    <w:rPr>
      <w:rFonts w:asciiTheme="majorHAnsi" w:eastAsiaTheme="majorEastAsia" w:hAnsiTheme="majorHAnsi" w:cstheme="majorBidi"/>
      <w:b/>
      <w:bCs/>
      <w:kern w:val="28"/>
      <w:sz w:val="32"/>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471</Words>
  <Characters>2360</Characters>
  <Application>Microsoft Office Word</Application>
  <DocSecurity>0</DocSecurity>
  <Lines>19</Lines>
  <Paragraphs>5</Paragraphs>
  <ScaleCrop>false</ScaleCrop>
  <Company> </Company>
  <LinksUpToDate>false</LinksUpToDate>
  <CharactersWithSpaces>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המועצה להשכלה גבוה (תיקון - החמרת הפיקוח בענין רשיון פעולה מטעם המועצה להשכלה גבוה), התשס"ז-2006</dc:title>
  <dc:subject/>
  <dc:creator>ozer_wahaba</dc:creator>
  <cp:keywords/>
  <dc:description/>
  <cp:lastModifiedBy>שמואל כוכב</cp:lastModifiedBy>
  <cp:revision>2</cp:revision>
  <dcterms:created xsi:type="dcterms:W3CDTF">2015-02-03T17:05:00Z</dcterms:created>
  <dcterms:modified xsi:type="dcterms:W3CDTF">2015-02-03T17:05:00Z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85</vt:lpwstr>
  </property>
  <property fmtid="{D5CDD505-2E9C-101B-9397-08002B2CF9AE}" pid="3" name="AutoNumber">
    <vt:lpwstr>05306006</vt:lpwstr>
  </property>
  <property fmtid="{D5CDD505-2E9C-101B-9397-08002B2CF9AE}" pid="4" name="מספר הצעת חוק למיון">
    <vt:lpwstr>1688</vt:lpwstr>
  </property>
  <property fmtid="{D5CDD505-2E9C-101B-9397-08002B2CF9AE}" pid="5" name="SDDocDate">
    <vt:lpwstr>2006-11-02T00:00:00Z</vt:lpwstr>
  </property>
  <property fmtid="{D5CDD505-2E9C-101B-9397-08002B2CF9AE}" pid="6" name="SDHebDate">
    <vt:lpwstr>י"א בחשון, התשס"ז</vt:lpwstr>
  </property>
  <property fmtid="{D5CDD505-2E9C-101B-9397-08002B2CF9AE}" pid="7" name="SDCategories">
    <vt:lpwstr>:דף הבית:נושאים:חקיקה:נוסח לדיון מוקדם;#</vt:lpwstr>
  </property>
  <property fmtid="{D5CDD505-2E9C-101B-9397-08002B2CF9AE}" pid="8" name="תאריך הנחה">
    <vt:lpwstr/>
  </property>
  <property fmtid="{D5CDD505-2E9C-101B-9397-08002B2CF9AE}" pid="9" name="Vaada">
    <vt:lpwstr/>
  </property>
  <property fmtid="{D5CDD505-2E9C-101B-9397-08002B2CF9AE}" pid="10" name="HebrewDate">
    <vt:lpwstr/>
  </property>
  <property fmtid="{D5CDD505-2E9C-101B-9397-08002B2CF9AE}" pid="11" name="SDAuthor">
    <vt:lpwstr>עדי טייכר</vt:lpwstr>
  </property>
  <property fmtid="{D5CDD505-2E9C-101B-9397-08002B2CF9AE}" pid="12" name="MechaberMismach">
    <vt:lpwstr/>
  </property>
  <property fmtid="{D5CDD505-2E9C-101B-9397-08002B2CF9AE}" pid="13" name="MisHatzaatChok">
    <vt:lpwstr>פ/1688/17</vt:lpwstr>
  </property>
  <property fmtid="{D5CDD505-2E9C-101B-9397-08002B2CF9AE}" pid="14" name="YozemHatzaa_ChakList">
    <vt:lpwstr>מגלי והבה</vt:lpwstr>
  </property>
  <property fmtid="{D5CDD505-2E9C-101B-9397-08002B2CF9AE}" pid="15" name="SDRemark">
    <vt:lpwstr/>
  </property>
  <property fmtid="{D5CDD505-2E9C-101B-9397-08002B2CF9AE}" pid="16" name="SDOfflineTo">
    <vt:lpwstr/>
  </property>
  <property fmtid="{D5CDD505-2E9C-101B-9397-08002B2CF9AE}" pid="17" name="SDDistList">
    <vt:lpwstr/>
  </property>
  <property fmtid="{D5CDD505-2E9C-101B-9397-08002B2CF9AE}" pid="18" name="SDDistDate">
    <vt:lpwstr/>
  </property>
  <property fmtid="{D5CDD505-2E9C-101B-9397-08002B2CF9AE}" pid="19" name="SDOriginalID">
    <vt:lpwstr/>
  </property>
  <property fmtid="{D5CDD505-2E9C-101B-9397-08002B2CF9AE}" pid="20" name="SDSenderName">
    <vt:lpwstr/>
  </property>
  <property fmtid="{D5CDD505-2E9C-101B-9397-08002B2CF9AE}" pid="21" name="SDToList">
    <vt:lpwstr/>
  </property>
  <property fmtid="{D5CDD505-2E9C-101B-9397-08002B2CF9AE}" pid="22" name="SDCCList">
    <vt:lpwstr/>
  </property>
  <property fmtid="{D5CDD505-2E9C-101B-9397-08002B2CF9AE}" pid="23" name="STHasReminders">
    <vt:lpwstr>0</vt:lpwstr>
  </property>
  <property fmtid="{D5CDD505-2E9C-101B-9397-08002B2CF9AE}" pid="24" name="SDLink">
    <vt:lpwstr>, </vt:lpwstr>
  </property>
  <property fmtid="{D5CDD505-2E9C-101B-9397-08002B2CF9AE}" pid="25" name="Num_Gim1">
    <vt:lpwstr/>
  </property>
  <property fmtid="{D5CDD505-2E9C-101B-9397-08002B2CF9AE}" pid="26" name="NoseA">
    <vt:lpwstr/>
  </property>
  <property fmtid="{D5CDD505-2E9C-101B-9397-08002B2CF9AE}" pid="27" name="NoseB">
    <vt:lpwstr/>
  </property>
  <property fmtid="{D5CDD505-2E9C-101B-9397-08002B2CF9AE}" pid="28" name="knesset_number">
    <vt:lpwstr/>
  </property>
  <property fmtid="{D5CDD505-2E9C-101B-9397-08002B2CF9AE}" pid="29" name="ValidFrom">
    <vt:lpwstr/>
  </property>
  <property fmtid="{D5CDD505-2E9C-101B-9397-08002B2CF9AE}" pid="30" name="ValidUntill">
    <vt:lpwstr/>
  </property>
  <property fmtid="{D5CDD505-2E9C-101B-9397-08002B2CF9AE}" pid="31" name="To1">
    <vt:lpwstr/>
  </property>
  <property fmtid="{D5CDD505-2E9C-101B-9397-08002B2CF9AE}" pid="32" name="From">
    <vt:lpwstr/>
  </property>
  <property fmtid="{D5CDD505-2E9C-101B-9397-08002B2CF9AE}" pid="33" name="body">
    <vt:lpwstr/>
  </property>
</Properties>
</file>