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0473E">
      <w:pPr>
        <w:pStyle w:val="a3"/>
        <w:rPr>
          <w:rFonts w:cs="David"/>
          <w:b w:val="0"/>
          <w:bCs w:val="0"/>
          <w:sz w:val="26"/>
          <w:szCs w:val="26"/>
          <w:u w:val="none"/>
          <w:rtl/>
        </w:rPr>
      </w:pPr>
      <w:bookmarkStart w:id="0" w:name="_GoBack"/>
      <w:bookmarkEnd w:id="0"/>
      <w:r>
        <w:rPr>
          <w:rFonts w:cs="David"/>
          <w:u w:val="none"/>
          <w:rtl/>
        </w:rPr>
        <w:t>הכנסת השבע-עשרה</w:t>
      </w:r>
    </w:p>
    <w:p w:rsidR="00000000" w:rsidRDefault="0010473E">
      <w:pPr>
        <w:rPr>
          <w:rFonts w:cs="David"/>
          <w:sz w:val="26"/>
          <w:szCs w:val="26"/>
          <w:rtl/>
        </w:rPr>
      </w:pPr>
    </w:p>
    <w:p w:rsidR="00000000" w:rsidRDefault="0010473E">
      <w:pPr>
        <w:rPr>
          <w:rFonts w:cs="David"/>
          <w:sz w:val="26"/>
          <w:szCs w:val="26"/>
          <w:rtl/>
        </w:rPr>
      </w:pPr>
    </w:p>
    <w:tbl>
      <w:tblPr>
        <w:tblpPr w:leftFromText="180" w:rightFromText="180" w:vertAnchor="text" w:tblpY="1"/>
        <w:tblOverlap w:val="never"/>
        <w:bidiVisual/>
        <w:tblW w:w="0" w:type="auto"/>
        <w:tblBorders>
          <w:bottom w:val="single" w:sz="4" w:space="0" w:color="auto"/>
        </w:tblBorders>
        <w:tblLook w:val="0000" w:firstRow="0" w:lastRow="0" w:firstColumn="0" w:lastColumn="0" w:noHBand="0" w:noVBand="0"/>
      </w:tblPr>
      <w:tblGrid>
        <w:gridCol w:w="2863"/>
        <w:gridCol w:w="2239"/>
      </w:tblGrid>
      <w:tr w:rsidR="00000000">
        <w:tblPrEx>
          <w:tblCellMar>
            <w:top w:w="0" w:type="dxa"/>
            <w:bottom w:w="0" w:type="dxa"/>
          </w:tblCellMar>
        </w:tblPrEx>
        <w:tc>
          <w:tcPr>
            <w:tcW w:w="2863" w:type="dxa"/>
            <w:tcBorders>
              <w:top w:val="nil"/>
              <w:left w:val="nil"/>
              <w:bottom w:val="single" w:sz="4" w:space="0" w:color="auto"/>
              <w:right w:val="nil"/>
            </w:tcBorders>
          </w:tcPr>
          <w:p w:rsidR="00000000" w:rsidRDefault="0010473E">
            <w:pPr>
              <w:spacing w:after="120"/>
              <w:rPr>
                <w:rFonts w:cs="David"/>
                <w:sz w:val="26"/>
                <w:szCs w:val="26"/>
              </w:rPr>
            </w:pPr>
            <w:r>
              <w:rPr>
                <w:rFonts w:cs="David"/>
                <w:sz w:val="26"/>
                <w:szCs w:val="26"/>
                <w:rtl/>
              </w:rPr>
              <w:t>הצעת חוק של חבר הכנסת</w:t>
            </w:r>
          </w:p>
        </w:tc>
        <w:tc>
          <w:tcPr>
            <w:tcW w:w="2239" w:type="dxa"/>
            <w:tcBorders>
              <w:top w:val="nil"/>
              <w:left w:val="nil"/>
              <w:bottom w:val="single" w:sz="4" w:space="0" w:color="auto"/>
              <w:right w:val="nil"/>
            </w:tcBorders>
          </w:tcPr>
          <w:p w:rsidR="00000000" w:rsidRDefault="0010473E">
            <w:pPr>
              <w:spacing w:after="120"/>
              <w:rPr>
                <w:rFonts w:cs="David"/>
                <w:b/>
                <w:bCs/>
                <w:sz w:val="26"/>
                <w:szCs w:val="26"/>
              </w:rPr>
            </w:pPr>
            <w:r>
              <w:rPr>
                <w:rFonts w:cs="David"/>
                <w:b/>
                <w:bCs/>
                <w:sz w:val="26"/>
                <w:szCs w:val="26"/>
                <w:rtl/>
              </w:rPr>
              <w:t>רן כהן</w:t>
            </w:r>
          </w:p>
        </w:tc>
      </w:tr>
    </w:tbl>
    <w:p w:rsidR="00000000" w:rsidRDefault="0010473E">
      <w:pPr>
        <w:jc w:val="center"/>
        <w:rPr>
          <w:rFonts w:cs="David"/>
          <w:b/>
          <w:bCs/>
          <w:rtl/>
        </w:rPr>
      </w:pPr>
      <w:r>
        <w:rPr>
          <w:rFonts w:cs="David"/>
          <w:b/>
          <w:bCs/>
          <w:sz w:val="28"/>
          <w:szCs w:val="28"/>
          <w:rtl/>
        </w:rPr>
        <w:br w:type="textWrapping" w:clear="all"/>
      </w:r>
      <w:r>
        <w:rPr>
          <w:rFonts w:cs="David"/>
          <w:b/>
          <w:bCs/>
          <w:sz w:val="28"/>
          <w:szCs w:val="28"/>
          <w:rtl/>
        </w:rPr>
        <w:t xml:space="preserve">                                             </w:t>
      </w:r>
      <w:r>
        <w:rPr>
          <w:rFonts w:cs="David"/>
          <w:b/>
          <w:bCs/>
          <w:rtl/>
        </w:rPr>
        <w:t>פ/740/17</w:t>
      </w:r>
    </w:p>
    <w:p w:rsidR="00000000" w:rsidRDefault="0010473E">
      <w:pPr>
        <w:jc w:val="center"/>
        <w:rPr>
          <w:rFonts w:cs="David"/>
          <w:b/>
          <w:bCs/>
          <w:rtl/>
        </w:rPr>
      </w:pPr>
    </w:p>
    <w:p w:rsidR="00000000" w:rsidRDefault="0010473E">
      <w:pPr>
        <w:jc w:val="center"/>
        <w:rPr>
          <w:rFonts w:cs="David"/>
          <w:b/>
          <w:bCs/>
          <w:sz w:val="28"/>
          <w:szCs w:val="28"/>
          <w:rtl/>
        </w:rPr>
      </w:pPr>
    </w:p>
    <w:p w:rsidR="00000000" w:rsidRDefault="0010473E">
      <w:pPr>
        <w:jc w:val="center"/>
        <w:rPr>
          <w:rFonts w:cs="David"/>
          <w:b/>
          <w:bCs/>
          <w:sz w:val="28"/>
          <w:szCs w:val="28"/>
          <w:rtl/>
        </w:rPr>
      </w:pPr>
      <w:r>
        <w:rPr>
          <w:rFonts w:cs="David"/>
          <w:b/>
          <w:bCs/>
          <w:sz w:val="28"/>
          <w:szCs w:val="28"/>
          <w:rtl/>
        </w:rPr>
        <w:t>הצעת חוק שירותי דת במערכת הביטחון, התשס"ו-2006</w:t>
      </w:r>
    </w:p>
    <w:p w:rsidR="00000000" w:rsidRDefault="0010473E">
      <w:pPr>
        <w:rPr>
          <w:rFonts w:cs="David"/>
          <w:sz w:val="26"/>
          <w:szCs w:val="26"/>
          <w:rtl/>
        </w:rPr>
      </w:pPr>
    </w:p>
    <w:p w:rsidR="00000000" w:rsidRDefault="0010473E">
      <w:pPr>
        <w:rPr>
          <w:rFonts w:cs="David"/>
          <w:sz w:val="26"/>
          <w:szCs w:val="26"/>
        </w:rPr>
      </w:pPr>
    </w:p>
    <w:tbl>
      <w:tblPr>
        <w:bidiVisual/>
        <w:tblW w:w="0" w:type="auto"/>
        <w:tblCellMar>
          <w:left w:w="57" w:type="dxa"/>
          <w:right w:w="57" w:type="dxa"/>
        </w:tblCellMar>
        <w:tblLook w:val="0000" w:firstRow="0" w:lastRow="0" w:firstColumn="0" w:lastColumn="0" w:noHBand="0" w:noVBand="0"/>
      </w:tblPr>
      <w:tblGrid>
        <w:gridCol w:w="1140"/>
        <w:gridCol w:w="582"/>
        <w:gridCol w:w="567"/>
        <w:gridCol w:w="6131"/>
      </w:tblGrid>
      <w:tr w:rsidR="00000000">
        <w:trPr>
          <w:cantSplit/>
        </w:trPr>
        <w:tc>
          <w:tcPr>
            <w:tcW w:w="1140" w:type="dxa"/>
            <w:vMerge w:val="restart"/>
            <w:tcBorders>
              <w:top w:val="nil"/>
              <w:left w:val="nil"/>
              <w:bottom w:val="nil"/>
              <w:right w:val="nil"/>
            </w:tcBorders>
          </w:tcPr>
          <w:p w:rsidR="00000000" w:rsidRDefault="0010473E">
            <w:pPr>
              <w:rPr>
                <w:rFonts w:cs="David"/>
                <w:sz w:val="26"/>
                <w:szCs w:val="26"/>
              </w:rPr>
            </w:pPr>
            <w:r>
              <w:rPr>
                <w:rFonts w:cs="David"/>
                <w:sz w:val="26"/>
                <w:szCs w:val="26"/>
                <w:rtl/>
              </w:rPr>
              <w:t xml:space="preserve">מינוי אנשי דת בצבא </w:t>
            </w:r>
          </w:p>
          <w:p w:rsidR="00000000" w:rsidRDefault="0010473E">
            <w:pPr>
              <w:rPr>
                <w:rFonts w:cs="David"/>
                <w:sz w:val="26"/>
                <w:szCs w:val="26"/>
              </w:rPr>
            </w:pPr>
            <w:r>
              <w:rPr>
                <w:rFonts w:cs="David"/>
                <w:sz w:val="26"/>
                <w:szCs w:val="26"/>
                <w:rtl/>
              </w:rPr>
              <w:t>ההגנה לישראל</w:t>
            </w:r>
          </w:p>
        </w:tc>
        <w:tc>
          <w:tcPr>
            <w:tcW w:w="582" w:type="dxa"/>
            <w:tcBorders>
              <w:top w:val="nil"/>
              <w:left w:val="nil"/>
              <w:bottom w:val="nil"/>
              <w:right w:val="nil"/>
            </w:tcBorders>
          </w:tcPr>
          <w:p w:rsidR="00000000" w:rsidRDefault="0010473E">
            <w:pPr>
              <w:spacing w:after="120"/>
              <w:rPr>
                <w:rFonts w:cs="David"/>
                <w:sz w:val="26"/>
                <w:szCs w:val="26"/>
              </w:rPr>
            </w:pPr>
            <w:r>
              <w:rPr>
                <w:rFonts w:cs="David"/>
                <w:sz w:val="26"/>
                <w:szCs w:val="26"/>
                <w:rtl/>
              </w:rPr>
              <w:t>1.</w:t>
            </w:r>
          </w:p>
        </w:tc>
        <w:tc>
          <w:tcPr>
            <w:tcW w:w="6698" w:type="dxa"/>
            <w:gridSpan w:val="2"/>
            <w:tcBorders>
              <w:top w:val="nil"/>
              <w:left w:val="nil"/>
              <w:bottom w:val="nil"/>
              <w:right w:val="nil"/>
            </w:tcBorders>
          </w:tcPr>
          <w:p w:rsidR="00000000" w:rsidRDefault="0010473E">
            <w:pPr>
              <w:spacing w:after="120" w:line="360" w:lineRule="auto"/>
              <w:jc w:val="both"/>
              <w:rPr>
                <w:rFonts w:cs="David"/>
                <w:sz w:val="26"/>
                <w:szCs w:val="26"/>
              </w:rPr>
            </w:pPr>
            <w:r>
              <w:rPr>
                <w:rFonts w:cs="David"/>
                <w:sz w:val="26"/>
                <w:szCs w:val="26"/>
                <w:rtl/>
              </w:rPr>
              <w:t xml:space="preserve">ראש המטה הכללי ימנה את אנשי הדת </w:t>
            </w:r>
            <w:r>
              <w:rPr>
                <w:rFonts w:cs="David"/>
                <w:sz w:val="26"/>
                <w:szCs w:val="26"/>
                <w:rtl/>
              </w:rPr>
              <w:t>הבאים:</w:t>
            </w:r>
          </w:p>
        </w:tc>
      </w:tr>
      <w:tr w:rsidR="00000000">
        <w:trPr>
          <w:cantSplit/>
        </w:trPr>
        <w:tc>
          <w:tcPr>
            <w:tcW w:w="1140" w:type="dxa"/>
            <w:vMerge/>
            <w:tcBorders>
              <w:top w:val="nil"/>
              <w:left w:val="nil"/>
              <w:bottom w:val="nil"/>
              <w:right w:val="nil"/>
            </w:tcBorders>
          </w:tcPr>
          <w:p w:rsidR="00000000" w:rsidRDefault="0010473E">
            <w:pPr>
              <w:rPr>
                <w:rFonts w:cs="David"/>
                <w:sz w:val="26"/>
                <w:szCs w:val="26"/>
              </w:rPr>
            </w:pPr>
          </w:p>
        </w:tc>
        <w:tc>
          <w:tcPr>
            <w:tcW w:w="582" w:type="dxa"/>
            <w:tcBorders>
              <w:top w:val="nil"/>
              <w:left w:val="nil"/>
              <w:bottom w:val="nil"/>
              <w:right w:val="nil"/>
            </w:tcBorders>
          </w:tcPr>
          <w:p w:rsidR="00000000" w:rsidRDefault="0010473E">
            <w:pPr>
              <w:spacing w:after="120"/>
              <w:rPr>
                <w:rFonts w:cs="David"/>
                <w:sz w:val="26"/>
                <w:szCs w:val="26"/>
              </w:rPr>
            </w:pPr>
          </w:p>
        </w:tc>
        <w:tc>
          <w:tcPr>
            <w:tcW w:w="567" w:type="dxa"/>
            <w:tcBorders>
              <w:top w:val="nil"/>
              <w:left w:val="nil"/>
              <w:bottom w:val="nil"/>
              <w:right w:val="nil"/>
            </w:tcBorders>
          </w:tcPr>
          <w:p w:rsidR="00000000" w:rsidRDefault="0010473E">
            <w:pPr>
              <w:spacing w:after="120"/>
              <w:rPr>
                <w:rFonts w:cs="David"/>
                <w:sz w:val="26"/>
                <w:szCs w:val="26"/>
              </w:rPr>
            </w:pPr>
            <w:r>
              <w:rPr>
                <w:rFonts w:cs="David"/>
                <w:sz w:val="26"/>
                <w:szCs w:val="26"/>
                <w:rtl/>
              </w:rPr>
              <w:t>(1)</w:t>
            </w:r>
          </w:p>
        </w:tc>
        <w:tc>
          <w:tcPr>
            <w:tcW w:w="6131" w:type="dxa"/>
            <w:tcBorders>
              <w:top w:val="nil"/>
              <w:left w:val="nil"/>
              <w:bottom w:val="nil"/>
              <w:right w:val="nil"/>
            </w:tcBorders>
          </w:tcPr>
          <w:p w:rsidR="00000000" w:rsidRDefault="0010473E">
            <w:pPr>
              <w:spacing w:after="120" w:line="360" w:lineRule="auto"/>
              <w:jc w:val="both"/>
              <w:rPr>
                <w:rFonts w:cs="David"/>
                <w:sz w:val="26"/>
                <w:szCs w:val="26"/>
              </w:rPr>
            </w:pPr>
            <w:r>
              <w:rPr>
                <w:rFonts w:cs="David"/>
                <w:sz w:val="26"/>
                <w:szCs w:val="26"/>
                <w:rtl/>
              </w:rPr>
              <w:t>רב;</w:t>
            </w:r>
          </w:p>
        </w:tc>
      </w:tr>
      <w:tr w:rsidR="00000000">
        <w:trPr>
          <w:cantSplit/>
        </w:trPr>
        <w:tc>
          <w:tcPr>
            <w:tcW w:w="1140" w:type="dxa"/>
            <w:vMerge/>
            <w:tcBorders>
              <w:top w:val="nil"/>
              <w:left w:val="nil"/>
              <w:bottom w:val="nil"/>
              <w:right w:val="nil"/>
            </w:tcBorders>
          </w:tcPr>
          <w:p w:rsidR="00000000" w:rsidRDefault="0010473E">
            <w:pPr>
              <w:spacing w:after="120"/>
              <w:rPr>
                <w:rFonts w:cs="David"/>
                <w:sz w:val="26"/>
                <w:szCs w:val="26"/>
              </w:rPr>
            </w:pPr>
          </w:p>
        </w:tc>
        <w:tc>
          <w:tcPr>
            <w:tcW w:w="582" w:type="dxa"/>
            <w:tcBorders>
              <w:top w:val="nil"/>
              <w:left w:val="nil"/>
              <w:bottom w:val="nil"/>
              <w:right w:val="nil"/>
            </w:tcBorders>
          </w:tcPr>
          <w:p w:rsidR="00000000" w:rsidRDefault="0010473E">
            <w:pPr>
              <w:spacing w:after="120"/>
              <w:rPr>
                <w:rFonts w:cs="David"/>
                <w:sz w:val="26"/>
                <w:szCs w:val="26"/>
              </w:rPr>
            </w:pPr>
          </w:p>
        </w:tc>
        <w:tc>
          <w:tcPr>
            <w:tcW w:w="567" w:type="dxa"/>
            <w:tcBorders>
              <w:top w:val="nil"/>
              <w:left w:val="nil"/>
              <w:bottom w:val="nil"/>
              <w:right w:val="nil"/>
            </w:tcBorders>
          </w:tcPr>
          <w:p w:rsidR="00000000" w:rsidRDefault="0010473E">
            <w:pPr>
              <w:spacing w:after="120"/>
              <w:rPr>
                <w:rFonts w:cs="David"/>
                <w:sz w:val="26"/>
                <w:szCs w:val="26"/>
              </w:rPr>
            </w:pPr>
            <w:r>
              <w:rPr>
                <w:rFonts w:cs="David"/>
                <w:sz w:val="26"/>
                <w:szCs w:val="26"/>
                <w:rtl/>
              </w:rPr>
              <w:t>(2)</w:t>
            </w:r>
          </w:p>
        </w:tc>
        <w:tc>
          <w:tcPr>
            <w:tcW w:w="6131" w:type="dxa"/>
            <w:tcBorders>
              <w:top w:val="nil"/>
              <w:left w:val="nil"/>
              <w:bottom w:val="nil"/>
              <w:right w:val="nil"/>
            </w:tcBorders>
          </w:tcPr>
          <w:p w:rsidR="00000000" w:rsidRDefault="0010473E">
            <w:pPr>
              <w:spacing w:after="120" w:line="360" w:lineRule="auto"/>
              <w:jc w:val="both"/>
              <w:rPr>
                <w:rFonts w:cs="David"/>
                <w:sz w:val="26"/>
                <w:szCs w:val="26"/>
              </w:rPr>
            </w:pPr>
            <w:r>
              <w:rPr>
                <w:rFonts w:cs="David"/>
                <w:sz w:val="26"/>
                <w:szCs w:val="26"/>
                <w:rtl/>
              </w:rPr>
              <w:t>קאדי;</w:t>
            </w:r>
          </w:p>
        </w:tc>
      </w:tr>
      <w:tr w:rsidR="00000000">
        <w:tc>
          <w:tcPr>
            <w:tcW w:w="1140" w:type="dxa"/>
            <w:tcBorders>
              <w:top w:val="nil"/>
              <w:left w:val="nil"/>
              <w:bottom w:val="nil"/>
              <w:right w:val="nil"/>
            </w:tcBorders>
          </w:tcPr>
          <w:p w:rsidR="00000000" w:rsidRDefault="0010473E">
            <w:pPr>
              <w:spacing w:after="120"/>
              <w:rPr>
                <w:rFonts w:cs="David"/>
                <w:sz w:val="26"/>
                <w:szCs w:val="26"/>
              </w:rPr>
            </w:pPr>
          </w:p>
        </w:tc>
        <w:tc>
          <w:tcPr>
            <w:tcW w:w="582" w:type="dxa"/>
            <w:tcBorders>
              <w:top w:val="nil"/>
              <w:left w:val="nil"/>
              <w:bottom w:val="nil"/>
              <w:right w:val="nil"/>
            </w:tcBorders>
          </w:tcPr>
          <w:p w:rsidR="00000000" w:rsidRDefault="0010473E">
            <w:pPr>
              <w:spacing w:after="120"/>
              <w:rPr>
                <w:rFonts w:cs="David"/>
                <w:sz w:val="26"/>
                <w:szCs w:val="26"/>
              </w:rPr>
            </w:pPr>
          </w:p>
        </w:tc>
        <w:tc>
          <w:tcPr>
            <w:tcW w:w="567" w:type="dxa"/>
            <w:tcBorders>
              <w:top w:val="nil"/>
              <w:left w:val="nil"/>
              <w:bottom w:val="nil"/>
              <w:right w:val="nil"/>
            </w:tcBorders>
          </w:tcPr>
          <w:p w:rsidR="00000000" w:rsidRDefault="0010473E">
            <w:pPr>
              <w:spacing w:after="120"/>
              <w:rPr>
                <w:rFonts w:cs="David"/>
                <w:sz w:val="26"/>
                <w:szCs w:val="26"/>
              </w:rPr>
            </w:pPr>
            <w:r>
              <w:rPr>
                <w:rFonts w:cs="David"/>
                <w:sz w:val="26"/>
                <w:szCs w:val="26"/>
                <w:rtl/>
              </w:rPr>
              <w:t>(3)</w:t>
            </w:r>
          </w:p>
        </w:tc>
        <w:tc>
          <w:tcPr>
            <w:tcW w:w="6131" w:type="dxa"/>
            <w:tcBorders>
              <w:top w:val="nil"/>
              <w:left w:val="nil"/>
              <w:bottom w:val="nil"/>
              <w:right w:val="nil"/>
            </w:tcBorders>
          </w:tcPr>
          <w:p w:rsidR="00000000" w:rsidRDefault="0010473E">
            <w:pPr>
              <w:spacing w:after="120" w:line="360" w:lineRule="auto"/>
              <w:jc w:val="both"/>
              <w:rPr>
                <w:rFonts w:cs="David"/>
                <w:sz w:val="26"/>
                <w:szCs w:val="26"/>
              </w:rPr>
            </w:pPr>
            <w:r>
              <w:rPr>
                <w:rFonts w:cs="David"/>
                <w:sz w:val="26"/>
                <w:szCs w:val="26"/>
                <w:rtl/>
              </w:rPr>
              <w:t>קאדי מד'הב;</w:t>
            </w:r>
          </w:p>
        </w:tc>
      </w:tr>
      <w:tr w:rsidR="00000000">
        <w:tc>
          <w:tcPr>
            <w:tcW w:w="1140" w:type="dxa"/>
            <w:tcBorders>
              <w:top w:val="nil"/>
              <w:left w:val="nil"/>
              <w:bottom w:val="nil"/>
              <w:right w:val="nil"/>
            </w:tcBorders>
          </w:tcPr>
          <w:p w:rsidR="00000000" w:rsidRDefault="0010473E">
            <w:pPr>
              <w:spacing w:after="120"/>
              <w:rPr>
                <w:rFonts w:cs="David"/>
                <w:sz w:val="26"/>
                <w:szCs w:val="26"/>
              </w:rPr>
            </w:pPr>
          </w:p>
        </w:tc>
        <w:tc>
          <w:tcPr>
            <w:tcW w:w="582" w:type="dxa"/>
            <w:tcBorders>
              <w:top w:val="nil"/>
              <w:left w:val="nil"/>
              <w:bottom w:val="nil"/>
              <w:right w:val="nil"/>
            </w:tcBorders>
          </w:tcPr>
          <w:p w:rsidR="00000000" w:rsidRDefault="0010473E">
            <w:pPr>
              <w:spacing w:after="120"/>
              <w:rPr>
                <w:rFonts w:cs="David"/>
                <w:sz w:val="26"/>
                <w:szCs w:val="26"/>
              </w:rPr>
            </w:pPr>
          </w:p>
        </w:tc>
        <w:tc>
          <w:tcPr>
            <w:tcW w:w="567" w:type="dxa"/>
            <w:tcBorders>
              <w:top w:val="nil"/>
              <w:left w:val="nil"/>
              <w:bottom w:val="nil"/>
              <w:right w:val="nil"/>
            </w:tcBorders>
          </w:tcPr>
          <w:p w:rsidR="00000000" w:rsidRDefault="0010473E">
            <w:pPr>
              <w:spacing w:after="120"/>
              <w:rPr>
                <w:rFonts w:cs="David"/>
                <w:sz w:val="26"/>
                <w:szCs w:val="26"/>
              </w:rPr>
            </w:pPr>
            <w:r>
              <w:rPr>
                <w:rFonts w:cs="David"/>
                <w:sz w:val="26"/>
                <w:szCs w:val="26"/>
                <w:rtl/>
              </w:rPr>
              <w:t>(4)</w:t>
            </w:r>
          </w:p>
        </w:tc>
        <w:tc>
          <w:tcPr>
            <w:tcW w:w="6131" w:type="dxa"/>
            <w:tcBorders>
              <w:top w:val="nil"/>
              <w:left w:val="nil"/>
              <w:bottom w:val="nil"/>
              <w:right w:val="nil"/>
            </w:tcBorders>
          </w:tcPr>
          <w:p w:rsidR="00000000" w:rsidRDefault="0010473E">
            <w:pPr>
              <w:spacing w:after="120" w:line="360" w:lineRule="auto"/>
              <w:jc w:val="both"/>
              <w:rPr>
                <w:rFonts w:cs="David"/>
                <w:sz w:val="26"/>
                <w:szCs w:val="26"/>
              </w:rPr>
            </w:pPr>
            <w:r>
              <w:rPr>
                <w:rFonts w:cs="David"/>
                <w:rtl/>
              </w:rPr>
              <w:t>כומר.</w:t>
            </w:r>
          </w:p>
        </w:tc>
      </w:tr>
      <w:tr w:rsidR="00000000">
        <w:tc>
          <w:tcPr>
            <w:tcW w:w="1140" w:type="dxa"/>
            <w:tcBorders>
              <w:top w:val="nil"/>
              <w:left w:val="nil"/>
              <w:bottom w:val="nil"/>
              <w:right w:val="nil"/>
            </w:tcBorders>
          </w:tcPr>
          <w:p w:rsidR="00000000" w:rsidRDefault="0010473E">
            <w:pPr>
              <w:spacing w:after="120"/>
              <w:rPr>
                <w:rFonts w:cs="David"/>
                <w:sz w:val="26"/>
                <w:szCs w:val="26"/>
              </w:rPr>
            </w:pPr>
            <w:r>
              <w:rPr>
                <w:rFonts w:cs="David"/>
                <w:sz w:val="26"/>
                <w:szCs w:val="26"/>
                <w:rtl/>
              </w:rPr>
              <w:t>ביצוע ותקנות</w:t>
            </w:r>
          </w:p>
        </w:tc>
        <w:tc>
          <w:tcPr>
            <w:tcW w:w="582" w:type="dxa"/>
            <w:tcBorders>
              <w:top w:val="nil"/>
              <w:left w:val="nil"/>
              <w:bottom w:val="nil"/>
              <w:right w:val="nil"/>
            </w:tcBorders>
          </w:tcPr>
          <w:p w:rsidR="00000000" w:rsidRDefault="0010473E">
            <w:pPr>
              <w:spacing w:after="120"/>
              <w:rPr>
                <w:rFonts w:cs="David"/>
                <w:sz w:val="26"/>
                <w:szCs w:val="26"/>
              </w:rPr>
            </w:pPr>
            <w:r>
              <w:rPr>
                <w:rFonts w:cs="David"/>
                <w:sz w:val="26"/>
                <w:szCs w:val="26"/>
                <w:rtl/>
              </w:rPr>
              <w:t>2.</w:t>
            </w:r>
          </w:p>
        </w:tc>
        <w:tc>
          <w:tcPr>
            <w:tcW w:w="6698" w:type="dxa"/>
            <w:gridSpan w:val="2"/>
            <w:tcBorders>
              <w:top w:val="nil"/>
              <w:left w:val="nil"/>
              <w:bottom w:val="nil"/>
              <w:right w:val="nil"/>
            </w:tcBorders>
          </w:tcPr>
          <w:p w:rsidR="00000000" w:rsidRDefault="0010473E">
            <w:pPr>
              <w:spacing w:after="120" w:line="360" w:lineRule="auto"/>
              <w:jc w:val="both"/>
              <w:rPr>
                <w:rFonts w:cs="David"/>
                <w:sz w:val="26"/>
                <w:szCs w:val="26"/>
              </w:rPr>
            </w:pPr>
            <w:r>
              <w:rPr>
                <w:rFonts w:cs="David"/>
                <w:sz w:val="26"/>
                <w:szCs w:val="26"/>
                <w:rtl/>
              </w:rPr>
              <w:t>שר הביטחון, באישור ועדת הפנים ואיכות הסביבה של הכנסת, יקבע תקנות לעניין מינוי אנשי דת לפי חוק זה ולעניין הגדרת תפקידם.</w:t>
            </w:r>
          </w:p>
        </w:tc>
      </w:tr>
    </w:tbl>
    <w:p w:rsidR="00000000" w:rsidRDefault="0010473E">
      <w:pPr>
        <w:rPr>
          <w:rFonts w:cs="David"/>
          <w:sz w:val="26"/>
          <w:szCs w:val="26"/>
          <w:rtl/>
        </w:rPr>
      </w:pPr>
    </w:p>
    <w:p w:rsidR="00000000" w:rsidRDefault="0010473E">
      <w:pPr>
        <w:jc w:val="center"/>
        <w:rPr>
          <w:rFonts w:cs="David"/>
          <w:b/>
          <w:bCs/>
          <w:sz w:val="28"/>
          <w:szCs w:val="28"/>
          <w:u w:val="single"/>
          <w:rtl/>
        </w:rPr>
      </w:pPr>
    </w:p>
    <w:p w:rsidR="00000000" w:rsidRDefault="0010473E">
      <w:pPr>
        <w:jc w:val="center"/>
        <w:rPr>
          <w:rFonts w:cs="David"/>
          <w:b/>
          <w:bCs/>
          <w:sz w:val="28"/>
          <w:szCs w:val="28"/>
          <w:u w:val="single"/>
          <w:rtl/>
        </w:rPr>
      </w:pPr>
      <w:r>
        <w:rPr>
          <w:rFonts w:cs="David"/>
          <w:b/>
          <w:bCs/>
          <w:sz w:val="28"/>
          <w:szCs w:val="28"/>
          <w:u w:val="single"/>
          <w:rtl/>
        </w:rPr>
        <w:t>דברי – הסבר</w:t>
      </w:r>
    </w:p>
    <w:p w:rsidR="00000000" w:rsidRDefault="0010473E">
      <w:pPr>
        <w:rPr>
          <w:rFonts w:cs="David"/>
          <w:sz w:val="26"/>
          <w:szCs w:val="26"/>
          <w:rtl/>
        </w:rPr>
      </w:pPr>
    </w:p>
    <w:p w:rsidR="00000000" w:rsidRDefault="0010473E">
      <w:pPr>
        <w:rPr>
          <w:rFonts w:cs="David"/>
          <w:sz w:val="26"/>
          <w:szCs w:val="26"/>
          <w:rtl/>
        </w:rPr>
      </w:pPr>
    </w:p>
    <w:p w:rsidR="00000000" w:rsidRDefault="0010473E">
      <w:pPr>
        <w:pStyle w:val="a8"/>
        <w:spacing w:after="120" w:line="360" w:lineRule="auto"/>
        <w:rPr>
          <w:rFonts w:cs="David"/>
          <w:rtl/>
        </w:rPr>
      </w:pPr>
      <w:r>
        <w:rPr>
          <w:rFonts w:cs="David"/>
          <w:rtl/>
        </w:rPr>
        <w:t>עקב המקרים האחרונים בהם חיילי צה"ל מוסלמ</w:t>
      </w:r>
      <w:r>
        <w:rPr>
          <w:rFonts w:cs="David"/>
          <w:rtl/>
        </w:rPr>
        <w:t>ים, דרוזים או נוצרים לא זכו לשירותי דת ראויים ומכובדים לאחר שנהרגו, ומאחר ובצה"ל משרתים בנוסף ליהודים גם בני דתות אחרות החיים בישראל, בא חוק זה לחייב את הצבא למנות במסגרתו, רשמית וכחלק אינטגרלי, בנוסף לרבנים הצבאיים גם קאדי, קאדי מד'הב וכומר צבאיים שיתנו ש</w:t>
      </w:r>
      <w:r>
        <w:rPr>
          <w:rFonts w:cs="David"/>
          <w:rtl/>
        </w:rPr>
        <w:t>ירותי דת לחיילים בחייהם ובמותם.</w:t>
      </w:r>
    </w:p>
    <w:p w:rsidR="00000000" w:rsidRDefault="0010473E">
      <w:pPr>
        <w:spacing w:after="120" w:line="360" w:lineRule="auto"/>
        <w:jc w:val="both"/>
        <w:rPr>
          <w:rFonts w:cs="David"/>
          <w:sz w:val="26"/>
          <w:szCs w:val="26"/>
          <w:rtl/>
        </w:rPr>
      </w:pPr>
      <w:r>
        <w:rPr>
          <w:rFonts w:cs="David"/>
          <w:sz w:val="26"/>
          <w:szCs w:val="26"/>
          <w:rtl/>
        </w:rPr>
        <w:t xml:space="preserve">הצעת חוק דומה בעיקרה הונחה על שולחן הכנסת החמש-עשרה על ידי חבר הכנסת מיכאל קליינר (פ/2488); הצעת חוק זהה הונחה על שולחן הכנסת החמש-עשרה על ידי חבר הכנסת רן כהן וקבוצת חברי הכנסת (פ/3621); הצעות חוק זהות הונחו על שולחן הכנסת </w:t>
      </w:r>
      <w:r>
        <w:rPr>
          <w:rFonts w:cs="David"/>
          <w:sz w:val="26"/>
          <w:szCs w:val="26"/>
          <w:rtl/>
        </w:rPr>
        <w:t>השש-עשרה על ידי חבר הכנסת רן כהן וקבוצת חברי הכנסת (פ/315) ו-(פ/2579), הראשונה הוסרה מסדר יומה של הכנסת ביום י"א בתמוז התשס"ד (30 ביוני 2004).</w:t>
      </w:r>
    </w:p>
    <w:p w:rsidR="00000000" w:rsidRDefault="0010473E">
      <w:pPr>
        <w:spacing w:after="120" w:line="360" w:lineRule="auto"/>
        <w:jc w:val="both"/>
        <w:rPr>
          <w:rFonts w:cs="David"/>
          <w:sz w:val="26"/>
          <w:szCs w:val="26"/>
          <w:rtl/>
        </w:rPr>
      </w:pPr>
      <w:r>
        <w:rPr>
          <w:rFonts w:cs="David"/>
          <w:sz w:val="26"/>
          <w:szCs w:val="26"/>
          <w:rtl/>
        </w:rPr>
        <w:t>-----------------------------------</w:t>
      </w:r>
    </w:p>
    <w:p w:rsidR="00000000" w:rsidRDefault="0010473E">
      <w:pPr>
        <w:spacing w:after="120" w:line="360" w:lineRule="auto"/>
        <w:jc w:val="both"/>
        <w:rPr>
          <w:rFonts w:cs="David"/>
          <w:sz w:val="26"/>
          <w:szCs w:val="26"/>
          <w:rtl/>
        </w:rPr>
      </w:pPr>
      <w:r>
        <w:rPr>
          <w:rFonts w:cs="David"/>
          <w:sz w:val="26"/>
          <w:szCs w:val="26"/>
          <w:rtl/>
        </w:rPr>
        <w:t>הוגשה ליו"ר הכנסת והסגנים</w:t>
      </w:r>
    </w:p>
    <w:p w:rsidR="00000000" w:rsidRDefault="0010473E">
      <w:pPr>
        <w:spacing w:after="120" w:line="360" w:lineRule="auto"/>
        <w:jc w:val="both"/>
        <w:rPr>
          <w:rFonts w:cs="David"/>
          <w:sz w:val="26"/>
          <w:szCs w:val="26"/>
          <w:rtl/>
        </w:rPr>
      </w:pPr>
      <w:r>
        <w:rPr>
          <w:rFonts w:cs="David"/>
          <w:sz w:val="26"/>
          <w:szCs w:val="26"/>
          <w:rtl/>
        </w:rPr>
        <w:t>והונחה על שלחן הכנסת ביום</w:t>
      </w:r>
    </w:p>
    <w:p w:rsidR="00000000" w:rsidRDefault="0010473E">
      <w:pPr>
        <w:spacing w:after="120" w:line="360" w:lineRule="auto"/>
        <w:jc w:val="both"/>
        <w:rPr>
          <w:rFonts w:cs="David"/>
          <w:sz w:val="26"/>
          <w:szCs w:val="26"/>
          <w:rtl/>
        </w:rPr>
      </w:pPr>
      <w:r>
        <w:rPr>
          <w:rFonts w:cs="David"/>
          <w:sz w:val="26"/>
          <w:szCs w:val="26"/>
          <w:rtl/>
        </w:rPr>
        <w:t>ל' בסיון התשס"ו – 26.6.06</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0473E">
      <w:r>
        <w:separator/>
      </w:r>
    </w:p>
  </w:endnote>
  <w:endnote w:type="continuationSeparator" w:id="0">
    <w:p w:rsidR="00000000" w:rsidRDefault="00104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0473E">
      <w:r>
        <w:separator/>
      </w:r>
    </w:p>
  </w:footnote>
  <w:footnote w:type="continuationSeparator" w:id="0">
    <w:p w:rsidR="00000000" w:rsidRDefault="001047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0473E">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10473E">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1637ùéøåúé ãú áîòøëú äáéèçåï.doc"/>
    <w:docVar w:name="StartMode" w:val="2"/>
  </w:docVars>
  <w:rsids>
    <w:rsidRoot w:val="0010473E"/>
    <w:rsid w:val="00104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Body Text"/>
    <w:basedOn w:val="a"/>
    <w:link w:val="a9"/>
    <w:uiPriority w:val="99"/>
    <w:pPr>
      <w:jc w:val="both"/>
    </w:pPr>
    <w:rPr>
      <w:sz w:val="26"/>
      <w:szCs w:val="26"/>
    </w:r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1040</Characters>
  <Application>Microsoft Office Word</Application>
  <DocSecurity>0</DocSecurity>
  <Lines>8</Lines>
  <Paragraphs>2</Paragraphs>
  <ScaleCrop>false</ScaleCrop>
  <Company>knesset</Company>
  <LinksUpToDate>false</LinksUpToDate>
  <CharactersWithSpaces>1245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שירותי דת במערכת הביטחון, התשס"ו-2006</dc:title>
  <dc:subject/>
  <dc:creator>Knesset</dc:creator>
  <cp:keywords/>
  <dc:description/>
  <cp:lastModifiedBy>שמואל כוכב</cp:lastModifiedBy>
  <cp:revision>2</cp:revision>
  <cp:lastPrinted>2006-06-22T09:35:00Z</cp:lastPrinted>
  <dcterms:created xsi:type="dcterms:W3CDTF">2015-02-03T19:26:00Z</dcterms:created>
  <dcterms:modified xsi:type="dcterms:W3CDTF">2015-02-03T19:26:00Z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רן כהן</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03455406</vt:lpwstr>
  </property>
  <property fmtid="{D5CDD505-2E9C-101B-9397-08002B2CF9AE}" pid="10" name="מספר הצעת חוק למיון">
    <vt:lpwstr>740</vt:lpwstr>
  </property>
  <property fmtid="{D5CDD505-2E9C-101B-9397-08002B2CF9AE}" pid="11" name="SDDocDate">
    <vt:lpwstr>2006-06-22T00:00:00Z</vt:lpwstr>
  </property>
  <property fmtid="{D5CDD505-2E9C-101B-9397-08002B2CF9AE}" pid="12" name="SDHebDate">
    <vt:lpwstr>כ"ו בסיון,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פ/740/17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