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27011">
      <w:pPr>
        <w:pStyle w:val="a3"/>
        <w:spacing w:line="360" w:lineRule="auto"/>
        <w:rPr>
          <w:rFonts w:cs="David"/>
          <w:b w:val="0"/>
          <w:bCs w:val="0"/>
          <w:sz w:val="26"/>
          <w:szCs w:val="26"/>
          <w:u w:val="none"/>
          <w:rtl/>
        </w:rPr>
      </w:pPr>
      <w:bookmarkStart w:id="0" w:name="_GoBack"/>
      <w:bookmarkEnd w:id="0"/>
      <w:r>
        <w:rPr>
          <w:rFonts w:cs="David"/>
          <w:u w:val="none"/>
          <w:rtl/>
        </w:rPr>
        <w:t>הכנסת השבע-עשרה</w:t>
      </w:r>
    </w:p>
    <w:p w:rsidR="00000000" w:rsidRDefault="00127011">
      <w:pPr>
        <w:spacing w:line="360" w:lineRule="auto"/>
        <w:rPr>
          <w:rFonts w:cs="David"/>
          <w:sz w:val="26"/>
          <w:szCs w:val="26"/>
          <w:rtl/>
        </w:rPr>
      </w:pPr>
    </w:p>
    <w:tbl>
      <w:tblPr>
        <w:bidiVisual/>
        <w:tblW w:w="0" w:type="auto"/>
        <w:tblInd w:w="3751" w:type="dxa"/>
        <w:tblBorders>
          <w:bottom w:val="single" w:sz="4" w:space="0" w:color="auto"/>
        </w:tblBorders>
        <w:tblLook w:val="0000" w:firstRow="0" w:lastRow="0" w:firstColumn="0" w:lastColumn="0" w:noHBand="0" w:noVBand="0"/>
      </w:tblPr>
      <w:tblGrid>
        <w:gridCol w:w="4068"/>
      </w:tblGrid>
      <w:tr w:rsidR="00000000">
        <w:tblPrEx>
          <w:tblCellMar>
            <w:top w:w="0" w:type="dxa"/>
            <w:bottom w:w="0" w:type="dxa"/>
          </w:tblCellMar>
        </w:tblPrEx>
        <w:tc>
          <w:tcPr>
            <w:tcW w:w="4068" w:type="dxa"/>
            <w:tcBorders>
              <w:top w:val="nil"/>
              <w:left w:val="nil"/>
              <w:bottom w:val="single" w:sz="4" w:space="0" w:color="auto"/>
              <w:right w:val="nil"/>
            </w:tcBorders>
          </w:tcPr>
          <w:p w:rsidR="00000000" w:rsidRDefault="00127011">
            <w:pPr>
              <w:spacing w:after="120"/>
              <w:jc w:val="right"/>
              <w:rPr>
                <w:rFonts w:cs="David"/>
                <w:sz w:val="26"/>
                <w:szCs w:val="26"/>
              </w:rPr>
            </w:pPr>
            <w:r>
              <w:rPr>
                <w:rFonts w:cs="David"/>
                <w:sz w:val="26"/>
                <w:szCs w:val="26"/>
                <w:rtl/>
              </w:rPr>
              <w:t>הצעת</w:t>
            </w:r>
            <w:r>
              <w:rPr>
                <w:rFonts w:cs="David"/>
                <w:sz w:val="26"/>
                <w:szCs w:val="26"/>
              </w:rPr>
              <w:t xml:space="preserve"> </w:t>
            </w:r>
            <w:r>
              <w:rPr>
                <w:rFonts w:cs="David"/>
                <w:sz w:val="26"/>
                <w:szCs w:val="26"/>
                <w:rtl/>
              </w:rPr>
              <w:t>חוק של חבר הכנסת זבולון אורלב</w:t>
            </w:r>
          </w:p>
        </w:tc>
      </w:tr>
    </w:tbl>
    <w:p w:rsidR="00000000" w:rsidRDefault="00127011">
      <w:pPr>
        <w:spacing w:line="360" w:lineRule="auto"/>
        <w:jc w:val="center"/>
        <w:rPr>
          <w:rFonts w:cs="David"/>
          <w:b/>
          <w:bCs/>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t xml:space="preserve">         </w:t>
      </w:r>
      <w:r>
        <w:rPr>
          <w:rFonts w:cs="David"/>
          <w:b/>
          <w:bCs/>
          <w:rtl/>
        </w:rPr>
        <w:t>פ/618/17</w:t>
      </w:r>
    </w:p>
    <w:p w:rsidR="00000000" w:rsidRDefault="00127011">
      <w:pPr>
        <w:spacing w:line="360" w:lineRule="auto"/>
        <w:rPr>
          <w:rFonts w:cs="David"/>
          <w:sz w:val="26"/>
          <w:szCs w:val="26"/>
          <w:rtl/>
        </w:rPr>
      </w:pPr>
    </w:p>
    <w:p w:rsidR="00000000" w:rsidRDefault="00127011">
      <w:pPr>
        <w:spacing w:line="360" w:lineRule="auto"/>
        <w:jc w:val="center"/>
        <w:rPr>
          <w:rFonts w:cs="David"/>
          <w:b/>
          <w:bCs/>
          <w:sz w:val="28"/>
          <w:szCs w:val="28"/>
          <w:rtl/>
        </w:rPr>
      </w:pPr>
      <w:r>
        <w:rPr>
          <w:rFonts w:cs="David"/>
          <w:b/>
          <w:bCs/>
          <w:sz w:val="28"/>
          <w:szCs w:val="28"/>
          <w:rtl/>
        </w:rPr>
        <w:fldChar w:fldCharType="begin">
          <w:ffData>
            <w:name w:val="Title"/>
            <w:enabled/>
            <w:calcOnExit w:val="0"/>
            <w:textInput>
              <w:default w:val="הצעת חוק הבחירות לכנסת (תיקון - הצבעת המשרתים בשירות לאומי), התשס&quot;ו-2006"/>
            </w:textInput>
          </w:ffData>
        </w:fldChar>
      </w:r>
      <w:r>
        <w:rPr>
          <w:rFonts w:cs="David"/>
          <w:b/>
          <w:bCs/>
          <w:sz w:val="28"/>
          <w:szCs w:val="28"/>
          <w:rtl/>
        </w:rPr>
        <w:instrText xml:space="preserve"> </w:instrText>
      </w:r>
      <w:r>
        <w:rPr>
          <w:rFonts w:cs="David"/>
          <w:b/>
          <w:bCs/>
          <w:sz w:val="28"/>
          <w:szCs w:val="28"/>
        </w:rPr>
        <w:instrText>FORMTEXT</w:instrText>
      </w:r>
      <w:r>
        <w:rPr>
          <w:rFonts w:cs="David"/>
          <w:b/>
          <w:bCs/>
          <w:sz w:val="28"/>
          <w:szCs w:val="28"/>
          <w:rtl/>
        </w:rPr>
        <w:instrText xml:space="preserve"> </w:instrText>
      </w:r>
      <w:r>
        <w:rPr>
          <w:rFonts w:cs="David"/>
          <w:b/>
          <w:bCs/>
          <w:sz w:val="28"/>
          <w:szCs w:val="28"/>
          <w:rtl/>
        </w:rPr>
      </w:r>
      <w:r>
        <w:rPr>
          <w:rFonts w:cs="David"/>
          <w:b/>
          <w:bCs/>
          <w:sz w:val="28"/>
          <w:szCs w:val="28"/>
          <w:rtl/>
        </w:rPr>
        <w:fldChar w:fldCharType="separate"/>
      </w:r>
      <w:r>
        <w:rPr>
          <w:rFonts w:cs="David"/>
          <w:b/>
          <w:bCs/>
          <w:noProof/>
          <w:sz w:val="28"/>
          <w:szCs w:val="28"/>
          <w:rtl/>
        </w:rPr>
        <w:t>הצעת חוק הבחירות לכנסת (תיקון - הצבעת המשרתים בשירות לאומי), התשס"ו-2006</w:t>
      </w:r>
      <w:r>
        <w:rPr>
          <w:rFonts w:cs="David"/>
          <w:b/>
          <w:bCs/>
          <w:sz w:val="28"/>
          <w:szCs w:val="28"/>
          <w:rtl/>
        </w:rPr>
        <w:fldChar w:fldCharType="end"/>
      </w:r>
    </w:p>
    <w:p w:rsidR="00000000" w:rsidRDefault="00127011">
      <w:pPr>
        <w:spacing w:line="360" w:lineRule="auto"/>
        <w:rPr>
          <w:rFonts w:cs="David"/>
          <w:sz w:val="26"/>
          <w:szCs w:val="26"/>
          <w:rtl/>
        </w:rPr>
      </w:pPr>
      <w:r>
        <w:rPr>
          <w:rFonts w:cs="David"/>
          <w:sz w:val="26"/>
          <w:szCs w:val="26"/>
          <w:rtl/>
        </w:rPr>
        <w:t> </w:t>
      </w:r>
    </w:p>
    <w:tbl>
      <w:tblPr>
        <w:bidiVisual/>
        <w:tblW w:w="0" w:type="auto"/>
        <w:tblCellMar>
          <w:left w:w="57" w:type="dxa"/>
          <w:right w:w="57" w:type="dxa"/>
        </w:tblCellMar>
        <w:tblLook w:val="0000" w:firstRow="0" w:lastRow="0" w:firstColumn="0" w:lastColumn="0" w:noHBand="0" w:noVBand="0"/>
      </w:tblPr>
      <w:tblGrid>
        <w:gridCol w:w="1168"/>
        <w:gridCol w:w="549"/>
        <w:gridCol w:w="1191"/>
        <w:gridCol w:w="567"/>
        <w:gridCol w:w="567"/>
        <w:gridCol w:w="4378"/>
      </w:tblGrid>
      <w:tr w:rsidR="00000000">
        <w:tc>
          <w:tcPr>
            <w:tcW w:w="1168" w:type="dxa"/>
            <w:tcBorders>
              <w:top w:val="nil"/>
              <w:left w:val="nil"/>
              <w:bottom w:val="nil"/>
              <w:right w:val="nil"/>
            </w:tcBorders>
          </w:tcPr>
          <w:p w:rsidR="00000000" w:rsidRDefault="00127011">
            <w:pPr>
              <w:rPr>
                <w:rFonts w:cs="David"/>
                <w:sz w:val="26"/>
                <w:szCs w:val="26"/>
              </w:rPr>
            </w:pPr>
            <w:r>
              <w:rPr>
                <w:rFonts w:cs="David"/>
                <w:sz w:val="26"/>
                <w:szCs w:val="26"/>
                <w:rtl/>
              </w:rPr>
              <w:t>תיקון סעיף 7</w:t>
            </w:r>
          </w:p>
        </w:tc>
        <w:tc>
          <w:tcPr>
            <w:tcW w:w="549" w:type="dxa"/>
            <w:tcBorders>
              <w:top w:val="nil"/>
              <w:left w:val="nil"/>
              <w:bottom w:val="nil"/>
              <w:right w:val="nil"/>
            </w:tcBorders>
          </w:tcPr>
          <w:p w:rsidR="00000000" w:rsidRDefault="00127011">
            <w:pPr>
              <w:spacing w:line="360" w:lineRule="auto"/>
              <w:rPr>
                <w:rFonts w:cs="David"/>
                <w:sz w:val="26"/>
                <w:szCs w:val="26"/>
              </w:rPr>
            </w:pPr>
            <w:r>
              <w:rPr>
                <w:rFonts w:cs="David"/>
                <w:sz w:val="26"/>
                <w:szCs w:val="26"/>
                <w:rtl/>
              </w:rPr>
              <w:t>1.</w:t>
            </w:r>
          </w:p>
        </w:tc>
        <w:tc>
          <w:tcPr>
            <w:tcW w:w="6703" w:type="dxa"/>
            <w:gridSpan w:val="4"/>
            <w:tcBorders>
              <w:top w:val="nil"/>
              <w:left w:val="nil"/>
              <w:bottom w:val="nil"/>
              <w:right w:val="nil"/>
            </w:tcBorders>
          </w:tcPr>
          <w:p w:rsidR="00000000" w:rsidRDefault="00127011">
            <w:pPr>
              <w:spacing w:line="360" w:lineRule="auto"/>
              <w:jc w:val="both"/>
              <w:rPr>
                <w:rFonts w:cs="David"/>
                <w:sz w:val="26"/>
                <w:szCs w:val="26"/>
              </w:rPr>
            </w:pPr>
            <w:r>
              <w:rPr>
                <w:rFonts w:cs="David"/>
                <w:sz w:val="26"/>
                <w:szCs w:val="26"/>
                <w:rtl/>
              </w:rPr>
              <w:t>בחוק הבחירות לכנסת, התשכ"ט-1969</w:t>
            </w:r>
            <w:r>
              <w:rPr>
                <w:rStyle w:val="aa"/>
                <w:rFonts w:cs="David"/>
                <w:sz w:val="26"/>
                <w:szCs w:val="26"/>
                <w:rtl/>
              </w:rPr>
              <w:footnoteReference w:id="1"/>
            </w:r>
            <w:r>
              <w:rPr>
                <w:rFonts w:cs="David"/>
                <w:sz w:val="26"/>
                <w:szCs w:val="26"/>
                <w:rtl/>
              </w:rPr>
              <w:t xml:space="preserve"> (להלן - החוק העיקרי), בסעיף 7, אחרי "68א" יבוא "68ג".</w:t>
            </w:r>
          </w:p>
          <w:p w:rsidR="00000000" w:rsidRDefault="00127011">
            <w:pPr>
              <w:spacing w:line="360" w:lineRule="auto"/>
              <w:jc w:val="both"/>
              <w:rPr>
                <w:rFonts w:cs="David"/>
                <w:sz w:val="26"/>
                <w:szCs w:val="26"/>
              </w:rPr>
            </w:pPr>
            <w:r>
              <w:rPr>
                <w:rtl/>
              </w:rPr>
              <w:t> </w:t>
            </w:r>
          </w:p>
        </w:tc>
      </w:tr>
      <w:tr w:rsidR="00000000">
        <w:tc>
          <w:tcPr>
            <w:tcW w:w="1168" w:type="dxa"/>
            <w:tcBorders>
              <w:top w:val="nil"/>
              <w:left w:val="nil"/>
              <w:bottom w:val="nil"/>
              <w:right w:val="nil"/>
            </w:tcBorders>
          </w:tcPr>
          <w:p w:rsidR="00000000" w:rsidRDefault="00127011">
            <w:pPr>
              <w:rPr>
                <w:rFonts w:cs="David"/>
                <w:sz w:val="26"/>
                <w:szCs w:val="26"/>
              </w:rPr>
            </w:pPr>
            <w:r>
              <w:rPr>
                <w:rFonts w:cs="David"/>
                <w:sz w:val="26"/>
                <w:szCs w:val="26"/>
                <w:rtl/>
              </w:rPr>
              <w:t>הוספת סעיף</w:t>
            </w:r>
            <w:r>
              <w:rPr>
                <w:rFonts w:cs="David"/>
                <w:sz w:val="26"/>
                <w:szCs w:val="26"/>
                <w:rtl/>
              </w:rPr>
              <w:t xml:space="preserve"> 68ג</w:t>
            </w:r>
          </w:p>
        </w:tc>
        <w:tc>
          <w:tcPr>
            <w:tcW w:w="549" w:type="dxa"/>
            <w:tcBorders>
              <w:top w:val="nil"/>
              <w:left w:val="nil"/>
              <w:bottom w:val="nil"/>
              <w:right w:val="nil"/>
            </w:tcBorders>
          </w:tcPr>
          <w:p w:rsidR="00000000" w:rsidRDefault="00127011">
            <w:pPr>
              <w:spacing w:line="360" w:lineRule="auto"/>
              <w:rPr>
                <w:rFonts w:cs="David"/>
                <w:sz w:val="26"/>
                <w:szCs w:val="26"/>
              </w:rPr>
            </w:pPr>
            <w:r>
              <w:rPr>
                <w:rFonts w:cs="David"/>
                <w:sz w:val="26"/>
                <w:szCs w:val="26"/>
                <w:rtl/>
              </w:rPr>
              <w:t>2.</w:t>
            </w:r>
          </w:p>
        </w:tc>
        <w:tc>
          <w:tcPr>
            <w:tcW w:w="6703" w:type="dxa"/>
            <w:gridSpan w:val="4"/>
            <w:tcBorders>
              <w:top w:val="nil"/>
              <w:left w:val="nil"/>
              <w:bottom w:val="nil"/>
              <w:right w:val="nil"/>
            </w:tcBorders>
          </w:tcPr>
          <w:p w:rsidR="00000000" w:rsidRDefault="00127011">
            <w:pPr>
              <w:spacing w:line="360" w:lineRule="auto"/>
              <w:jc w:val="both"/>
              <w:rPr>
                <w:rFonts w:cs="David"/>
                <w:sz w:val="26"/>
                <w:szCs w:val="26"/>
              </w:rPr>
            </w:pPr>
            <w:r>
              <w:rPr>
                <w:rFonts w:cs="David"/>
                <w:sz w:val="26"/>
                <w:szCs w:val="26"/>
                <w:rtl/>
              </w:rPr>
              <w:t>אחרי סעיף 68א לחוק העיקרי יבוא:</w:t>
            </w:r>
          </w:p>
        </w:tc>
      </w:tr>
      <w:tr w:rsidR="00000000">
        <w:trPr>
          <w:cantSplit/>
        </w:trPr>
        <w:tc>
          <w:tcPr>
            <w:tcW w:w="1168" w:type="dxa"/>
            <w:tcBorders>
              <w:top w:val="nil"/>
              <w:left w:val="nil"/>
              <w:bottom w:val="nil"/>
              <w:right w:val="nil"/>
            </w:tcBorders>
          </w:tcPr>
          <w:p w:rsidR="00000000" w:rsidRDefault="00127011">
            <w:pPr>
              <w:rPr>
                <w:rFonts w:cs="David"/>
                <w:sz w:val="26"/>
                <w:szCs w:val="26"/>
              </w:rPr>
            </w:pPr>
          </w:p>
        </w:tc>
        <w:tc>
          <w:tcPr>
            <w:tcW w:w="549" w:type="dxa"/>
            <w:tcBorders>
              <w:top w:val="nil"/>
              <w:left w:val="nil"/>
              <w:bottom w:val="nil"/>
              <w:right w:val="nil"/>
            </w:tcBorders>
          </w:tcPr>
          <w:p w:rsidR="00000000" w:rsidRDefault="00127011">
            <w:pPr>
              <w:spacing w:line="360" w:lineRule="auto"/>
              <w:rPr>
                <w:rFonts w:cs="David"/>
                <w:sz w:val="26"/>
                <w:szCs w:val="26"/>
              </w:rPr>
            </w:pPr>
          </w:p>
        </w:tc>
        <w:tc>
          <w:tcPr>
            <w:tcW w:w="1191" w:type="dxa"/>
            <w:vMerge w:val="restart"/>
            <w:tcBorders>
              <w:top w:val="nil"/>
              <w:left w:val="nil"/>
              <w:bottom w:val="nil"/>
              <w:right w:val="nil"/>
            </w:tcBorders>
          </w:tcPr>
          <w:p w:rsidR="00000000" w:rsidRDefault="00127011">
            <w:pPr>
              <w:rPr>
                <w:rFonts w:cs="David"/>
                <w:sz w:val="26"/>
                <w:szCs w:val="26"/>
              </w:rPr>
            </w:pPr>
            <w:r>
              <w:rPr>
                <w:rFonts w:cs="David"/>
                <w:sz w:val="26"/>
                <w:szCs w:val="26"/>
                <w:rtl/>
              </w:rPr>
              <w:t>"הצבעת מי שמשרת שירות לאומי</w:t>
            </w:r>
          </w:p>
        </w:tc>
        <w:tc>
          <w:tcPr>
            <w:tcW w:w="567" w:type="dxa"/>
            <w:tcBorders>
              <w:top w:val="nil"/>
              <w:left w:val="nil"/>
              <w:bottom w:val="nil"/>
              <w:right w:val="nil"/>
            </w:tcBorders>
          </w:tcPr>
          <w:p w:rsidR="00000000" w:rsidRDefault="00127011">
            <w:pPr>
              <w:spacing w:line="360" w:lineRule="auto"/>
              <w:rPr>
                <w:rFonts w:cs="David"/>
                <w:sz w:val="26"/>
                <w:szCs w:val="26"/>
              </w:rPr>
            </w:pPr>
            <w:r>
              <w:rPr>
                <w:rFonts w:cs="David"/>
                <w:sz w:val="26"/>
                <w:szCs w:val="26"/>
                <w:rtl/>
              </w:rPr>
              <w:t>68ב.</w:t>
            </w:r>
          </w:p>
        </w:tc>
        <w:tc>
          <w:tcPr>
            <w:tcW w:w="567" w:type="dxa"/>
            <w:tcBorders>
              <w:top w:val="nil"/>
              <w:left w:val="nil"/>
              <w:bottom w:val="nil"/>
              <w:right w:val="nil"/>
            </w:tcBorders>
          </w:tcPr>
          <w:p w:rsidR="00000000" w:rsidRDefault="00127011">
            <w:pPr>
              <w:spacing w:line="360" w:lineRule="auto"/>
              <w:rPr>
                <w:rFonts w:cs="David"/>
                <w:sz w:val="26"/>
                <w:szCs w:val="26"/>
              </w:rPr>
            </w:pPr>
            <w:r>
              <w:rPr>
                <w:rFonts w:cs="David"/>
                <w:sz w:val="26"/>
                <w:szCs w:val="26"/>
                <w:rtl/>
              </w:rPr>
              <w:t>(א)</w:t>
            </w:r>
          </w:p>
        </w:tc>
        <w:tc>
          <w:tcPr>
            <w:tcW w:w="4378" w:type="dxa"/>
            <w:tcBorders>
              <w:top w:val="nil"/>
              <w:left w:val="nil"/>
              <w:bottom w:val="nil"/>
              <w:right w:val="nil"/>
            </w:tcBorders>
          </w:tcPr>
          <w:p w:rsidR="00000000" w:rsidRDefault="00127011">
            <w:pPr>
              <w:spacing w:line="360" w:lineRule="auto"/>
              <w:jc w:val="both"/>
              <w:rPr>
                <w:rFonts w:cs="David"/>
                <w:sz w:val="26"/>
                <w:szCs w:val="26"/>
                <w:rtl/>
              </w:rPr>
            </w:pPr>
            <w:r>
              <w:rPr>
                <w:rFonts w:cs="David"/>
                <w:sz w:val="26"/>
                <w:szCs w:val="26"/>
                <w:rtl/>
              </w:rPr>
              <w:t>בסעיף זה –</w:t>
            </w:r>
          </w:p>
          <w:p w:rsidR="00000000" w:rsidRDefault="00127011">
            <w:pPr>
              <w:spacing w:line="360" w:lineRule="auto"/>
              <w:jc w:val="both"/>
              <w:rPr>
                <w:rFonts w:cs="David"/>
                <w:sz w:val="26"/>
                <w:szCs w:val="26"/>
              </w:rPr>
            </w:pPr>
          </w:p>
        </w:tc>
      </w:tr>
      <w:tr w:rsidR="00000000">
        <w:trPr>
          <w:cantSplit/>
        </w:trPr>
        <w:tc>
          <w:tcPr>
            <w:tcW w:w="1168" w:type="dxa"/>
            <w:tcBorders>
              <w:top w:val="nil"/>
              <w:left w:val="nil"/>
              <w:bottom w:val="nil"/>
              <w:right w:val="nil"/>
            </w:tcBorders>
          </w:tcPr>
          <w:p w:rsidR="00000000" w:rsidRDefault="00127011">
            <w:pPr>
              <w:rPr>
                <w:rFonts w:cs="David"/>
                <w:sz w:val="26"/>
                <w:szCs w:val="26"/>
              </w:rPr>
            </w:pPr>
          </w:p>
        </w:tc>
        <w:tc>
          <w:tcPr>
            <w:tcW w:w="549" w:type="dxa"/>
            <w:tcBorders>
              <w:top w:val="nil"/>
              <w:left w:val="nil"/>
              <w:bottom w:val="nil"/>
              <w:right w:val="nil"/>
            </w:tcBorders>
          </w:tcPr>
          <w:p w:rsidR="00000000" w:rsidRDefault="00127011">
            <w:pPr>
              <w:spacing w:line="360" w:lineRule="auto"/>
              <w:rPr>
                <w:rFonts w:cs="David"/>
                <w:sz w:val="26"/>
                <w:szCs w:val="26"/>
              </w:rPr>
            </w:pPr>
          </w:p>
        </w:tc>
        <w:tc>
          <w:tcPr>
            <w:tcW w:w="1191" w:type="dxa"/>
            <w:vMerge/>
            <w:tcBorders>
              <w:top w:val="nil"/>
              <w:left w:val="nil"/>
              <w:bottom w:val="nil"/>
              <w:right w:val="nil"/>
            </w:tcBorders>
          </w:tcPr>
          <w:p w:rsidR="00000000" w:rsidRDefault="00127011">
            <w:pPr>
              <w:spacing w:line="360" w:lineRule="auto"/>
              <w:rPr>
                <w:rFonts w:cs="David"/>
                <w:sz w:val="26"/>
                <w:szCs w:val="26"/>
              </w:rPr>
            </w:pPr>
          </w:p>
        </w:tc>
        <w:tc>
          <w:tcPr>
            <w:tcW w:w="567" w:type="dxa"/>
            <w:tcBorders>
              <w:top w:val="nil"/>
              <w:left w:val="nil"/>
              <w:bottom w:val="nil"/>
              <w:right w:val="nil"/>
            </w:tcBorders>
          </w:tcPr>
          <w:p w:rsidR="00000000" w:rsidRDefault="00127011">
            <w:pPr>
              <w:spacing w:line="360" w:lineRule="auto"/>
              <w:rPr>
                <w:rFonts w:cs="David"/>
                <w:sz w:val="26"/>
                <w:szCs w:val="26"/>
              </w:rPr>
            </w:pPr>
          </w:p>
        </w:tc>
        <w:tc>
          <w:tcPr>
            <w:tcW w:w="567" w:type="dxa"/>
            <w:tcBorders>
              <w:top w:val="nil"/>
              <w:left w:val="nil"/>
              <w:bottom w:val="nil"/>
              <w:right w:val="nil"/>
            </w:tcBorders>
          </w:tcPr>
          <w:p w:rsidR="00000000" w:rsidRDefault="00127011">
            <w:pPr>
              <w:spacing w:line="360" w:lineRule="auto"/>
              <w:rPr>
                <w:rFonts w:cs="David"/>
                <w:sz w:val="26"/>
                <w:szCs w:val="26"/>
              </w:rPr>
            </w:pPr>
          </w:p>
        </w:tc>
        <w:tc>
          <w:tcPr>
            <w:tcW w:w="4378" w:type="dxa"/>
            <w:tcBorders>
              <w:top w:val="nil"/>
              <w:left w:val="nil"/>
              <w:bottom w:val="nil"/>
              <w:right w:val="nil"/>
            </w:tcBorders>
          </w:tcPr>
          <w:p w:rsidR="00000000" w:rsidRDefault="00127011">
            <w:pPr>
              <w:spacing w:line="360" w:lineRule="auto"/>
              <w:jc w:val="both"/>
              <w:rPr>
                <w:rFonts w:cs="David"/>
                <w:sz w:val="26"/>
                <w:szCs w:val="26"/>
                <w:rtl/>
              </w:rPr>
            </w:pPr>
            <w:r>
              <w:rPr>
                <w:rFonts w:cs="David"/>
                <w:sz w:val="26"/>
                <w:szCs w:val="26"/>
                <w:rtl/>
              </w:rPr>
              <w:t>"שירות לאומי" - שירות לאומי כאמור בפסקה 3(ב) להגדרת "ילד" שבסעיף 238 לחוק הביטוח הלאומי, התשנ"ה - 1995</w:t>
            </w:r>
            <w:r>
              <w:rPr>
                <w:rStyle w:val="aa"/>
                <w:rFonts w:cs="David"/>
                <w:sz w:val="26"/>
                <w:szCs w:val="26"/>
                <w:rtl/>
              </w:rPr>
              <w:footnoteReference w:id="2"/>
            </w:r>
            <w:r>
              <w:rPr>
                <w:rFonts w:cs="David"/>
                <w:sz w:val="26"/>
                <w:szCs w:val="26"/>
                <w:rtl/>
              </w:rPr>
              <w:t>;</w:t>
            </w:r>
          </w:p>
          <w:p w:rsidR="00000000" w:rsidRDefault="00127011">
            <w:pPr>
              <w:spacing w:line="360" w:lineRule="auto"/>
              <w:jc w:val="both"/>
              <w:rPr>
                <w:rFonts w:cs="David"/>
                <w:sz w:val="26"/>
                <w:szCs w:val="26"/>
              </w:rPr>
            </w:pPr>
          </w:p>
        </w:tc>
      </w:tr>
      <w:tr w:rsidR="00000000">
        <w:trPr>
          <w:cantSplit/>
        </w:trPr>
        <w:tc>
          <w:tcPr>
            <w:tcW w:w="1168" w:type="dxa"/>
            <w:tcBorders>
              <w:top w:val="nil"/>
              <w:left w:val="nil"/>
              <w:bottom w:val="nil"/>
              <w:right w:val="nil"/>
            </w:tcBorders>
          </w:tcPr>
          <w:p w:rsidR="00000000" w:rsidRDefault="00127011">
            <w:pPr>
              <w:rPr>
                <w:rFonts w:cs="David"/>
                <w:sz w:val="26"/>
                <w:szCs w:val="26"/>
              </w:rPr>
            </w:pPr>
          </w:p>
        </w:tc>
        <w:tc>
          <w:tcPr>
            <w:tcW w:w="549" w:type="dxa"/>
            <w:tcBorders>
              <w:top w:val="nil"/>
              <w:left w:val="nil"/>
              <w:bottom w:val="nil"/>
              <w:right w:val="nil"/>
            </w:tcBorders>
          </w:tcPr>
          <w:p w:rsidR="00000000" w:rsidRDefault="00127011">
            <w:pPr>
              <w:spacing w:line="360" w:lineRule="auto"/>
              <w:rPr>
                <w:rFonts w:cs="David"/>
                <w:sz w:val="26"/>
                <w:szCs w:val="26"/>
              </w:rPr>
            </w:pPr>
          </w:p>
        </w:tc>
        <w:tc>
          <w:tcPr>
            <w:tcW w:w="1191" w:type="dxa"/>
            <w:tcBorders>
              <w:top w:val="nil"/>
              <w:left w:val="nil"/>
              <w:bottom w:val="nil"/>
              <w:right w:val="nil"/>
            </w:tcBorders>
          </w:tcPr>
          <w:p w:rsidR="00000000" w:rsidRDefault="00127011">
            <w:pPr>
              <w:spacing w:line="360" w:lineRule="auto"/>
              <w:rPr>
                <w:rFonts w:cs="David"/>
                <w:sz w:val="26"/>
                <w:szCs w:val="26"/>
              </w:rPr>
            </w:pPr>
          </w:p>
        </w:tc>
        <w:tc>
          <w:tcPr>
            <w:tcW w:w="567" w:type="dxa"/>
            <w:tcBorders>
              <w:top w:val="nil"/>
              <w:left w:val="nil"/>
              <w:bottom w:val="nil"/>
              <w:right w:val="nil"/>
            </w:tcBorders>
          </w:tcPr>
          <w:p w:rsidR="00000000" w:rsidRDefault="00127011">
            <w:pPr>
              <w:spacing w:line="360" w:lineRule="auto"/>
              <w:rPr>
                <w:rFonts w:cs="David"/>
                <w:sz w:val="26"/>
                <w:szCs w:val="26"/>
              </w:rPr>
            </w:pPr>
          </w:p>
        </w:tc>
        <w:tc>
          <w:tcPr>
            <w:tcW w:w="567" w:type="dxa"/>
            <w:tcBorders>
              <w:top w:val="nil"/>
              <w:left w:val="nil"/>
              <w:bottom w:val="nil"/>
              <w:right w:val="nil"/>
            </w:tcBorders>
          </w:tcPr>
          <w:p w:rsidR="00000000" w:rsidRDefault="00127011">
            <w:pPr>
              <w:spacing w:line="360" w:lineRule="auto"/>
              <w:rPr>
                <w:rFonts w:cs="David"/>
                <w:sz w:val="26"/>
                <w:szCs w:val="26"/>
              </w:rPr>
            </w:pPr>
          </w:p>
        </w:tc>
        <w:tc>
          <w:tcPr>
            <w:tcW w:w="4378" w:type="dxa"/>
            <w:tcBorders>
              <w:top w:val="nil"/>
              <w:left w:val="nil"/>
              <w:bottom w:val="nil"/>
              <w:right w:val="nil"/>
            </w:tcBorders>
          </w:tcPr>
          <w:p w:rsidR="00000000" w:rsidRDefault="00127011">
            <w:pPr>
              <w:spacing w:line="360" w:lineRule="auto"/>
              <w:jc w:val="both"/>
              <w:rPr>
                <w:rFonts w:cs="David"/>
                <w:sz w:val="26"/>
                <w:szCs w:val="26"/>
                <w:rtl/>
              </w:rPr>
            </w:pPr>
            <w:r>
              <w:rPr>
                <w:rFonts w:cs="David"/>
                <w:sz w:val="26"/>
                <w:szCs w:val="26"/>
                <w:rtl/>
              </w:rPr>
              <w:t>"תעודת שירות לאומי" - תע</w:t>
            </w:r>
            <w:r>
              <w:rPr>
                <w:rFonts w:cs="David"/>
                <w:sz w:val="26"/>
                <w:szCs w:val="26"/>
                <w:rtl/>
              </w:rPr>
              <w:t>ודה הכוללת את שמו הפרטי, שם המשפחה ומספר הזהות של מי שמשרת שירות לאומי וכן את היישוב שבו הוא משרת, והנושאת את תמונתו, שהנפיק גוף שהוכר על ידי שר העבודה והרווחה כגוף שעיסוקו טיפול והפניה של מתנדבים בשירות לאומי.</w:t>
            </w:r>
          </w:p>
          <w:p w:rsidR="00000000" w:rsidRDefault="00127011">
            <w:pPr>
              <w:spacing w:line="360" w:lineRule="auto"/>
              <w:jc w:val="both"/>
              <w:rPr>
                <w:rFonts w:cs="David"/>
                <w:sz w:val="26"/>
                <w:szCs w:val="26"/>
              </w:rPr>
            </w:pPr>
          </w:p>
        </w:tc>
      </w:tr>
      <w:tr w:rsidR="00000000">
        <w:trPr>
          <w:cantSplit/>
        </w:trPr>
        <w:tc>
          <w:tcPr>
            <w:tcW w:w="1168" w:type="dxa"/>
            <w:tcBorders>
              <w:top w:val="nil"/>
              <w:left w:val="nil"/>
              <w:bottom w:val="nil"/>
              <w:right w:val="nil"/>
            </w:tcBorders>
          </w:tcPr>
          <w:p w:rsidR="00000000" w:rsidRDefault="00127011">
            <w:pPr>
              <w:rPr>
                <w:rFonts w:cs="David"/>
                <w:sz w:val="26"/>
                <w:szCs w:val="26"/>
              </w:rPr>
            </w:pPr>
          </w:p>
        </w:tc>
        <w:tc>
          <w:tcPr>
            <w:tcW w:w="549" w:type="dxa"/>
            <w:tcBorders>
              <w:top w:val="nil"/>
              <w:left w:val="nil"/>
              <w:bottom w:val="nil"/>
              <w:right w:val="nil"/>
            </w:tcBorders>
          </w:tcPr>
          <w:p w:rsidR="00000000" w:rsidRDefault="00127011">
            <w:pPr>
              <w:spacing w:line="360" w:lineRule="auto"/>
              <w:rPr>
                <w:rFonts w:cs="David"/>
                <w:sz w:val="26"/>
                <w:szCs w:val="26"/>
              </w:rPr>
            </w:pPr>
          </w:p>
        </w:tc>
        <w:tc>
          <w:tcPr>
            <w:tcW w:w="1191" w:type="dxa"/>
            <w:tcBorders>
              <w:top w:val="nil"/>
              <w:left w:val="nil"/>
              <w:bottom w:val="nil"/>
              <w:right w:val="nil"/>
            </w:tcBorders>
          </w:tcPr>
          <w:p w:rsidR="00000000" w:rsidRDefault="00127011">
            <w:pPr>
              <w:spacing w:line="360" w:lineRule="auto"/>
              <w:rPr>
                <w:rFonts w:cs="David"/>
                <w:sz w:val="26"/>
                <w:szCs w:val="26"/>
              </w:rPr>
            </w:pPr>
          </w:p>
        </w:tc>
        <w:tc>
          <w:tcPr>
            <w:tcW w:w="567" w:type="dxa"/>
            <w:tcBorders>
              <w:top w:val="nil"/>
              <w:left w:val="nil"/>
              <w:bottom w:val="nil"/>
              <w:right w:val="nil"/>
            </w:tcBorders>
          </w:tcPr>
          <w:p w:rsidR="00000000" w:rsidRDefault="00127011">
            <w:pPr>
              <w:spacing w:line="360" w:lineRule="auto"/>
              <w:rPr>
                <w:rFonts w:cs="David"/>
                <w:sz w:val="26"/>
                <w:szCs w:val="26"/>
              </w:rPr>
            </w:pPr>
          </w:p>
        </w:tc>
        <w:tc>
          <w:tcPr>
            <w:tcW w:w="567" w:type="dxa"/>
            <w:tcBorders>
              <w:top w:val="nil"/>
              <w:left w:val="nil"/>
              <w:bottom w:val="nil"/>
              <w:right w:val="nil"/>
            </w:tcBorders>
          </w:tcPr>
          <w:p w:rsidR="00000000" w:rsidRDefault="00127011">
            <w:pPr>
              <w:spacing w:line="360" w:lineRule="auto"/>
              <w:rPr>
                <w:rFonts w:cs="David"/>
                <w:sz w:val="26"/>
                <w:szCs w:val="26"/>
              </w:rPr>
            </w:pPr>
            <w:r>
              <w:rPr>
                <w:rFonts w:cs="David"/>
                <w:sz w:val="26"/>
                <w:szCs w:val="26"/>
                <w:rtl/>
              </w:rPr>
              <w:t>(ב)</w:t>
            </w:r>
          </w:p>
        </w:tc>
        <w:tc>
          <w:tcPr>
            <w:tcW w:w="4378" w:type="dxa"/>
            <w:tcBorders>
              <w:top w:val="nil"/>
              <w:left w:val="nil"/>
              <w:bottom w:val="nil"/>
              <w:right w:val="nil"/>
            </w:tcBorders>
          </w:tcPr>
          <w:p w:rsidR="00000000" w:rsidRDefault="00127011">
            <w:pPr>
              <w:spacing w:line="360" w:lineRule="auto"/>
              <w:jc w:val="both"/>
              <w:rPr>
                <w:rFonts w:cs="David"/>
                <w:sz w:val="26"/>
                <w:szCs w:val="26"/>
                <w:rtl/>
              </w:rPr>
            </w:pPr>
            <w:r>
              <w:rPr>
                <w:rFonts w:cs="David"/>
                <w:sz w:val="26"/>
                <w:szCs w:val="26"/>
                <w:rtl/>
              </w:rPr>
              <w:t>מי שמשרת שירות לאומי רשאי להצביע בכ</w:t>
            </w:r>
            <w:r>
              <w:rPr>
                <w:rFonts w:cs="David"/>
                <w:sz w:val="26"/>
                <w:szCs w:val="26"/>
                <w:rtl/>
              </w:rPr>
              <w:t>ל קלפי שנקבעה לפי הוראות סעיף 68 בישוב שבו הוא משרת שירות לאומי.</w:t>
            </w:r>
          </w:p>
          <w:p w:rsidR="00000000" w:rsidRDefault="00127011">
            <w:pPr>
              <w:spacing w:line="360" w:lineRule="auto"/>
              <w:jc w:val="both"/>
              <w:rPr>
                <w:rFonts w:cs="David"/>
                <w:sz w:val="26"/>
                <w:szCs w:val="26"/>
              </w:rPr>
            </w:pPr>
          </w:p>
        </w:tc>
      </w:tr>
      <w:tr w:rsidR="00000000">
        <w:trPr>
          <w:cantSplit/>
        </w:trPr>
        <w:tc>
          <w:tcPr>
            <w:tcW w:w="1168" w:type="dxa"/>
            <w:tcBorders>
              <w:top w:val="nil"/>
              <w:left w:val="nil"/>
              <w:bottom w:val="nil"/>
              <w:right w:val="nil"/>
            </w:tcBorders>
          </w:tcPr>
          <w:p w:rsidR="00000000" w:rsidRDefault="00127011">
            <w:pPr>
              <w:rPr>
                <w:rFonts w:cs="David"/>
                <w:sz w:val="26"/>
                <w:szCs w:val="26"/>
              </w:rPr>
            </w:pPr>
          </w:p>
        </w:tc>
        <w:tc>
          <w:tcPr>
            <w:tcW w:w="549" w:type="dxa"/>
            <w:tcBorders>
              <w:top w:val="nil"/>
              <w:left w:val="nil"/>
              <w:bottom w:val="nil"/>
              <w:right w:val="nil"/>
            </w:tcBorders>
          </w:tcPr>
          <w:p w:rsidR="00000000" w:rsidRDefault="00127011">
            <w:pPr>
              <w:spacing w:line="360" w:lineRule="auto"/>
              <w:rPr>
                <w:rFonts w:cs="David"/>
                <w:sz w:val="26"/>
                <w:szCs w:val="26"/>
              </w:rPr>
            </w:pPr>
          </w:p>
        </w:tc>
        <w:tc>
          <w:tcPr>
            <w:tcW w:w="1191" w:type="dxa"/>
            <w:tcBorders>
              <w:top w:val="nil"/>
              <w:left w:val="nil"/>
              <w:bottom w:val="nil"/>
              <w:right w:val="nil"/>
            </w:tcBorders>
          </w:tcPr>
          <w:p w:rsidR="00000000" w:rsidRDefault="00127011">
            <w:pPr>
              <w:spacing w:line="360" w:lineRule="auto"/>
              <w:rPr>
                <w:rFonts w:cs="David"/>
                <w:sz w:val="26"/>
                <w:szCs w:val="26"/>
              </w:rPr>
            </w:pPr>
          </w:p>
        </w:tc>
        <w:tc>
          <w:tcPr>
            <w:tcW w:w="567" w:type="dxa"/>
            <w:tcBorders>
              <w:top w:val="nil"/>
              <w:left w:val="nil"/>
              <w:bottom w:val="nil"/>
              <w:right w:val="nil"/>
            </w:tcBorders>
          </w:tcPr>
          <w:p w:rsidR="00000000" w:rsidRDefault="00127011">
            <w:pPr>
              <w:spacing w:line="360" w:lineRule="auto"/>
              <w:rPr>
                <w:rFonts w:cs="David"/>
                <w:sz w:val="26"/>
                <w:szCs w:val="26"/>
              </w:rPr>
            </w:pPr>
          </w:p>
        </w:tc>
        <w:tc>
          <w:tcPr>
            <w:tcW w:w="567" w:type="dxa"/>
            <w:tcBorders>
              <w:top w:val="nil"/>
              <w:left w:val="nil"/>
              <w:bottom w:val="nil"/>
              <w:right w:val="nil"/>
            </w:tcBorders>
          </w:tcPr>
          <w:p w:rsidR="00000000" w:rsidRDefault="00127011">
            <w:pPr>
              <w:spacing w:line="360" w:lineRule="auto"/>
              <w:rPr>
                <w:rFonts w:cs="David"/>
                <w:sz w:val="26"/>
                <w:szCs w:val="26"/>
              </w:rPr>
            </w:pPr>
            <w:r>
              <w:rPr>
                <w:rFonts w:cs="David"/>
                <w:sz w:val="26"/>
                <w:szCs w:val="26"/>
                <w:rtl/>
              </w:rPr>
              <w:t>(ג)</w:t>
            </w:r>
          </w:p>
        </w:tc>
        <w:tc>
          <w:tcPr>
            <w:tcW w:w="4378" w:type="dxa"/>
            <w:tcBorders>
              <w:top w:val="nil"/>
              <w:left w:val="nil"/>
              <w:bottom w:val="nil"/>
              <w:right w:val="nil"/>
            </w:tcBorders>
          </w:tcPr>
          <w:p w:rsidR="00000000" w:rsidRDefault="00127011">
            <w:pPr>
              <w:spacing w:line="360" w:lineRule="auto"/>
              <w:jc w:val="both"/>
              <w:rPr>
                <w:rFonts w:cs="David"/>
                <w:sz w:val="26"/>
                <w:szCs w:val="26"/>
                <w:rtl/>
              </w:rPr>
            </w:pPr>
            <w:r>
              <w:rPr>
                <w:rFonts w:cs="David"/>
                <w:sz w:val="26"/>
                <w:szCs w:val="26"/>
                <w:rtl/>
              </w:rPr>
              <w:t>לא יאוחר מהיום ה – 53 שלפני יום הבחירות, ימסור שר העבודה והרווחה ליושב ראש הועדה המרכזית רשימה של כל הגופים שהוכרו על ידו כגופים שעיסוקם טיפול והפניה של מתנדבים בשירות לאומי, ויציין</w:t>
            </w:r>
            <w:r>
              <w:rPr>
                <w:rFonts w:cs="David"/>
                <w:sz w:val="26"/>
                <w:szCs w:val="26"/>
                <w:rtl/>
              </w:rPr>
              <w:t xml:space="preserve"> לגביהם פרטים נוספים כפי שייקבע בתקנות.</w:t>
            </w:r>
          </w:p>
          <w:p w:rsidR="00000000" w:rsidRDefault="00127011">
            <w:pPr>
              <w:spacing w:line="360" w:lineRule="auto"/>
              <w:jc w:val="both"/>
              <w:rPr>
                <w:rFonts w:cs="David"/>
                <w:sz w:val="26"/>
                <w:szCs w:val="26"/>
              </w:rPr>
            </w:pPr>
          </w:p>
        </w:tc>
      </w:tr>
      <w:tr w:rsidR="00000000">
        <w:trPr>
          <w:cantSplit/>
        </w:trPr>
        <w:tc>
          <w:tcPr>
            <w:tcW w:w="1168" w:type="dxa"/>
            <w:tcBorders>
              <w:top w:val="nil"/>
              <w:left w:val="nil"/>
              <w:bottom w:val="nil"/>
              <w:right w:val="nil"/>
            </w:tcBorders>
          </w:tcPr>
          <w:p w:rsidR="00000000" w:rsidRDefault="00127011">
            <w:pPr>
              <w:rPr>
                <w:rFonts w:cs="David"/>
                <w:sz w:val="26"/>
                <w:szCs w:val="26"/>
              </w:rPr>
            </w:pPr>
          </w:p>
        </w:tc>
        <w:tc>
          <w:tcPr>
            <w:tcW w:w="549" w:type="dxa"/>
            <w:tcBorders>
              <w:top w:val="nil"/>
              <w:left w:val="nil"/>
              <w:bottom w:val="nil"/>
              <w:right w:val="nil"/>
            </w:tcBorders>
          </w:tcPr>
          <w:p w:rsidR="00000000" w:rsidRDefault="00127011">
            <w:pPr>
              <w:spacing w:line="360" w:lineRule="auto"/>
              <w:rPr>
                <w:rFonts w:cs="David"/>
                <w:sz w:val="26"/>
                <w:szCs w:val="26"/>
              </w:rPr>
            </w:pPr>
          </w:p>
        </w:tc>
        <w:tc>
          <w:tcPr>
            <w:tcW w:w="1191" w:type="dxa"/>
            <w:tcBorders>
              <w:top w:val="nil"/>
              <w:left w:val="nil"/>
              <w:bottom w:val="nil"/>
              <w:right w:val="nil"/>
            </w:tcBorders>
          </w:tcPr>
          <w:p w:rsidR="00000000" w:rsidRDefault="00127011">
            <w:pPr>
              <w:spacing w:line="360" w:lineRule="auto"/>
              <w:rPr>
                <w:rFonts w:cs="David"/>
                <w:sz w:val="26"/>
                <w:szCs w:val="26"/>
              </w:rPr>
            </w:pPr>
          </w:p>
        </w:tc>
        <w:tc>
          <w:tcPr>
            <w:tcW w:w="567" w:type="dxa"/>
            <w:tcBorders>
              <w:top w:val="nil"/>
              <w:left w:val="nil"/>
              <w:bottom w:val="nil"/>
              <w:right w:val="nil"/>
            </w:tcBorders>
          </w:tcPr>
          <w:p w:rsidR="00000000" w:rsidRDefault="00127011">
            <w:pPr>
              <w:spacing w:line="360" w:lineRule="auto"/>
              <w:rPr>
                <w:rFonts w:cs="David"/>
                <w:sz w:val="26"/>
                <w:szCs w:val="26"/>
              </w:rPr>
            </w:pPr>
          </w:p>
        </w:tc>
        <w:tc>
          <w:tcPr>
            <w:tcW w:w="567" w:type="dxa"/>
            <w:tcBorders>
              <w:top w:val="nil"/>
              <w:left w:val="nil"/>
              <w:bottom w:val="nil"/>
              <w:right w:val="nil"/>
            </w:tcBorders>
          </w:tcPr>
          <w:p w:rsidR="00000000" w:rsidRDefault="00127011">
            <w:pPr>
              <w:spacing w:line="360" w:lineRule="auto"/>
              <w:rPr>
                <w:rFonts w:cs="David"/>
                <w:sz w:val="26"/>
                <w:szCs w:val="26"/>
              </w:rPr>
            </w:pPr>
            <w:r>
              <w:rPr>
                <w:rFonts w:cs="David"/>
                <w:sz w:val="26"/>
                <w:szCs w:val="26"/>
                <w:rtl/>
              </w:rPr>
              <w:t>(ד)</w:t>
            </w:r>
          </w:p>
        </w:tc>
        <w:tc>
          <w:tcPr>
            <w:tcW w:w="4378" w:type="dxa"/>
            <w:tcBorders>
              <w:top w:val="nil"/>
              <w:left w:val="nil"/>
              <w:bottom w:val="nil"/>
              <w:right w:val="nil"/>
            </w:tcBorders>
          </w:tcPr>
          <w:p w:rsidR="00000000" w:rsidRDefault="00127011">
            <w:pPr>
              <w:spacing w:line="360" w:lineRule="auto"/>
              <w:jc w:val="both"/>
              <w:rPr>
                <w:rFonts w:cs="David"/>
                <w:sz w:val="26"/>
                <w:szCs w:val="26"/>
                <w:rtl/>
              </w:rPr>
            </w:pPr>
            <w:r>
              <w:rPr>
                <w:rFonts w:cs="David"/>
                <w:sz w:val="26"/>
                <w:szCs w:val="26"/>
                <w:rtl/>
              </w:rPr>
              <w:t>מי שמשרת שירות לאומי, המצביע בקלפי כאמור בסעיף קטן (ב), יזדהה בפני ועדת הקלפי כאמור בסעיף 74(א) ו - (ב), וכן יציג בפני ועדת הקלפי תעודת שירות לאומי, ישים את מעטפת ההצבעה לתוך מעטפה חיצונית, וועדת הקלפי תציי</w:t>
            </w:r>
            <w:r>
              <w:rPr>
                <w:rFonts w:cs="David"/>
                <w:sz w:val="26"/>
                <w:szCs w:val="26"/>
                <w:rtl/>
              </w:rPr>
              <w:t>ן על פני המעטפה החיצונית את שם הבוחר, את מספר זהותו במרשם האוכלוסין ואת מענו, והבוחר יטיל את המעטפה לעיני ועדת הקלפי, לתוך הקלפי.</w:t>
            </w:r>
          </w:p>
          <w:p w:rsidR="00000000" w:rsidRDefault="00127011">
            <w:pPr>
              <w:spacing w:line="360" w:lineRule="auto"/>
              <w:jc w:val="both"/>
              <w:rPr>
                <w:rFonts w:cs="David"/>
                <w:sz w:val="26"/>
                <w:szCs w:val="26"/>
              </w:rPr>
            </w:pPr>
          </w:p>
        </w:tc>
      </w:tr>
      <w:tr w:rsidR="00000000">
        <w:trPr>
          <w:cantSplit/>
        </w:trPr>
        <w:tc>
          <w:tcPr>
            <w:tcW w:w="1168" w:type="dxa"/>
            <w:tcBorders>
              <w:top w:val="nil"/>
              <w:left w:val="nil"/>
              <w:bottom w:val="nil"/>
              <w:right w:val="nil"/>
            </w:tcBorders>
          </w:tcPr>
          <w:p w:rsidR="00000000" w:rsidRDefault="00127011">
            <w:pPr>
              <w:rPr>
                <w:rFonts w:cs="David"/>
                <w:sz w:val="26"/>
                <w:szCs w:val="26"/>
              </w:rPr>
            </w:pPr>
          </w:p>
        </w:tc>
        <w:tc>
          <w:tcPr>
            <w:tcW w:w="549" w:type="dxa"/>
            <w:tcBorders>
              <w:top w:val="nil"/>
              <w:left w:val="nil"/>
              <w:bottom w:val="nil"/>
              <w:right w:val="nil"/>
            </w:tcBorders>
          </w:tcPr>
          <w:p w:rsidR="00000000" w:rsidRDefault="00127011">
            <w:pPr>
              <w:spacing w:line="360" w:lineRule="auto"/>
              <w:rPr>
                <w:rFonts w:cs="David"/>
                <w:sz w:val="26"/>
                <w:szCs w:val="26"/>
              </w:rPr>
            </w:pPr>
          </w:p>
        </w:tc>
        <w:tc>
          <w:tcPr>
            <w:tcW w:w="1191" w:type="dxa"/>
            <w:tcBorders>
              <w:top w:val="nil"/>
              <w:left w:val="nil"/>
              <w:bottom w:val="nil"/>
              <w:right w:val="nil"/>
            </w:tcBorders>
          </w:tcPr>
          <w:p w:rsidR="00000000" w:rsidRDefault="00127011">
            <w:pPr>
              <w:spacing w:line="360" w:lineRule="auto"/>
              <w:rPr>
                <w:rFonts w:cs="David"/>
                <w:sz w:val="26"/>
                <w:szCs w:val="26"/>
              </w:rPr>
            </w:pPr>
          </w:p>
        </w:tc>
        <w:tc>
          <w:tcPr>
            <w:tcW w:w="567" w:type="dxa"/>
            <w:tcBorders>
              <w:top w:val="nil"/>
              <w:left w:val="nil"/>
              <w:bottom w:val="nil"/>
              <w:right w:val="nil"/>
            </w:tcBorders>
          </w:tcPr>
          <w:p w:rsidR="00000000" w:rsidRDefault="00127011">
            <w:pPr>
              <w:spacing w:line="360" w:lineRule="auto"/>
              <w:rPr>
                <w:rFonts w:cs="David"/>
                <w:sz w:val="26"/>
                <w:szCs w:val="26"/>
              </w:rPr>
            </w:pPr>
          </w:p>
        </w:tc>
        <w:tc>
          <w:tcPr>
            <w:tcW w:w="567" w:type="dxa"/>
            <w:tcBorders>
              <w:top w:val="nil"/>
              <w:left w:val="nil"/>
              <w:bottom w:val="nil"/>
              <w:right w:val="nil"/>
            </w:tcBorders>
          </w:tcPr>
          <w:p w:rsidR="00000000" w:rsidRDefault="00127011">
            <w:pPr>
              <w:spacing w:line="360" w:lineRule="auto"/>
              <w:rPr>
                <w:rFonts w:cs="David"/>
                <w:sz w:val="26"/>
                <w:szCs w:val="26"/>
              </w:rPr>
            </w:pPr>
            <w:r>
              <w:rPr>
                <w:rFonts w:cs="David"/>
                <w:sz w:val="26"/>
                <w:szCs w:val="26"/>
                <w:rtl/>
              </w:rPr>
              <w:t>(ה)</w:t>
            </w:r>
          </w:p>
        </w:tc>
        <w:tc>
          <w:tcPr>
            <w:tcW w:w="4378" w:type="dxa"/>
            <w:tcBorders>
              <w:top w:val="nil"/>
              <w:left w:val="nil"/>
              <w:bottom w:val="nil"/>
              <w:right w:val="nil"/>
            </w:tcBorders>
          </w:tcPr>
          <w:p w:rsidR="00000000" w:rsidRDefault="00127011">
            <w:pPr>
              <w:spacing w:line="360" w:lineRule="auto"/>
              <w:jc w:val="both"/>
              <w:rPr>
                <w:rFonts w:cs="David"/>
                <w:sz w:val="26"/>
                <w:szCs w:val="26"/>
              </w:rPr>
            </w:pPr>
            <w:r>
              <w:rPr>
                <w:rFonts w:cs="David"/>
                <w:sz w:val="26"/>
                <w:szCs w:val="26"/>
                <w:rtl/>
              </w:rPr>
              <w:t>ספירת הקולות של בוחרים שהצביעו בקלפיות לפי הוראות סעיף זה תהיה בדרך שקבע שר הפנים."</w:t>
            </w:r>
          </w:p>
        </w:tc>
      </w:tr>
    </w:tbl>
    <w:p w:rsidR="00000000" w:rsidRDefault="00127011">
      <w:pPr>
        <w:spacing w:line="360" w:lineRule="auto"/>
        <w:jc w:val="both"/>
        <w:rPr>
          <w:rtl/>
        </w:rPr>
      </w:pPr>
    </w:p>
    <w:p w:rsidR="00000000" w:rsidRDefault="00127011">
      <w:pPr>
        <w:spacing w:line="360" w:lineRule="auto"/>
        <w:rPr>
          <w:rFonts w:cs="David"/>
          <w:sz w:val="26"/>
          <w:szCs w:val="26"/>
          <w:rtl/>
        </w:rPr>
      </w:pPr>
    </w:p>
    <w:p w:rsidR="00000000" w:rsidRDefault="00127011">
      <w:pPr>
        <w:spacing w:line="360" w:lineRule="auto"/>
        <w:rPr>
          <w:rFonts w:cs="David"/>
          <w:sz w:val="26"/>
          <w:szCs w:val="26"/>
          <w:rtl/>
        </w:rPr>
      </w:pPr>
      <w:r>
        <w:rPr>
          <w:rFonts w:cs="David"/>
          <w:sz w:val="26"/>
          <w:szCs w:val="26"/>
          <w:rtl/>
        </w:rPr>
        <w:t> </w:t>
      </w:r>
    </w:p>
    <w:p w:rsidR="00000000" w:rsidRDefault="00127011">
      <w:pPr>
        <w:pStyle w:val="2"/>
        <w:spacing w:line="360" w:lineRule="auto"/>
        <w:rPr>
          <w:rFonts w:cs="David"/>
          <w:b/>
          <w:bCs/>
          <w:sz w:val="28"/>
          <w:szCs w:val="28"/>
          <w:u w:val="single"/>
          <w:rtl/>
        </w:rPr>
      </w:pPr>
      <w:r>
        <w:rPr>
          <w:rFonts w:cs="David"/>
          <w:b/>
          <w:bCs/>
          <w:sz w:val="28"/>
          <w:szCs w:val="28"/>
          <w:u w:val="single"/>
          <w:rtl/>
        </w:rPr>
        <w:t>דברי-הסבר</w:t>
      </w:r>
    </w:p>
    <w:p w:rsidR="00000000" w:rsidRDefault="00127011">
      <w:pPr>
        <w:spacing w:line="360" w:lineRule="auto"/>
        <w:rPr>
          <w:rtl/>
        </w:rPr>
      </w:pPr>
      <w:r>
        <w:rPr>
          <w:rtl/>
        </w:rPr>
        <w:t> </w:t>
      </w:r>
    </w:p>
    <w:p w:rsidR="00000000" w:rsidRDefault="00127011">
      <w:pPr>
        <w:spacing w:line="360" w:lineRule="auto"/>
        <w:jc w:val="both"/>
        <w:rPr>
          <w:rFonts w:cs="David"/>
          <w:sz w:val="26"/>
          <w:szCs w:val="26"/>
          <w:rtl/>
        </w:rPr>
      </w:pPr>
      <w:r>
        <w:rPr>
          <w:rFonts w:cs="David"/>
          <w:sz w:val="26"/>
          <w:szCs w:val="26"/>
          <w:rtl/>
        </w:rPr>
        <w:t>סעיף 7 לחוק הבח</w:t>
      </w:r>
      <w:r>
        <w:rPr>
          <w:rFonts w:cs="David"/>
          <w:sz w:val="26"/>
          <w:szCs w:val="26"/>
          <w:rtl/>
        </w:rPr>
        <w:t>ירות לכנסת [נוסח משולב], התשכ"ט - 1969, קובע את העיקרון של "ריתוק לקלפי", דהיינו, יכולתו של בוחר לממש את זכות הבחירה שלו מותנית בכך שיצביע בקלפי ששמו מופיע בה כמי שמענו במרשם האוכלוסין הוא באזור הקלפי.</w:t>
      </w:r>
    </w:p>
    <w:p w:rsidR="00000000" w:rsidRDefault="00127011">
      <w:pPr>
        <w:spacing w:line="360" w:lineRule="auto"/>
        <w:jc w:val="both"/>
        <w:rPr>
          <w:rFonts w:cs="David"/>
          <w:sz w:val="26"/>
          <w:szCs w:val="26"/>
          <w:rtl/>
        </w:rPr>
      </w:pPr>
      <w:r>
        <w:rPr>
          <w:rFonts w:cs="David"/>
          <w:sz w:val="26"/>
          <w:szCs w:val="26"/>
          <w:rtl/>
        </w:rPr>
        <w:t> </w:t>
      </w:r>
    </w:p>
    <w:p w:rsidR="00000000" w:rsidRDefault="00127011">
      <w:pPr>
        <w:spacing w:line="360" w:lineRule="auto"/>
        <w:jc w:val="both"/>
        <w:rPr>
          <w:rFonts w:cs="David"/>
          <w:sz w:val="26"/>
          <w:szCs w:val="26"/>
          <w:rtl/>
        </w:rPr>
      </w:pPr>
      <w:r>
        <w:rPr>
          <w:rFonts w:cs="David"/>
          <w:sz w:val="26"/>
          <w:szCs w:val="26"/>
          <w:rtl/>
        </w:rPr>
        <w:t>תיקונים שונים נעשו עם השנים בחוק הבחירות, המכירים בכ</w:t>
      </w:r>
      <w:r>
        <w:rPr>
          <w:rFonts w:cs="David"/>
          <w:sz w:val="26"/>
          <w:szCs w:val="26"/>
          <w:rtl/>
        </w:rPr>
        <w:t>ך שאוכלוסיות שונות לא תוכלנה לממש את זכות הבחירה אם יעמדו לגביהן על העיקרון של "ריתוק לקלפי", והוכרו חריגים לעיקרון זה, כמו חיילים, אנשים המוגבלים בניידות, אנשים המאושפזים בבתי חולים, אסירים, ועוד.</w:t>
      </w:r>
    </w:p>
    <w:p w:rsidR="00000000" w:rsidRDefault="00127011">
      <w:pPr>
        <w:spacing w:line="360" w:lineRule="auto"/>
        <w:jc w:val="both"/>
        <w:rPr>
          <w:rFonts w:cs="David"/>
          <w:sz w:val="26"/>
          <w:szCs w:val="26"/>
          <w:rtl/>
        </w:rPr>
      </w:pPr>
      <w:r>
        <w:rPr>
          <w:rFonts w:cs="David"/>
          <w:sz w:val="26"/>
          <w:szCs w:val="26"/>
          <w:rtl/>
        </w:rPr>
        <w:t> </w:t>
      </w:r>
    </w:p>
    <w:p w:rsidR="00000000" w:rsidRDefault="00127011">
      <w:pPr>
        <w:spacing w:line="360" w:lineRule="auto"/>
        <w:jc w:val="both"/>
        <w:rPr>
          <w:rFonts w:cs="David"/>
          <w:sz w:val="26"/>
          <w:szCs w:val="26"/>
          <w:rtl/>
        </w:rPr>
      </w:pPr>
      <w:r>
        <w:rPr>
          <w:rFonts w:cs="David"/>
          <w:sz w:val="26"/>
          <w:szCs w:val="26"/>
          <w:rtl/>
        </w:rPr>
        <w:t xml:space="preserve">מוצע, בדומה לנהוג לגבי חיילים, לאפשר גם למי שמשרת שירות </w:t>
      </w:r>
      <w:r>
        <w:rPr>
          <w:rFonts w:cs="David"/>
          <w:sz w:val="26"/>
          <w:szCs w:val="26"/>
          <w:rtl/>
        </w:rPr>
        <w:t>לאומי, במקום הרחוק לעיתים ממקום מענו הרשום במרשם האוכלוסין, להצביע במעטפה כפולה בקלפי הערוכה להצבעה במעטפות כפולות, ביישוב בו הוא משרת שירות לאומי. ההזדהות תהיה, כמקובל, עם תעודת זהות, וכן עם תעודת שירות בה יצויין היישוב בו משרת נושא התעודה שירות לאומי.</w:t>
      </w:r>
    </w:p>
    <w:p w:rsidR="00000000" w:rsidRDefault="00127011">
      <w:pPr>
        <w:spacing w:line="360" w:lineRule="auto"/>
        <w:jc w:val="both"/>
        <w:rPr>
          <w:rFonts w:cs="David"/>
          <w:sz w:val="26"/>
          <w:szCs w:val="26"/>
          <w:rtl/>
        </w:rPr>
      </w:pPr>
      <w:r>
        <w:rPr>
          <w:rFonts w:cs="David"/>
          <w:sz w:val="26"/>
          <w:szCs w:val="26"/>
          <w:rtl/>
        </w:rPr>
        <w:t> </w:t>
      </w:r>
    </w:p>
    <w:p w:rsidR="00000000" w:rsidRDefault="00127011">
      <w:pPr>
        <w:spacing w:line="360" w:lineRule="auto"/>
        <w:jc w:val="both"/>
        <w:rPr>
          <w:rFonts w:cs="David"/>
          <w:sz w:val="26"/>
          <w:szCs w:val="26"/>
          <w:rtl/>
        </w:rPr>
      </w:pPr>
      <w:r>
        <w:rPr>
          <w:rFonts w:cs="David"/>
          <w:sz w:val="26"/>
          <w:szCs w:val="26"/>
          <w:rtl/>
        </w:rPr>
        <w:t>כך תוכל אוכלוסיה זו, הנמצאת רחוק ממקום מגוריה בהיותה בשליחות המדינה, לממש אף היא את זכותה היסודית לבחור, בדומה לחיילים, ולא תימצא מקופחת בשל השירות.</w:t>
      </w:r>
    </w:p>
    <w:p w:rsidR="00000000" w:rsidRDefault="00127011">
      <w:pPr>
        <w:spacing w:line="360" w:lineRule="auto"/>
        <w:jc w:val="both"/>
        <w:rPr>
          <w:rFonts w:cs="David"/>
          <w:sz w:val="26"/>
          <w:szCs w:val="26"/>
          <w:rtl/>
        </w:rPr>
      </w:pPr>
    </w:p>
    <w:p w:rsidR="00000000" w:rsidRDefault="00127011">
      <w:pPr>
        <w:spacing w:line="360" w:lineRule="auto"/>
        <w:rPr>
          <w:rFonts w:cs="David"/>
          <w:sz w:val="26"/>
          <w:szCs w:val="26"/>
          <w:rtl/>
        </w:rPr>
      </w:pPr>
      <w:r>
        <w:rPr>
          <w:rFonts w:cs="David"/>
          <w:sz w:val="26"/>
          <w:szCs w:val="26"/>
          <w:rtl/>
        </w:rPr>
        <w:t>הצעות חוק זהות הונחו על ידי חבר הכנסת שאול יהלום על שולחן הכנסת החמש-עשרה (פ/4176) ועל שולחן הכנסת השש-עשר</w:t>
      </w:r>
      <w:r>
        <w:rPr>
          <w:rFonts w:cs="David"/>
          <w:sz w:val="26"/>
          <w:szCs w:val="26"/>
          <w:rtl/>
        </w:rPr>
        <w:t xml:space="preserve">ה </w:t>
      </w:r>
      <w:bookmarkStart w:id="1" w:name="MisHatzaatChok"/>
      <w:r>
        <w:rPr>
          <w:rFonts w:cs="David"/>
          <w:sz w:val="26"/>
          <w:szCs w:val="26"/>
          <w:rtl/>
        </w:rPr>
        <w:t>(</w:t>
      </w:r>
      <w:r>
        <w:rPr>
          <w:rFonts w:cs="David"/>
          <w:sz w:val="26"/>
          <w:szCs w:val="26"/>
          <w:rtl/>
        </w:rPr>
        <w:fldChar w:fldCharType="begin">
          <w:ffData>
            <w:name w:val="MisHatzaatChok"/>
            <w:enabled/>
            <w:calcOnExit w:val="0"/>
            <w:textInput/>
          </w:ffData>
        </w:fldChar>
      </w:r>
      <w:r>
        <w:rPr>
          <w:rFonts w:cs="David"/>
          <w:sz w:val="26"/>
          <w:szCs w:val="26"/>
          <w:rtl/>
        </w:rPr>
        <w:instrText xml:space="preserve"> </w:instrText>
      </w:r>
      <w:r>
        <w:rPr>
          <w:rFonts w:cs="David"/>
          <w:sz w:val="26"/>
          <w:szCs w:val="26"/>
        </w:rPr>
        <w:instrText>FORMTEXT</w:instrText>
      </w:r>
      <w:r>
        <w:rPr>
          <w:rFonts w:cs="David"/>
          <w:sz w:val="26"/>
          <w:szCs w:val="26"/>
          <w:rtl/>
        </w:rPr>
        <w:instrText xml:space="preserve"> </w:instrText>
      </w:r>
      <w:r>
        <w:rPr>
          <w:rFonts w:cs="David"/>
          <w:sz w:val="26"/>
          <w:szCs w:val="26"/>
          <w:rtl/>
        </w:rPr>
      </w:r>
      <w:r>
        <w:rPr>
          <w:rFonts w:cs="David"/>
          <w:sz w:val="26"/>
          <w:szCs w:val="26"/>
          <w:rtl/>
        </w:rPr>
        <w:fldChar w:fldCharType="separate"/>
      </w:r>
      <w:r>
        <w:rPr>
          <w:rFonts w:cs="David"/>
          <w:sz w:val="26"/>
          <w:szCs w:val="26"/>
          <w:rtl/>
        </w:rPr>
        <w:t>פ/1607</w:t>
      </w:r>
      <w:r>
        <w:rPr>
          <w:rFonts w:cs="David"/>
          <w:sz w:val="26"/>
          <w:szCs w:val="26"/>
          <w:rtl/>
        </w:rPr>
        <w:fldChar w:fldCharType="end"/>
      </w:r>
      <w:bookmarkEnd w:id="1"/>
      <w:r>
        <w:rPr>
          <w:rFonts w:cs="David"/>
          <w:sz w:val="26"/>
          <w:szCs w:val="26"/>
          <w:rtl/>
        </w:rPr>
        <w:t xml:space="preserve">). </w:t>
      </w:r>
    </w:p>
    <w:p w:rsidR="00000000" w:rsidRDefault="00127011">
      <w:pPr>
        <w:spacing w:line="360" w:lineRule="auto"/>
        <w:rPr>
          <w:rFonts w:cs="David"/>
          <w:sz w:val="26"/>
          <w:szCs w:val="26"/>
          <w:rtl/>
        </w:rPr>
      </w:pPr>
    </w:p>
    <w:p w:rsidR="00000000" w:rsidRDefault="00127011">
      <w:pPr>
        <w:spacing w:line="360" w:lineRule="auto"/>
        <w:rPr>
          <w:rFonts w:cs="David"/>
          <w:sz w:val="26"/>
          <w:szCs w:val="26"/>
          <w:rtl/>
        </w:rPr>
      </w:pPr>
    </w:p>
    <w:p w:rsidR="00000000" w:rsidRDefault="00127011">
      <w:pPr>
        <w:spacing w:line="360" w:lineRule="auto"/>
        <w:rPr>
          <w:rFonts w:cs="David"/>
          <w:sz w:val="32"/>
          <w:szCs w:val="32"/>
          <w:rtl/>
        </w:rPr>
      </w:pPr>
      <w:r>
        <w:rPr>
          <w:rFonts w:cs="David"/>
          <w:sz w:val="26"/>
          <w:szCs w:val="26"/>
          <w:rtl/>
        </w:rPr>
        <w:t>------------------------------</w:t>
      </w:r>
      <w:r>
        <w:rPr>
          <w:rFonts w:cs="David"/>
          <w:sz w:val="32"/>
          <w:szCs w:val="32"/>
          <w:rtl/>
        </w:rPr>
        <w:softHyphen/>
      </w:r>
      <w:r>
        <w:rPr>
          <w:rFonts w:cs="David"/>
          <w:sz w:val="32"/>
          <w:szCs w:val="32"/>
          <w:rtl/>
        </w:rPr>
        <w:softHyphen/>
      </w:r>
      <w:r>
        <w:rPr>
          <w:rFonts w:cs="David"/>
          <w:sz w:val="32"/>
          <w:szCs w:val="32"/>
          <w:rtl/>
        </w:rPr>
        <w:softHyphen/>
      </w:r>
    </w:p>
    <w:p w:rsidR="00000000" w:rsidRDefault="00127011">
      <w:pPr>
        <w:spacing w:line="360" w:lineRule="auto"/>
        <w:rPr>
          <w:rFonts w:cs="David"/>
          <w:sz w:val="26"/>
          <w:szCs w:val="26"/>
          <w:rtl/>
        </w:rPr>
      </w:pPr>
      <w:r>
        <w:rPr>
          <w:rFonts w:cs="David"/>
          <w:sz w:val="26"/>
          <w:szCs w:val="26"/>
          <w:rtl/>
        </w:rPr>
        <w:t>הוגשה ליו"ר הכנסת והסגנים</w:t>
      </w:r>
    </w:p>
    <w:p w:rsidR="00000000" w:rsidRDefault="00127011">
      <w:pPr>
        <w:spacing w:line="360" w:lineRule="auto"/>
        <w:rPr>
          <w:rFonts w:cs="David"/>
          <w:sz w:val="26"/>
          <w:szCs w:val="26"/>
          <w:rtl/>
        </w:rPr>
      </w:pPr>
      <w:r>
        <w:rPr>
          <w:rFonts w:cs="David"/>
          <w:sz w:val="26"/>
          <w:szCs w:val="26"/>
          <w:rtl/>
        </w:rPr>
        <w:t>וה</w:t>
      </w:r>
      <w:r>
        <w:rPr>
          <w:rFonts w:cs="David"/>
          <w:sz w:val="26"/>
          <w:szCs w:val="26"/>
          <w:rtl/>
        </w:rPr>
        <w:t>ונחה על שלחן הכנסת ביום</w:t>
      </w:r>
    </w:p>
    <w:p w:rsidR="00000000" w:rsidRDefault="00127011">
      <w:pPr>
        <w:spacing w:line="360" w:lineRule="auto"/>
        <w:rPr>
          <w:rFonts w:cs="David"/>
          <w:sz w:val="26"/>
          <w:szCs w:val="26"/>
          <w:rtl/>
        </w:rPr>
      </w:pPr>
      <w:r>
        <w:rPr>
          <w:rFonts w:cs="David"/>
          <w:sz w:val="26"/>
          <w:szCs w:val="26"/>
          <w:rtl/>
        </w:rPr>
        <w:t>כ"ג בסיון התשס"ו – 19.6.06</w:t>
      </w:r>
    </w:p>
    <w:p w:rsidR="00000000" w:rsidRDefault="00127011">
      <w:pPr>
        <w:spacing w:line="360" w:lineRule="auto"/>
        <w:rPr>
          <w:rFonts w:cs="David"/>
          <w:sz w:val="26"/>
          <w:szCs w:val="26"/>
          <w:rtl/>
        </w:rPr>
      </w:pPr>
    </w:p>
    <w:p w:rsidR="00000000" w:rsidRDefault="00127011">
      <w:pPr>
        <w:spacing w:line="360" w:lineRule="auto"/>
        <w:jc w:val="both"/>
        <w:rPr>
          <w:rFonts w:cs="David"/>
          <w:sz w:val="26"/>
          <w:szCs w:val="26"/>
          <w:rtl/>
        </w:rPr>
      </w:pPr>
    </w:p>
    <w:p w:rsidR="00000000" w:rsidRDefault="00127011">
      <w:pPr>
        <w:spacing w:line="360" w:lineRule="auto"/>
        <w:jc w:val="both"/>
        <w:rPr>
          <w:rFonts w:cs="David"/>
          <w:sz w:val="26"/>
          <w:szCs w:val="26"/>
          <w:rtl/>
        </w:rPr>
      </w:pPr>
    </w:p>
    <w:p w:rsidR="00000000" w:rsidRDefault="00127011">
      <w:pPr>
        <w:spacing w:line="360" w:lineRule="auto"/>
        <w:jc w:val="both"/>
        <w:rPr>
          <w:rFonts w:cs="David"/>
          <w:sz w:val="26"/>
          <w:szCs w:val="26"/>
          <w:rtl/>
        </w:rPr>
      </w:pPr>
    </w:p>
    <w:p w:rsidR="00000000" w:rsidRDefault="00127011">
      <w:pPr>
        <w:spacing w:line="360" w:lineRule="auto"/>
        <w:jc w:val="both"/>
        <w:rPr>
          <w:rFonts w:cs="David"/>
          <w:sz w:val="26"/>
          <w:szCs w:val="26"/>
          <w:rtl/>
        </w:rPr>
      </w:pPr>
    </w:p>
    <w:p w:rsidR="00000000" w:rsidRDefault="00127011">
      <w:pPr>
        <w:spacing w:line="360" w:lineRule="auto"/>
        <w:jc w:val="both"/>
        <w:rPr>
          <w:rFonts w:cs="David"/>
          <w:sz w:val="26"/>
          <w:szCs w:val="26"/>
          <w:rtl/>
        </w:rPr>
      </w:pPr>
    </w:p>
    <w:p w:rsidR="00000000" w:rsidRDefault="00127011">
      <w:pPr>
        <w:spacing w:line="360" w:lineRule="auto"/>
      </w:pPr>
    </w:p>
    <w:p w:rsidR="00000000" w:rsidRDefault="00127011">
      <w:pPr>
        <w:pStyle w:val="a3"/>
        <w:spacing w:line="360" w:lineRule="auto"/>
        <w:jc w:val="left"/>
        <w:rPr>
          <w:rFonts w:cs="David"/>
          <w:u w:val="none"/>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27011">
      <w:r>
        <w:separator/>
      </w:r>
    </w:p>
  </w:endnote>
  <w:endnote w:type="continuationSeparator" w:id="0">
    <w:p w:rsidR="00000000" w:rsidRDefault="00127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27011">
      <w:r>
        <w:separator/>
      </w:r>
    </w:p>
  </w:footnote>
  <w:footnote w:type="continuationSeparator" w:id="0">
    <w:p w:rsidR="00000000" w:rsidRDefault="00127011">
      <w:r>
        <w:continuationSeparator/>
      </w:r>
    </w:p>
  </w:footnote>
  <w:footnote w:id="1">
    <w:p w:rsidR="00000000" w:rsidRDefault="00127011">
      <w:pPr>
        <w:pStyle w:val="a8"/>
      </w:pPr>
      <w:r>
        <w:rPr>
          <w:rStyle w:val="aa"/>
          <w:rFonts w:cs="David"/>
        </w:rPr>
        <w:footnoteRef/>
      </w:r>
      <w:r>
        <w:rPr>
          <w:rFonts w:cs="David"/>
          <w:rtl/>
        </w:rPr>
        <w:t>ס"ח התשכ"ט, עמ' 103.</w:t>
      </w:r>
    </w:p>
  </w:footnote>
  <w:footnote w:id="2">
    <w:p w:rsidR="00000000" w:rsidRDefault="00127011">
      <w:pPr>
        <w:pStyle w:val="a8"/>
      </w:pPr>
      <w:r>
        <w:rPr>
          <w:rStyle w:val="aa"/>
        </w:rPr>
        <w:footnoteRef/>
      </w:r>
      <w:r>
        <w:rPr>
          <w:rFonts w:cs="David"/>
          <w:rtl/>
        </w:rPr>
        <w:t>ס"ח התשנ"ה, עמ' 210.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27011">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3</w:t>
    </w:r>
    <w:r>
      <w:rPr>
        <w:rStyle w:val="a7"/>
      </w:rPr>
      <w:fldChar w:fldCharType="end"/>
    </w:r>
  </w:p>
  <w:p w:rsidR="00000000" w:rsidRDefault="00127011">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8357æáåìåï àåøìá - äöáòä áùéøåú ìàåîé.doc"/>
    <w:docVar w:name="StartMode" w:val="2"/>
  </w:docVars>
  <w:rsids>
    <w:rsidRoot w:val="00127011"/>
    <w:rsid w:val="001270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2">
    <w:name w:val="heading 2"/>
    <w:basedOn w:val="a"/>
    <w:next w:val="a"/>
    <w:link w:val="20"/>
    <w:uiPriority w:val="99"/>
    <w:qFormat/>
    <w:pPr>
      <w:keepNext/>
      <w:jc w:val="center"/>
      <w:outlineLvl w:val="1"/>
    </w:pPr>
    <w:rPr>
      <w:sz w:val="32"/>
      <w:szCs w:val="3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452</Words>
  <Characters>2262</Characters>
  <Application>Microsoft Office Word</Application>
  <DocSecurity>0</DocSecurity>
  <Lines>18</Lines>
  <Paragraphs>5</Paragraphs>
  <ScaleCrop>false</ScaleCrop>
  <Company>knesset</Company>
  <LinksUpToDate>false</LinksUpToDate>
  <CharactersWithSpaces>2709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הבחירות לכנסת (תיקון - הצבעת המשרתים בשירות לאומי), התשס"ו-2006</dc:title>
  <dc:subject/>
  <dc:creator>Knesset</dc:creator>
  <cp:keywords/>
  <dc:description/>
  <cp:lastModifiedBy>שמואל כוכב</cp:lastModifiedBy>
  <cp:revision>2</cp:revision>
  <cp:lastPrinted>2006-06-15T06:43:00Z</cp:lastPrinted>
  <dcterms:created xsi:type="dcterms:W3CDTF">2015-02-03T19:21:00Z</dcterms:created>
  <dcterms:modified xsi:type="dcterms:W3CDTF">2015-02-03T19:21:00Z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זבולון אורלב</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03319506</vt:lpwstr>
  </property>
  <property fmtid="{D5CDD505-2E9C-101B-9397-08002B2CF9AE}" pid="10" name="מספר הצעת חוק למיון">
    <vt:lpwstr>618</vt:lpwstr>
  </property>
  <property fmtid="{D5CDD505-2E9C-101B-9397-08002B2CF9AE}" pid="11" name="SDDocDate">
    <vt:lpwstr>2006-06-15T00:00:00Z</vt:lpwstr>
  </property>
  <property fmtid="{D5CDD505-2E9C-101B-9397-08002B2CF9AE}" pid="12" name="SDHebDate">
    <vt:lpwstr>י"ט בסיון,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כוכי שבתאי</vt:lpwstr>
  </property>
  <property fmtid="{D5CDD505-2E9C-101B-9397-08002B2CF9AE}" pid="17" name="MechaberMismach">
    <vt:lpwstr/>
  </property>
  <property fmtid="{D5CDD505-2E9C-101B-9397-08002B2CF9AE}" pid="18" name="MisHatzaatChok">
    <vt:lpwstr>פ/618/17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