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825E4">
      <w:pPr>
        <w:pStyle w:val="ad"/>
        <w:jc w:val="left"/>
        <w:rPr>
          <w:rFonts w:cs="David"/>
          <w:b w:val="0"/>
          <w:bCs w:val="0"/>
          <w:sz w:val="24"/>
          <w:szCs w:val="24"/>
          <w:u w:val="none"/>
          <w:rtl/>
        </w:rPr>
      </w:pPr>
      <w:bookmarkStart w:id="0" w:name="_GoBack"/>
      <w:bookmarkEnd w:id="0"/>
    </w:p>
    <w:p w:rsidR="00000000" w:rsidRDefault="002825E4">
      <w:pPr>
        <w:pStyle w:val="HeadHatzaotHok"/>
        <w:rPr>
          <w:rFonts w:cs="David"/>
          <w:sz w:val="28"/>
          <w:szCs w:val="28"/>
          <w:rtl/>
        </w:rPr>
      </w:pPr>
      <w:r>
        <w:rPr>
          <w:rFonts w:cs="David"/>
          <w:sz w:val="28"/>
          <w:szCs w:val="28"/>
          <w:rtl/>
        </w:rPr>
        <w:t xml:space="preserve">הכנסת </w:t>
      </w:r>
      <w:bookmarkStart w:id="1" w:name="KnessetNum"/>
      <w:r>
        <w:rPr>
          <w:rFonts w:cs="David"/>
          <w:sz w:val="28"/>
          <w:szCs w:val="28"/>
          <w:rtl/>
        </w:rPr>
        <w:t>השבע-עשרה</w:t>
      </w:r>
      <w:bookmarkEnd w:id="1"/>
    </w:p>
    <w:p w:rsidR="00000000" w:rsidRDefault="002825E4">
      <w:pPr>
        <w:rPr>
          <w:rFonts w:cs="David"/>
          <w:sz w:val="26"/>
          <w:szCs w:val="26"/>
          <w:rtl/>
        </w:rPr>
      </w:pPr>
    </w:p>
    <w:p w:rsidR="00000000" w:rsidRDefault="002825E4">
      <w:pPr>
        <w:rPr>
          <w:rFonts w:cs="David"/>
          <w:sz w:val="26"/>
          <w:szCs w:val="26"/>
          <w:rtl/>
        </w:rPr>
      </w:pPr>
    </w:p>
    <w:tbl>
      <w:tblPr>
        <w:bidiVisual/>
        <w:tblW w:w="0" w:type="auto"/>
        <w:tblInd w:w="3617" w:type="dxa"/>
        <w:tblBorders>
          <w:bottom w:val="single" w:sz="4" w:space="0" w:color="auto"/>
        </w:tblBorders>
        <w:tblLook w:val="0000" w:firstRow="0" w:lastRow="0" w:firstColumn="0" w:lastColumn="0" w:noHBand="0" w:noVBand="0"/>
      </w:tblPr>
      <w:tblGrid>
        <w:gridCol w:w="3119"/>
        <w:gridCol w:w="3119"/>
      </w:tblGrid>
      <w:tr w:rsidR="00000000">
        <w:tblPrEx>
          <w:tblCellMar>
            <w:top w:w="0" w:type="dxa"/>
            <w:bottom w:w="0" w:type="dxa"/>
          </w:tblCellMar>
        </w:tblPrEx>
        <w:trPr>
          <w:trHeight w:val="383"/>
        </w:trPr>
        <w:tc>
          <w:tcPr>
            <w:tcW w:w="3119" w:type="dxa"/>
            <w:tcBorders>
              <w:top w:val="nil"/>
              <w:left w:val="nil"/>
              <w:bottom w:val="nil"/>
              <w:right w:val="nil"/>
            </w:tcBorders>
          </w:tcPr>
          <w:p w:rsidR="00000000" w:rsidRDefault="002825E4">
            <w:pPr>
              <w:spacing w:after="120"/>
              <w:rPr>
                <w:rFonts w:cs="David"/>
                <w:sz w:val="26"/>
                <w:szCs w:val="26"/>
                <w:rtl/>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2" w:name="MKsSingleOrMulti"/>
            <w:r>
              <w:rPr>
                <w:rFonts w:cs="David"/>
                <w:sz w:val="26"/>
                <w:szCs w:val="26"/>
                <w:rtl/>
              </w:rPr>
              <w:t>חבר הכנסת:</w:t>
            </w:r>
            <w:bookmarkEnd w:id="2"/>
          </w:p>
        </w:tc>
        <w:tc>
          <w:tcPr>
            <w:tcW w:w="3119" w:type="dxa"/>
            <w:tcBorders>
              <w:top w:val="nil"/>
              <w:left w:val="nil"/>
              <w:bottom w:val="nil"/>
              <w:right w:val="nil"/>
            </w:tcBorders>
          </w:tcPr>
          <w:p w:rsidR="00000000" w:rsidRDefault="002825E4">
            <w:pPr>
              <w:spacing w:after="120"/>
              <w:rPr>
                <w:rFonts w:cs="David"/>
                <w:b/>
                <w:bCs/>
                <w:sz w:val="26"/>
                <w:szCs w:val="26"/>
              </w:rPr>
            </w:pPr>
            <w:bookmarkStart w:id="3" w:name="MKs"/>
            <w:r>
              <w:rPr>
                <w:rFonts w:cs="David"/>
                <w:b/>
                <w:bCs/>
                <w:sz w:val="26"/>
                <w:szCs w:val="26"/>
                <w:rtl/>
              </w:rPr>
              <w:t>דני נוה</w:t>
            </w:r>
            <w:bookmarkEnd w:id="3"/>
          </w:p>
        </w:tc>
      </w:tr>
      <w:tr w:rsidR="00000000">
        <w:tblPrEx>
          <w:tblCellMar>
            <w:top w:w="0" w:type="dxa"/>
            <w:bottom w:w="0" w:type="dxa"/>
          </w:tblCellMar>
        </w:tblPrEx>
        <w:trPr>
          <w:trHeight w:val="382"/>
        </w:trPr>
        <w:tc>
          <w:tcPr>
            <w:tcW w:w="3119" w:type="dxa"/>
            <w:tcBorders>
              <w:top w:val="nil"/>
              <w:left w:val="nil"/>
              <w:bottom w:val="single" w:sz="4" w:space="0" w:color="auto"/>
              <w:right w:val="nil"/>
            </w:tcBorders>
          </w:tcPr>
          <w:p w:rsidR="00000000" w:rsidRDefault="002825E4">
            <w:pPr>
              <w:spacing w:after="120"/>
              <w:rPr>
                <w:rFonts w:cs="David"/>
                <w:sz w:val="26"/>
                <w:szCs w:val="26"/>
                <w:rtl/>
              </w:rPr>
            </w:pPr>
          </w:p>
        </w:tc>
        <w:tc>
          <w:tcPr>
            <w:tcW w:w="3119" w:type="dxa"/>
            <w:tcBorders>
              <w:top w:val="nil"/>
              <w:left w:val="nil"/>
              <w:bottom w:val="single" w:sz="4" w:space="0" w:color="auto"/>
              <w:right w:val="nil"/>
            </w:tcBorders>
          </w:tcPr>
          <w:p w:rsidR="00000000" w:rsidRDefault="002825E4">
            <w:pPr>
              <w:spacing w:after="120"/>
              <w:rPr>
                <w:rFonts w:cs="David"/>
                <w:b/>
                <w:bCs/>
                <w:sz w:val="26"/>
                <w:szCs w:val="26"/>
                <w:rtl/>
              </w:rPr>
            </w:pPr>
          </w:p>
        </w:tc>
      </w:tr>
    </w:tbl>
    <w:p w:rsidR="00000000" w:rsidRDefault="002825E4">
      <w:pPr>
        <w:jc w:val="center"/>
        <w:rPr>
          <w:rFonts w:cs="David"/>
          <w:sz w:val="32"/>
          <w:szCs w:val="32"/>
          <w:rtl/>
        </w:rPr>
      </w:pPr>
      <w:r>
        <w:rPr>
          <w:rFonts w:cs="David"/>
          <w:sz w:val="26"/>
          <w:szCs w:val="26"/>
          <w:rtl/>
        </w:rPr>
        <w:tab/>
      </w:r>
      <w:r>
        <w:rPr>
          <w:rFonts w:cs="David"/>
          <w:sz w:val="26"/>
          <w:szCs w:val="26"/>
          <w:rtl/>
        </w:rPr>
        <w:tab/>
      </w:r>
      <w:bookmarkStart w:id="4" w:name="LawNum"/>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פ/1964/17</w:t>
      </w:r>
      <w:bookmarkEnd w:id="4"/>
      <w:r>
        <w:rPr>
          <w:rFonts w:cs="David"/>
          <w:sz w:val="26"/>
          <w:szCs w:val="26"/>
          <w:rtl/>
        </w:rPr>
        <w:tab/>
      </w:r>
      <w:r>
        <w:rPr>
          <w:rFonts w:cs="David"/>
          <w:sz w:val="26"/>
          <w:szCs w:val="26"/>
          <w:rtl/>
        </w:rPr>
        <w:tab/>
      </w:r>
    </w:p>
    <w:p w:rsidR="00000000" w:rsidRDefault="002825E4">
      <w:pPr>
        <w:rPr>
          <w:rFonts w:cs="David"/>
          <w:sz w:val="26"/>
          <w:szCs w:val="26"/>
          <w:rtl/>
        </w:rPr>
      </w:pPr>
    </w:p>
    <w:p w:rsidR="00000000" w:rsidRDefault="002825E4">
      <w:pPr>
        <w:jc w:val="center"/>
        <w:rPr>
          <w:rFonts w:cs="David"/>
          <w:sz w:val="26"/>
          <w:szCs w:val="26"/>
          <w:rtl/>
        </w:rPr>
      </w:pPr>
    </w:p>
    <w:p w:rsidR="00000000" w:rsidRDefault="002825E4">
      <w:pPr>
        <w:pStyle w:val="HeadHatzaotHok"/>
        <w:rPr>
          <w:rFonts w:cs="David"/>
          <w:sz w:val="26"/>
          <w:rtl/>
        </w:rPr>
      </w:pPr>
      <w:r>
        <w:rPr>
          <w:rFonts w:cs="David"/>
          <w:sz w:val="26"/>
          <w:rtl/>
        </w:rPr>
        <w:t xml:space="preserve">הצעת חוק </w:t>
      </w:r>
      <w:bookmarkStart w:id="5" w:name="Title"/>
      <w:r>
        <w:rPr>
          <w:rFonts w:cs="David"/>
          <w:sz w:val="26"/>
          <w:rtl/>
        </w:rPr>
        <w:t>הצעת חוק העונשין (תיקון - תשלום פיצויים שנפסקו לטובת קטין שניזוק מעבירה), התשס"ז-2007</w:t>
      </w:r>
      <w:bookmarkEnd w:id="5"/>
    </w:p>
    <w:p w:rsidR="00000000" w:rsidRDefault="002825E4">
      <w:pPr>
        <w:pStyle w:val="HeadHatzaotHok"/>
        <w:rPr>
          <w:rFonts w:cs="David"/>
          <w:sz w:val="26"/>
          <w:rtl/>
        </w:rPr>
      </w:pPr>
    </w:p>
    <w:tbl>
      <w:tblPr>
        <w:bidiVisual/>
        <w:tblW w:w="9641" w:type="dxa"/>
        <w:tblInd w:w="6"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000000">
        <w:trPr>
          <w:cantSplit/>
          <w:trHeight w:val="60"/>
        </w:trPr>
        <w:tc>
          <w:tcPr>
            <w:tcW w:w="1871" w:type="dxa"/>
            <w:vMerge w:val="restart"/>
            <w:tcBorders>
              <w:top w:val="nil"/>
              <w:left w:val="nil"/>
              <w:bottom w:val="nil"/>
              <w:right w:val="nil"/>
            </w:tcBorders>
          </w:tcPr>
          <w:p w:rsidR="00000000" w:rsidRDefault="002825E4">
            <w:pPr>
              <w:pStyle w:val="TableBlock"/>
              <w:rPr>
                <w:rFonts w:cs="David"/>
                <w:sz w:val="26"/>
                <w:rtl/>
              </w:rPr>
            </w:pPr>
            <w:r>
              <w:rPr>
                <w:rFonts w:cs="David"/>
                <w:sz w:val="26"/>
                <w:rtl/>
              </w:rPr>
              <w:t>הוספת</w:t>
            </w:r>
            <w:r>
              <w:rPr>
                <w:rFonts w:cs="David"/>
                <w:sz w:val="26"/>
                <w:rtl/>
              </w:rPr>
              <w:tab/>
            </w:r>
            <w:r>
              <w:rPr>
                <w:rFonts w:cs="David"/>
                <w:sz w:val="26"/>
                <w:rtl/>
              </w:rPr>
              <w:tab/>
            </w:r>
          </w:p>
          <w:p w:rsidR="00000000" w:rsidRDefault="002825E4">
            <w:pPr>
              <w:tabs>
                <w:tab w:val="left" w:pos="1106"/>
                <w:tab w:val="left" w:pos="1646"/>
              </w:tabs>
              <w:spacing w:line="360" w:lineRule="auto"/>
              <w:ind w:left="1440" w:hanging="1440"/>
              <w:jc w:val="both"/>
              <w:rPr>
                <w:rFonts w:ascii="Arial" w:hAnsi="Arial" w:cs="David"/>
                <w:rtl/>
              </w:rPr>
            </w:pPr>
            <w:r>
              <w:rPr>
                <w:rFonts w:ascii="Arial" w:hAnsi="Arial" w:cs="David"/>
                <w:rtl/>
              </w:rPr>
              <w:t xml:space="preserve">סעיף </w:t>
            </w:r>
          </w:p>
          <w:p w:rsidR="00000000" w:rsidRDefault="002825E4">
            <w:pPr>
              <w:pStyle w:val="TableSideHeading"/>
              <w:rPr>
                <w:rFonts w:cs="David"/>
              </w:rPr>
            </w:pPr>
            <w:r>
              <w:rPr>
                <w:rFonts w:cs="David"/>
                <w:sz w:val="26"/>
                <w:rtl/>
              </w:rPr>
              <w:t>77 (א1)</w:t>
            </w:r>
          </w:p>
        </w:tc>
        <w:tc>
          <w:tcPr>
            <w:tcW w:w="7770" w:type="dxa"/>
            <w:gridSpan w:val="2"/>
            <w:tcBorders>
              <w:top w:val="nil"/>
              <w:left w:val="nil"/>
              <w:bottom w:val="nil"/>
              <w:right w:val="nil"/>
            </w:tcBorders>
          </w:tcPr>
          <w:p w:rsidR="00000000" w:rsidRDefault="002825E4">
            <w:pPr>
              <w:pStyle w:val="TableBlock"/>
              <w:rPr>
                <w:rFonts w:cs="David"/>
              </w:rPr>
            </w:pPr>
            <w:r>
              <w:rPr>
                <w:rFonts w:cs="David"/>
                <w:sz w:val="26"/>
                <w:rtl/>
              </w:rPr>
              <w:t>בחוק העונשין, התשל"ז- 1977 אחרי סע</w:t>
            </w:r>
            <w:r>
              <w:rPr>
                <w:rFonts w:cs="David"/>
                <w:sz w:val="26"/>
                <w:rtl/>
              </w:rPr>
              <w:t>יף קטן (א) יבוא:</w:t>
            </w:r>
          </w:p>
        </w:tc>
      </w:tr>
      <w:tr w:rsidR="00000000">
        <w:trPr>
          <w:cantSplit/>
          <w:trHeight w:val="60"/>
        </w:trPr>
        <w:tc>
          <w:tcPr>
            <w:tcW w:w="1871" w:type="dxa"/>
            <w:vMerge/>
            <w:tcBorders>
              <w:top w:val="nil"/>
              <w:left w:val="nil"/>
              <w:bottom w:val="nil"/>
              <w:right w:val="nil"/>
            </w:tcBorders>
          </w:tcPr>
          <w:p w:rsidR="00000000" w:rsidRDefault="002825E4">
            <w:pPr>
              <w:pStyle w:val="TableSideHeading"/>
              <w:rPr>
                <w:rFonts w:cs="David"/>
              </w:rPr>
            </w:pPr>
          </w:p>
        </w:tc>
        <w:tc>
          <w:tcPr>
            <w:tcW w:w="624" w:type="dxa"/>
            <w:tcBorders>
              <w:top w:val="nil"/>
              <w:left w:val="nil"/>
              <w:bottom w:val="nil"/>
              <w:right w:val="nil"/>
            </w:tcBorders>
          </w:tcPr>
          <w:p w:rsidR="00000000" w:rsidRDefault="002825E4">
            <w:pPr>
              <w:pStyle w:val="TableText"/>
              <w:rPr>
                <w:rFonts w:cs="David"/>
              </w:rPr>
            </w:pPr>
            <w:r>
              <w:rPr>
                <w:rFonts w:cs="David"/>
                <w:sz w:val="26"/>
                <w:rtl/>
              </w:rPr>
              <w:t>1.</w:t>
            </w:r>
          </w:p>
        </w:tc>
        <w:tc>
          <w:tcPr>
            <w:tcW w:w="7146" w:type="dxa"/>
            <w:tcBorders>
              <w:top w:val="nil"/>
              <w:left w:val="nil"/>
              <w:bottom w:val="nil"/>
              <w:right w:val="nil"/>
            </w:tcBorders>
          </w:tcPr>
          <w:p w:rsidR="00000000" w:rsidRDefault="002825E4">
            <w:pPr>
              <w:pStyle w:val="TableBlock"/>
              <w:rPr>
                <w:rFonts w:cs="David"/>
                <w:sz w:val="26"/>
                <w:rtl/>
              </w:rPr>
            </w:pPr>
            <w:r>
              <w:rPr>
                <w:rFonts w:cs="David"/>
                <w:sz w:val="26"/>
                <w:rtl/>
              </w:rPr>
              <w:t>"סעיף (א1)   היה האדם לטובתו נפסקו פיצויים לפי סעיף זה קטין, ישולם לו הסכום שנפסק מקופת המדינה תוך 30 יום ממועד גזר הדין; חויב אדם לשלם פיצויים לקטין שניזוק על ידי העבירה, ישלמם לקופת המדינה".</w:t>
            </w:r>
          </w:p>
          <w:p w:rsidR="00000000" w:rsidRDefault="002825E4">
            <w:pPr>
              <w:pStyle w:val="TableBlock"/>
              <w:rPr>
                <w:rFonts w:cs="David"/>
              </w:rPr>
            </w:pPr>
          </w:p>
        </w:tc>
      </w:tr>
    </w:tbl>
    <w:p w:rsidR="00000000" w:rsidRDefault="002825E4">
      <w:pPr>
        <w:pStyle w:val="HeadDivreiHesber"/>
        <w:rPr>
          <w:rFonts w:cs="David"/>
          <w:sz w:val="26"/>
          <w:rtl/>
        </w:rPr>
      </w:pPr>
    </w:p>
    <w:p w:rsidR="00000000" w:rsidRDefault="002825E4">
      <w:pPr>
        <w:pStyle w:val="HeadDivreiHesber"/>
        <w:rPr>
          <w:rFonts w:cs="David"/>
          <w:sz w:val="26"/>
          <w:rtl/>
        </w:rPr>
      </w:pPr>
      <w:r>
        <w:rPr>
          <w:rFonts w:cs="David"/>
          <w:sz w:val="26"/>
          <w:rtl/>
        </w:rPr>
        <w:t>דברי הסבר</w:t>
      </w:r>
    </w:p>
    <w:p w:rsidR="00000000" w:rsidRDefault="002825E4">
      <w:pPr>
        <w:pStyle w:val="Hesber1st"/>
        <w:rPr>
          <w:rFonts w:cs="David"/>
          <w:sz w:val="26"/>
          <w:rtl/>
        </w:rPr>
      </w:pPr>
      <w:r>
        <w:rPr>
          <w:rFonts w:cs="David"/>
          <w:sz w:val="26"/>
          <w:rtl/>
        </w:rPr>
        <w:t xml:space="preserve">על פי סעיף 77 לחוק העונשין, </w:t>
      </w:r>
      <w:r>
        <w:rPr>
          <w:rFonts w:cs="David"/>
          <w:sz w:val="26"/>
          <w:rtl/>
        </w:rPr>
        <w:t>התשל"ז- 1977 מוסמך בית המשפט, לאחר שקבע כי הנאשם ביצע את המיוחס לו, לחייב את העבריין לפצות את נפגע העבירה בגין הנזק שגרם לו. הפיצוי מוגבל בסכום מקסימלי הקבוע בחוק. אמנם מדובר לעיתים קרובות בפיצוי סמלי בהשוואה לגובה הנזק שנגרם לנפגע (גם סכום של עשרות אלפי ש</w:t>
      </w:r>
      <w:r>
        <w:rPr>
          <w:rFonts w:cs="David"/>
          <w:sz w:val="26"/>
          <w:rtl/>
        </w:rPr>
        <w:t>קלים הוא סכום זעום בהשוואה לנזק שנגרם לילדה שנאנסה יום יום משך שנים). אולם, לפיצוי זה חשיבות גדולה מעין כמוה, שכן הוא מסייע לעתים קרובות לנפגע לממן טיפול נפשי או רפואי ארוך טווח הנדרש לו בעקבות הפגיעה בו.</w:t>
      </w:r>
    </w:p>
    <w:p w:rsidR="00000000" w:rsidRDefault="002825E4">
      <w:pPr>
        <w:pStyle w:val="Hesber1st"/>
        <w:rPr>
          <w:rFonts w:cs="David"/>
        </w:rPr>
      </w:pPr>
      <w:r>
        <w:rPr>
          <w:rFonts w:cs="David"/>
          <w:sz w:val="26"/>
          <w:rtl/>
        </w:rPr>
        <w:t xml:space="preserve">אלא שהמציאות מלמדת כי זכאות לחוד וזכייה לחוד. שכן, </w:t>
      </w:r>
      <w:r>
        <w:rPr>
          <w:rFonts w:cs="David"/>
          <w:sz w:val="26"/>
          <w:rtl/>
        </w:rPr>
        <w:t xml:space="preserve">מסתבר, כי גם לאחר שהסתיים ההליך הפלילי, ולאחר שהנאשם בפגיעה בהם הורשע ונגזר עונשו, ניצבים ילדים נפגעי עבירה בפני הליך בירוקרטי ארוך ומתיש, בבואם לקבל את סכום הפיצויים לו הם זכאים. </w:t>
      </w:r>
    </w:p>
    <w:p w:rsidR="00000000" w:rsidRDefault="002825E4">
      <w:pPr>
        <w:spacing w:line="360" w:lineRule="auto"/>
        <w:jc w:val="both"/>
        <w:rPr>
          <w:rFonts w:ascii="Arial" w:hAnsi="Arial" w:cs="David"/>
          <w:rtl/>
        </w:rPr>
      </w:pPr>
    </w:p>
    <w:p w:rsidR="00000000" w:rsidRDefault="002825E4">
      <w:pPr>
        <w:pStyle w:val="Hesber1st"/>
        <w:rPr>
          <w:rFonts w:cs="David"/>
        </w:rPr>
      </w:pPr>
      <w:r>
        <w:rPr>
          <w:rFonts w:cs="David"/>
          <w:sz w:val="26"/>
          <w:rtl/>
        </w:rPr>
        <w:t>משמעות הדבר היא כי משך כל אותה תקופה, שהיא ממילא מאוחרת למועד הפגיעה (נוכח</w:t>
      </w:r>
      <w:r>
        <w:rPr>
          <w:rFonts w:cs="David"/>
          <w:sz w:val="26"/>
          <w:rtl/>
        </w:rPr>
        <w:t xml:space="preserve"> אורכו של הליך החקירה וההליך המשפטי בעניין), הקטין עלול לעמוד בפני שוקת שבורה ללא יכולת לממן טיפול פסיכולוגי (או טיפול רפואי שאינו ממומן על ידי קופות החולים, כגון טיפולי שיניים או טיפולים קוסמטיים), טיפול אשר נדרש בעקבות הפגיעה שפגע בו העבריין. כל זאת, כאמ</w:t>
      </w:r>
      <w:r>
        <w:rPr>
          <w:rFonts w:cs="David"/>
          <w:sz w:val="26"/>
          <w:rtl/>
        </w:rPr>
        <w:t>ור, משך תקופה ארוכה ביותר העולה, במקרה הטוב, כדי חודשים ארוכים, ובמקרה הרע, למעלה משנה ואף שנים אחדות.</w:t>
      </w:r>
    </w:p>
    <w:p w:rsidR="00000000" w:rsidRDefault="002825E4">
      <w:pPr>
        <w:spacing w:line="360" w:lineRule="auto"/>
        <w:ind w:left="360"/>
        <w:jc w:val="both"/>
        <w:rPr>
          <w:rFonts w:ascii="Arial" w:hAnsi="Arial" w:cs="David"/>
        </w:rPr>
      </w:pPr>
    </w:p>
    <w:p w:rsidR="00000000" w:rsidRDefault="002825E4">
      <w:pPr>
        <w:pStyle w:val="Hesber1st"/>
        <w:rPr>
          <w:rFonts w:cs="David"/>
        </w:rPr>
      </w:pPr>
      <w:r>
        <w:rPr>
          <w:rFonts w:cs="David"/>
          <w:sz w:val="26"/>
          <w:rtl/>
        </w:rPr>
        <w:t>אמנם המדינה, באמצעות המרכז לגביית קנסות, היא אשר פועלת לגביית סכום הפיצוי שנפסק לנפגע, אולם, כאמור, המדובר בהליך מסורבל וממושך, אשר הנפגע העיקרי ממנו אי</w:t>
      </w:r>
      <w:r>
        <w:rPr>
          <w:rFonts w:cs="David"/>
          <w:sz w:val="26"/>
          <w:rtl/>
        </w:rPr>
        <w:t>נו אלא נפגע העבירה. הדבר נובע בעיקר משלל משוכות בירוקרטיות בהליך גביית הפיצוי, שלמעשה, ושלא בצדק, אינו שונה ואינו מובדל מהליך גבייה של כל קנס אחר לטובת המדינה המוטל על עובר חוק.</w:t>
      </w:r>
    </w:p>
    <w:p w:rsidR="00000000" w:rsidRDefault="002825E4">
      <w:pPr>
        <w:pStyle w:val="TableBlock"/>
        <w:rPr>
          <w:rFonts w:cs="David"/>
        </w:rPr>
      </w:pPr>
      <w:r>
        <w:rPr>
          <w:rFonts w:cs="David"/>
          <w:sz w:val="26"/>
          <w:rtl/>
        </w:rPr>
        <w:t>נפגעי עבירה רבים, וודאי ילדים, אינם בעלי יכולת כלכלית המאפשרת להם לממן טיפול נ</w:t>
      </w:r>
      <w:r>
        <w:rPr>
          <w:rFonts w:cs="David"/>
          <w:sz w:val="26"/>
          <w:rtl/>
        </w:rPr>
        <w:t xml:space="preserve">פשי, על אף נחיצותו, ועל כן קבלת הפיצויים או אי קבלתם וכן מועד קבלתם הם לעתים קרובות ההבדל בין פניה לקבלת טיפול נפשי ואי יכולת לפנות כאמור. </w:t>
      </w:r>
    </w:p>
    <w:p w:rsidR="00000000" w:rsidRDefault="002825E4">
      <w:pPr>
        <w:spacing w:line="360" w:lineRule="auto"/>
        <w:jc w:val="both"/>
        <w:rPr>
          <w:rFonts w:ascii="Arial" w:hAnsi="Arial" w:cs="David"/>
          <w:rtl/>
        </w:rPr>
      </w:pPr>
    </w:p>
    <w:p w:rsidR="00000000" w:rsidRDefault="002825E4">
      <w:pPr>
        <w:pStyle w:val="Hesber1st"/>
        <w:rPr>
          <w:rFonts w:cs="David"/>
          <w:b/>
          <w:bCs/>
          <w:sz w:val="26"/>
          <w:rtl/>
        </w:rPr>
      </w:pPr>
      <w:r>
        <w:rPr>
          <w:rFonts w:cs="David"/>
          <w:sz w:val="26"/>
          <w:rtl/>
        </w:rPr>
        <w:t>מוצע, לפיכך, הסדר אשר יאפשר לנפגעי עבירה לקבל את כספי הפיצויים שפסק להם בית המשפט בסמוך לסיום המשפט. וזאת, מבלי שיי</w:t>
      </w:r>
      <w:r>
        <w:rPr>
          <w:rFonts w:cs="David"/>
          <w:sz w:val="26"/>
          <w:rtl/>
        </w:rPr>
        <w:t>אלצו להמתין חודשים ארוכים ולעתים שנים עד אשר יזכו לקבל את הסכום מידיו של העבריין. הסדר כזה יתאפשר אם המדינה היא זו שתעביר את כספי הפיצויים לנפגע העבירה, מייד עם פסיקתם, והיא זו, אשר תפנה, מצוידת במשאבי זמן וכסף, להיפרע מהעבריין. באופן זה, אורכו של הליך הגב</w:t>
      </w:r>
      <w:r>
        <w:rPr>
          <w:rFonts w:cs="David"/>
          <w:sz w:val="26"/>
          <w:rtl/>
        </w:rPr>
        <w:t>ייה ומשוכותיו הבירוקרטיות לא יפגעו בנפגע העבירה, בשעה שהוא נתון במצוקה נפשית ופיזית קשה, ולעתים גם בקשיים כלכליים. רק פתרון כזה יאפשר לנפגעי עבירה להיפרע ממזיקם באופן מהיר יחסית, ולהתחיל מהר ככל הניתן בהליך שיקומם הפיזי ו/או הנפשי.</w:t>
      </w:r>
      <w:r>
        <w:rPr>
          <w:rFonts w:cs="David"/>
          <w:b/>
          <w:bCs/>
          <w:sz w:val="26"/>
          <w:rtl/>
        </w:rPr>
        <w:t xml:space="preserve"> </w:t>
      </w:r>
    </w:p>
    <w:p w:rsidR="00000000" w:rsidRDefault="002825E4">
      <w:pPr>
        <w:spacing w:line="360" w:lineRule="auto"/>
        <w:jc w:val="both"/>
        <w:rPr>
          <w:rFonts w:ascii="Arial" w:hAnsi="Arial" w:cs="David"/>
        </w:rPr>
      </w:pPr>
    </w:p>
    <w:p w:rsidR="00000000" w:rsidRDefault="002825E4">
      <w:pPr>
        <w:pStyle w:val="Hesber1st"/>
        <w:rPr>
          <w:rFonts w:cs="David"/>
          <w:sz w:val="26"/>
          <w:rtl/>
        </w:rPr>
      </w:pPr>
      <w:r>
        <w:rPr>
          <w:rFonts w:cs="David"/>
          <w:sz w:val="26"/>
          <w:rtl/>
        </w:rPr>
        <w:t>ההסדר המוצע מתחייב, בר</w:t>
      </w:r>
      <w:r>
        <w:rPr>
          <w:rFonts w:cs="David"/>
          <w:sz w:val="26"/>
          <w:rtl/>
        </w:rPr>
        <w:t xml:space="preserve">אש ובראשונה, מבחינה מוסרית, אך גם מבחינה חברתית. רצוי לה, לחברה, כי חבריה ישובו בהקדם ובעזרת הטיפול הנפשי ו/או הרפואי הנדרש להם, לפעילות יומיומית מלאה ובריאה. אף מבחינה כלכלית לא ייגרם הפסד למדינה, אשר תוכל לגבות את הסכום ששילמה מהחייב- העבריין המורשע, מה </w:t>
      </w:r>
      <w:r>
        <w:rPr>
          <w:rFonts w:cs="David"/>
          <w:sz w:val="26"/>
          <w:rtl/>
        </w:rPr>
        <w:t xml:space="preserve">גם שהמדינה ממילא היא שמנהלת את הגבייה גם כיום. </w:t>
      </w:r>
    </w:p>
    <w:p w:rsidR="00000000" w:rsidRDefault="002825E4">
      <w:pPr>
        <w:spacing w:line="360" w:lineRule="auto"/>
        <w:rPr>
          <w:rFonts w:ascii="Arial" w:hAnsi="Arial" w:cs="David"/>
          <w:rtl/>
        </w:rPr>
      </w:pPr>
    </w:p>
    <w:p w:rsidR="00000000" w:rsidRDefault="002825E4">
      <w:pPr>
        <w:pStyle w:val="Hesber"/>
        <w:rPr>
          <w:rFonts w:cs="David"/>
          <w:sz w:val="26"/>
          <w:rtl/>
        </w:rPr>
      </w:pPr>
      <w:r>
        <w:rPr>
          <w:rFonts w:cs="David"/>
          <w:sz w:val="26"/>
          <w:rtl/>
        </w:rPr>
        <w:t>הצעת חוק זו נוסחה ביוזמת ובסיוע המועצה לשלום הילד.</w:t>
      </w:r>
      <w:r>
        <w:rPr>
          <w:rFonts w:cs="David"/>
          <w:sz w:val="26"/>
          <w:rtl/>
        </w:rPr>
        <w:tab/>
      </w:r>
      <w:r>
        <w:rPr>
          <w:rFonts w:cs="David"/>
          <w:sz w:val="26"/>
          <w:rtl/>
        </w:rPr>
        <w:tab/>
      </w:r>
      <w:r>
        <w:rPr>
          <w:rFonts w:cs="David"/>
          <w:sz w:val="26"/>
          <w:rtl/>
        </w:rPr>
        <w:tab/>
      </w:r>
      <w:r>
        <w:rPr>
          <w:rFonts w:cs="David"/>
          <w:sz w:val="26"/>
          <w:rtl/>
        </w:rPr>
        <w:tab/>
      </w:r>
      <w:r>
        <w:rPr>
          <w:rFonts w:cs="David"/>
          <w:sz w:val="26"/>
          <w:rtl/>
        </w:rPr>
        <w:tab/>
      </w:r>
      <w:r>
        <w:rPr>
          <w:rFonts w:cs="David"/>
          <w:sz w:val="26"/>
          <w:rtl/>
        </w:rPr>
        <w:tab/>
      </w:r>
    </w:p>
    <w:p w:rsidR="00000000" w:rsidRDefault="002825E4">
      <w:pPr>
        <w:pStyle w:val="Hesber"/>
        <w:rPr>
          <w:rFonts w:cs="David"/>
          <w:sz w:val="26"/>
          <w:rtl/>
        </w:rPr>
      </w:pPr>
    </w:p>
    <w:p w:rsidR="00000000" w:rsidRDefault="002825E4">
      <w:pPr>
        <w:pStyle w:val="Hesber"/>
        <w:rPr>
          <w:rFonts w:cs="David"/>
          <w:sz w:val="26"/>
          <w:rtl/>
        </w:rPr>
      </w:pPr>
    </w:p>
    <w:p w:rsidR="00000000" w:rsidRDefault="002825E4">
      <w:pPr>
        <w:pStyle w:val="Noparagraphstyle"/>
        <w:spacing w:line="240" w:lineRule="auto"/>
        <w:rPr>
          <w:rFonts w:cs="David"/>
          <w:sz w:val="26"/>
          <w:rtl/>
        </w:rPr>
      </w:pPr>
    </w:p>
    <w:p w:rsidR="00000000" w:rsidRDefault="002825E4">
      <w:pPr>
        <w:pStyle w:val="Noparagraphstyle"/>
        <w:spacing w:line="240" w:lineRule="auto"/>
        <w:rPr>
          <w:rFonts w:cs="David"/>
          <w:sz w:val="26"/>
          <w:rtl/>
        </w:rPr>
      </w:pPr>
    </w:p>
    <w:p w:rsidR="00000000" w:rsidRDefault="002825E4">
      <w:pPr>
        <w:pStyle w:val="Noparagraphstyle"/>
        <w:spacing w:line="240" w:lineRule="auto"/>
        <w:rPr>
          <w:rFonts w:cs="David"/>
          <w:sz w:val="26"/>
          <w:rtl/>
        </w:rPr>
      </w:pPr>
      <w:r>
        <w:rPr>
          <w:rFonts w:cs="David"/>
          <w:sz w:val="26"/>
          <w:rtl/>
        </w:rPr>
        <w:t>--------------------------------</w:t>
      </w:r>
    </w:p>
    <w:p w:rsidR="00000000" w:rsidRDefault="002825E4">
      <w:pPr>
        <w:pStyle w:val="Noparagraphstyle"/>
        <w:spacing w:line="240" w:lineRule="auto"/>
        <w:rPr>
          <w:rFonts w:cs="David"/>
          <w:sz w:val="26"/>
          <w:rtl/>
        </w:rPr>
      </w:pPr>
      <w:r>
        <w:rPr>
          <w:rFonts w:cs="David"/>
          <w:sz w:val="26"/>
          <w:rtl/>
        </w:rPr>
        <w:t>הוגשה ליו"ר הכנסת והסגנים</w:t>
      </w:r>
    </w:p>
    <w:p w:rsidR="00000000" w:rsidRDefault="002825E4">
      <w:pPr>
        <w:pStyle w:val="Noparagraphstyle"/>
        <w:spacing w:line="240" w:lineRule="auto"/>
        <w:rPr>
          <w:rFonts w:cs="David"/>
          <w:sz w:val="26"/>
          <w:rtl/>
        </w:rPr>
      </w:pPr>
      <w:r>
        <w:rPr>
          <w:rFonts w:cs="David"/>
          <w:sz w:val="26"/>
          <w:rtl/>
        </w:rPr>
        <w:t>והונחה על שולחן הכנסת ביום</w:t>
      </w:r>
    </w:p>
    <w:p w:rsidR="00000000" w:rsidRDefault="002825E4">
      <w:pPr>
        <w:pStyle w:val="Noparagraphstyle"/>
        <w:spacing w:line="240" w:lineRule="auto"/>
        <w:rPr>
          <w:rFonts w:cs="David"/>
          <w:sz w:val="26"/>
          <w:rtl/>
        </w:rPr>
      </w:pPr>
      <w:r>
        <w:rPr>
          <w:rFonts w:cs="David"/>
          <w:sz w:val="26"/>
          <w:rtl/>
        </w:rPr>
        <w:t>כ"ה בטבת התשס"ז-15.1.07</w:t>
      </w:r>
    </w:p>
    <w:p w:rsidR="00000000" w:rsidRDefault="002825E4">
      <w:pPr>
        <w:pStyle w:val="Noparagraphstyle"/>
        <w:spacing w:line="240" w:lineRule="auto"/>
        <w:rPr>
          <w:rFonts w:cs="David"/>
          <w:sz w:val="26"/>
          <w:rtl/>
        </w:rPr>
      </w:pPr>
    </w:p>
    <w:sectPr w:rsidR="00000000">
      <w:headerReference w:type="default" r:id="rId7"/>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25E4">
      <w:r>
        <w:separator/>
      </w:r>
    </w:p>
  </w:endnote>
  <w:endnote w:type="continuationSeparator" w:id="0">
    <w:p w:rsidR="00000000" w:rsidRDefault="0028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25E4">
      <w:r>
        <w:separator/>
      </w:r>
    </w:p>
  </w:footnote>
  <w:footnote w:type="continuationSeparator" w:id="0">
    <w:p w:rsidR="00000000" w:rsidRDefault="002825E4">
      <w:r>
        <w:continuationSeparator/>
      </w:r>
    </w:p>
  </w:footnote>
  <w:footnote w:type="continuationNotice" w:id="1">
    <w:p w:rsidR="00000000" w:rsidRDefault="002825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25E4">
    <w:pPr>
      <w:pStyle w:val="a9"/>
      <w:framePr w:wrap="auto" w:vAnchor="text" w:hAnchor="text" w:xAlign="center" w:y="1"/>
      <w:rPr>
        <w:rStyle w:val="af"/>
      </w:rPr>
    </w:pPr>
    <w:r>
      <w:rPr>
        <w:rStyle w:val="af"/>
      </w:rPr>
      <w:fldChar w:fldCharType="begin"/>
    </w:r>
    <w:r>
      <w:rPr>
        <w:rStyle w:val="af"/>
      </w:rPr>
      <w:instrText xml:space="preserve">PAGE  </w:instrText>
    </w:r>
    <w:r>
      <w:rPr>
        <w:rStyle w:val="af"/>
      </w:rPr>
      <w:fldChar w:fldCharType="separate"/>
    </w:r>
    <w:r>
      <w:rPr>
        <w:rStyle w:val="af"/>
        <w:noProof/>
        <w:rtl/>
      </w:rPr>
      <w:t>2</w:t>
    </w:r>
    <w:r>
      <w:rPr>
        <w:rStyle w:val="af"/>
      </w:rPr>
      <w:fldChar w:fldCharType="end"/>
    </w:r>
  </w:p>
  <w:p w:rsidR="00000000" w:rsidRDefault="002825E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4367lsCopyOriginal.doc"/>
    <w:docVar w:name="StartMode" w:val="3"/>
  </w:docVars>
  <w:rsids>
    <w:rsidRoot w:val="002825E4"/>
    <w:rsid w:val="00282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pPr>
      <w:widowControl w:val="0"/>
      <w:autoSpaceDE w:val="0"/>
      <w:autoSpaceDN w:val="0"/>
      <w:bidi/>
      <w:adjustRightInd w:val="0"/>
      <w:snapToGrid w:val="0"/>
      <w:spacing w:after="0" w:line="360" w:lineRule="auto"/>
      <w:textAlignment w:val="center"/>
    </w:pPr>
    <w:rPr>
      <w:rFonts w:ascii="Arial" w:eastAsia="Arial Unicode MS" w:hAnsi="Arial" w:cs="Arial Unicode MS"/>
      <w:color w:val="000000"/>
      <w:sz w:val="20"/>
      <w:szCs w:val="26"/>
      <w:lang w:eastAsia="ja-JP"/>
    </w:rPr>
  </w:style>
  <w:style w:type="paragraph" w:customStyle="1" w:styleId="Cover1-Reshumot">
    <w:name w:val="Cover 1-Reshumot"/>
    <w:basedOn w:val="Noparagraphstyle"/>
    <w:uiPriority w:val="99"/>
    <w:pPr>
      <w:tabs>
        <w:tab w:val="left" w:pos="1191"/>
        <w:tab w:val="left" w:pos="1587"/>
      </w:tabs>
      <w:spacing w:before="240" w:after="240" w:line="480" w:lineRule="auto"/>
      <w:jc w:val="center"/>
    </w:pPr>
  </w:style>
  <w:style w:type="paragraph" w:customStyle="1" w:styleId="Cover2-HatzaotHok">
    <w:name w:val="Cover 2-HatzaotHok"/>
    <w:basedOn w:val="Cover1-Reshumot"/>
    <w:uiPriority w:val="99"/>
    <w:rPr>
      <w:sz w:val="36"/>
      <w:szCs w:val="52"/>
    </w:rPr>
  </w:style>
  <w:style w:type="paragraph" w:customStyle="1" w:styleId="Cover3-Haknesset">
    <w:name w:val="Cover 3-Haknesset"/>
    <w:basedOn w:val="Cover1-Reshumot"/>
    <w:uiPriority w:val="99"/>
    <w:rPr>
      <w:b/>
      <w:bCs/>
      <w:spacing w:val="60"/>
    </w:rPr>
  </w:style>
  <w:style w:type="paragraph" w:customStyle="1" w:styleId="Cover4-Date">
    <w:name w:val="Cover 4-Date"/>
    <w:basedOn w:val="Noparagraphstyle"/>
    <w:uiPriority w:val="99"/>
    <w:pPr>
      <w:pBdr>
        <w:bottom w:val="single" w:sz="4" w:space="0" w:color="auto"/>
      </w:pBdr>
      <w:tabs>
        <w:tab w:val="center" w:pos="4820"/>
        <w:tab w:val="right" w:pos="9639"/>
      </w:tabs>
      <w:spacing w:before="240" w:after="240"/>
    </w:pPr>
  </w:style>
  <w:style w:type="paragraph" w:customStyle="1" w:styleId="TOC">
    <w:name w:val="TOC"/>
    <w:basedOn w:val="Noparagraphstyle"/>
    <w:uiPriority w:val="99"/>
    <w:pPr>
      <w:tabs>
        <w:tab w:val="left" w:leader="dot" w:pos="8789"/>
      </w:tabs>
      <w:spacing w:before="120"/>
      <w:ind w:left="284" w:right="284"/>
    </w:pPr>
  </w:style>
  <w:style w:type="paragraph" w:customStyle="1" w:styleId="TOCpg">
    <w:name w:val="TOC pg"/>
    <w:basedOn w:val="TOC"/>
    <w:uiPriority w:val="99"/>
    <w:pPr>
      <w:spacing w:after="120"/>
      <w:ind w:right="567"/>
      <w:jc w:val="right"/>
    </w:pPr>
  </w:style>
  <w:style w:type="paragraph" w:customStyle="1" w:styleId="HeadMitparsemetBaze">
    <w:name w:val="Head MitparsemetBaze"/>
    <w:basedOn w:val="Noparagraphstyle"/>
    <w:uiPriority w:val="99"/>
    <w:pPr>
      <w:keepNext/>
      <w:keepLines/>
      <w:pageBreakBefore/>
      <w:spacing w:before="480"/>
      <w:jc w:val="both"/>
    </w:pPr>
    <w:rPr>
      <w:b/>
      <w:bCs/>
    </w:rPr>
  </w:style>
  <w:style w:type="paragraph" w:customStyle="1" w:styleId="HeadHatzaotHok">
    <w:name w:val="Head HatzaotHok"/>
    <w:basedOn w:val="Noparagraphstyle"/>
    <w:uiPriority w:val="99"/>
    <w:pPr>
      <w:keepNext/>
      <w:keepLines/>
      <w:spacing w:before="240"/>
      <w:jc w:val="center"/>
    </w:pPr>
    <w:rPr>
      <w:b/>
      <w:bCs/>
    </w:rPr>
  </w:style>
  <w:style w:type="paragraph" w:customStyle="1" w:styleId="HeadHatzaotHok4Futer">
    <w:name w:val="Head HatzaotHok4Futer"/>
    <w:basedOn w:val="HeadHatzaotHok"/>
    <w:uiPriority w:val="99"/>
    <w:pPr>
      <w:spacing w:before="120" w:after="120"/>
    </w:pPr>
    <w:rPr>
      <w:color w:val="FF0000"/>
      <w:w w:val="80"/>
    </w:rPr>
  </w:style>
  <w:style w:type="paragraph" w:styleId="a3">
    <w:name w:val="endnote text"/>
    <w:basedOn w:val="Ragil"/>
    <w:link w:val="a4"/>
    <w:uiPriority w:val="99"/>
    <w:pPr>
      <w:ind w:left="227" w:hanging="227"/>
    </w:pPr>
    <w:rPr>
      <w:sz w:val="14"/>
      <w:szCs w:val="22"/>
    </w:rPr>
  </w:style>
  <w:style w:type="character" w:customStyle="1" w:styleId="a4">
    <w:name w:val="טקסט הערת סיום תו"/>
    <w:basedOn w:val="a0"/>
    <w:link w:val="a3"/>
    <w:uiPriority w:val="99"/>
    <w:semiHidden/>
    <w:rPr>
      <w:rFonts w:ascii="Times New Roman" w:hAnsi="Times New Roman" w:cs="Times New Roman"/>
      <w:sz w:val="20"/>
      <w:szCs w:val="20"/>
      <w:lang w:eastAsia="he-IL"/>
    </w:rPr>
  </w:style>
  <w:style w:type="paragraph" w:customStyle="1" w:styleId="TableText">
    <w:name w:val="Table Text"/>
    <w:basedOn w:val="Ragil"/>
    <w:uiPriority w:val="99"/>
    <w:pPr>
      <w:keepLines/>
      <w:tabs>
        <w:tab w:val="left" w:pos="624"/>
        <w:tab w:val="left" w:pos="1247"/>
      </w:tabs>
      <w:ind w:right="57" w:firstLine="0"/>
    </w:pPr>
  </w:style>
  <w:style w:type="paragraph" w:customStyle="1" w:styleId="TableSideHeading">
    <w:name w:val="Table SideHeading"/>
    <w:basedOn w:val="TableText"/>
    <w:uiPriority w:val="99"/>
  </w:style>
  <w:style w:type="paragraph" w:customStyle="1" w:styleId="TableBlock">
    <w:name w:val="Table Block"/>
    <w:basedOn w:val="TableText"/>
    <w:uiPriority w:val="99"/>
    <w:pPr>
      <w:ind w:right="0"/>
      <w:jc w:val="both"/>
    </w:pPr>
  </w:style>
  <w:style w:type="paragraph" w:customStyle="1" w:styleId="TableHead">
    <w:name w:val="Table Head"/>
    <w:basedOn w:val="TableText"/>
    <w:uiPriority w:val="99"/>
    <w:pPr>
      <w:ind w:right="0"/>
      <w:jc w:val="center"/>
    </w:pPr>
    <w:rPr>
      <w:b/>
      <w:bCs/>
    </w:rPr>
  </w:style>
  <w:style w:type="paragraph" w:customStyle="1" w:styleId="TableText2">
    <w:name w:val="Table Text2"/>
    <w:basedOn w:val="TableText"/>
    <w:uiPriority w:val="99"/>
  </w:style>
  <w:style w:type="paragraph" w:customStyle="1" w:styleId="TableInnerSideHeading">
    <w:name w:val="Table InnerSideHeading"/>
    <w:basedOn w:val="TableSideHeading"/>
    <w:uiPriority w:val="99"/>
  </w:style>
  <w:style w:type="paragraph" w:customStyle="1" w:styleId="Hesber">
    <w:name w:val="Hesber"/>
    <w:basedOn w:val="Ragil"/>
    <w:uiPriority w:val="99"/>
    <w:pPr>
      <w:jc w:val="both"/>
    </w:pPr>
  </w:style>
  <w:style w:type="paragraph" w:styleId="a5">
    <w:name w:val="footnote text"/>
    <w:basedOn w:val="Ragil"/>
    <w:link w:val="a6"/>
    <w:autoRedefine/>
    <w:uiPriority w:val="99"/>
    <w:pPr>
      <w:spacing w:line="240" w:lineRule="auto"/>
      <w:ind w:left="227" w:hanging="227"/>
    </w:pPr>
    <w:rPr>
      <w:sz w:val="14"/>
      <w:szCs w:val="20"/>
    </w:rPr>
  </w:style>
  <w:style w:type="character" w:customStyle="1" w:styleId="a6">
    <w:name w:val="טקסט הערת שוליים תו"/>
    <w:basedOn w:val="a0"/>
    <w:link w:val="a5"/>
    <w:uiPriority w:val="99"/>
    <w:semiHidden/>
    <w:rPr>
      <w:rFonts w:ascii="Times New Roman" w:hAnsi="Times New Roman" w:cs="Times New Roman"/>
      <w:sz w:val="20"/>
      <w:szCs w:val="20"/>
      <w:lang w:eastAsia="he-IL"/>
    </w:rPr>
  </w:style>
  <w:style w:type="character" w:styleId="a7">
    <w:name w:val="footnote reference"/>
    <w:basedOn w:val="a0"/>
    <w:uiPriority w:val="99"/>
    <w:rPr>
      <w:rFonts w:cs="Times New Roman"/>
      <w:vertAlign w:val="superscript"/>
    </w:rPr>
  </w:style>
  <w:style w:type="paragraph" w:customStyle="1" w:styleId="HesberHeading">
    <w:name w:val="Hesber Heading"/>
    <w:basedOn w:val="Hesber"/>
    <w:uiPriority w:val="99"/>
    <w:pPr>
      <w:keepNext/>
      <w:keepLines/>
      <w:spacing w:before="240"/>
      <w:ind w:firstLine="0"/>
    </w:pPr>
    <w:rPr>
      <w:b/>
      <w:bCs/>
    </w:rPr>
  </w:style>
  <w:style w:type="paragraph" w:customStyle="1" w:styleId="HesberWriters">
    <w:name w:val="Hesber Writers"/>
    <w:basedOn w:val="Hesber"/>
    <w:uiPriority w:val="99"/>
    <w:pPr>
      <w:spacing w:before="120" w:after="6000"/>
      <w:ind w:left="1418" w:firstLine="0"/>
      <w:jc w:val="right"/>
    </w:pPr>
    <w:rPr>
      <w:b/>
      <w:bCs/>
    </w:rPr>
  </w:style>
  <w:style w:type="paragraph" w:customStyle="1" w:styleId="Hesber1st">
    <w:name w:val="Hesber 1st"/>
    <w:basedOn w:val="Hesber"/>
    <w:uiPriority w:val="99"/>
    <w:pPr>
      <w:tabs>
        <w:tab w:val="left" w:pos="680"/>
        <w:tab w:val="left" w:pos="1020"/>
      </w:tabs>
      <w:ind w:firstLine="0"/>
    </w:pPr>
  </w:style>
  <w:style w:type="character" w:styleId="a8">
    <w:name w:val="endnote reference"/>
    <w:basedOn w:val="a0"/>
    <w:uiPriority w:val="99"/>
    <w:rPr>
      <w:rFonts w:cs="Times New Roman"/>
      <w:vertAlign w:val="superscript"/>
    </w:rPr>
  </w:style>
  <w:style w:type="paragraph" w:customStyle="1" w:styleId="TableBlockOutdent">
    <w:name w:val="Table BlockOutdent"/>
    <w:basedOn w:val="TableBlock"/>
    <w:uiPriority w:val="99"/>
    <w:pPr>
      <w:ind w:left="624" w:hanging="624"/>
    </w:pPr>
  </w:style>
  <w:style w:type="paragraph" w:styleId="a9">
    <w:name w:val="header"/>
    <w:basedOn w:val="a"/>
    <w:link w:val="aa"/>
    <w:uiPriority w:val="99"/>
    <w:pPr>
      <w:tabs>
        <w:tab w:val="center" w:pos="4153"/>
        <w:tab w:val="right" w:pos="8306"/>
      </w:tabs>
    </w:pPr>
  </w:style>
  <w:style w:type="character" w:customStyle="1" w:styleId="aa">
    <w:name w:val="כותרת עליונה תו"/>
    <w:basedOn w:val="a0"/>
    <w:link w:val="a9"/>
    <w:uiPriority w:val="99"/>
    <w:semiHidden/>
    <w:rPr>
      <w:rFonts w:ascii="Times New Roman" w:hAnsi="Times New Roman" w:cs="Times New Roman"/>
      <w:sz w:val="24"/>
      <w:szCs w:val="24"/>
      <w:lang w:eastAsia="he-IL"/>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Times New Roman" w:hAnsi="Times New Roman" w:cs="Times New Roman"/>
      <w:sz w:val="24"/>
      <w:szCs w:val="24"/>
      <w:lang w:eastAsia="he-IL"/>
    </w:rPr>
  </w:style>
  <w:style w:type="paragraph" w:customStyle="1" w:styleId="HeadDivreiHesber">
    <w:name w:val="Head DivreiHesber"/>
    <w:basedOn w:val="Ragil"/>
    <w:uiPriority w:val="99"/>
    <w:pPr>
      <w:spacing w:before="360" w:after="120"/>
      <w:ind w:firstLine="0"/>
      <w:jc w:val="center"/>
    </w:pPr>
    <w:rPr>
      <w:b/>
      <w:spacing w:val="40"/>
    </w:rPr>
  </w:style>
  <w:style w:type="paragraph" w:customStyle="1" w:styleId="Ragil">
    <w:name w:val="Ragil"/>
    <w:basedOn w:val="Noparagraphstyle"/>
    <w:uiPriority w:val="99"/>
    <w:pPr>
      <w:ind w:firstLine="340"/>
    </w:pPr>
  </w:style>
  <w:style w:type="paragraph" w:styleId="ad">
    <w:name w:val="Title"/>
    <w:basedOn w:val="a"/>
    <w:link w:val="ae"/>
    <w:uiPriority w:val="99"/>
    <w:qFormat/>
    <w:pPr>
      <w:jc w:val="center"/>
    </w:pPr>
    <w:rPr>
      <w:rFonts w:eastAsia="Times New Roman"/>
      <w:b/>
      <w:bCs/>
      <w:sz w:val="28"/>
      <w:szCs w:val="28"/>
      <w:u w:val="single"/>
    </w:rPr>
  </w:style>
  <w:style w:type="character" w:customStyle="1" w:styleId="ae">
    <w:name w:val="כותרת טקסט תו"/>
    <w:basedOn w:val="a0"/>
    <w:link w:val="ad"/>
    <w:uiPriority w:val="10"/>
    <w:rPr>
      <w:rFonts w:asciiTheme="majorHAnsi" w:eastAsiaTheme="majorEastAsia" w:hAnsiTheme="majorHAnsi" w:cstheme="majorBidi"/>
      <w:b/>
      <w:bCs/>
      <w:kern w:val="28"/>
      <w:sz w:val="32"/>
      <w:szCs w:val="32"/>
      <w:lang w:eastAsia="he-IL"/>
    </w:rPr>
  </w:style>
  <w:style w:type="character" w:styleId="af">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2720</Characters>
  <Application>Microsoft Office Word</Application>
  <DocSecurity>0</DocSecurity>
  <Lines>22</Lines>
  <Paragraphs>6</Paragraphs>
  <ScaleCrop>false</ScaleCrop>
  <Company> </Company>
  <LinksUpToDate>false</LinksUpToDate>
  <CharactersWithSpaces>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תשלום פיצויים שנפסקו לטובת קטין שניזוק מעבירה), התשס"ז-2007</dc:title>
  <dc:subject/>
  <dc:creator>ozer_nave2</dc:creator>
  <cp:keywords/>
  <dc:description/>
  <cp:lastModifiedBy>שמואל כוכב</cp:lastModifiedBy>
  <cp:revision>2</cp:revision>
  <cp:lastPrinted>2007-01-14T07:51:00Z</cp:lastPrinted>
  <dcterms:created xsi:type="dcterms:W3CDTF">2015-02-03T17:18:00Z</dcterms:created>
  <dcterms:modified xsi:type="dcterms:W3CDTF">2015-02-03T17:18:00Z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85</vt:lpwstr>
  </property>
  <property fmtid="{D5CDD505-2E9C-101B-9397-08002B2CF9AE}" pid="3" name="AutoNumber">
    <vt:lpwstr>00274007</vt:lpwstr>
  </property>
  <property fmtid="{D5CDD505-2E9C-101B-9397-08002B2CF9AE}" pid="4" name="מספר הצעת חוק למיון">
    <vt:lpwstr>1964</vt:lpwstr>
  </property>
  <property fmtid="{D5CDD505-2E9C-101B-9397-08002B2CF9AE}" pid="5" name="SDDocDate">
    <vt:lpwstr>2007-01-14T00:00:00Z</vt:lpwstr>
  </property>
  <property fmtid="{D5CDD505-2E9C-101B-9397-08002B2CF9AE}" pid="6" name="SDHebDate">
    <vt:lpwstr>כ"ד בטבת, התשס"ז</vt:lpwstr>
  </property>
  <property fmtid="{D5CDD505-2E9C-101B-9397-08002B2CF9AE}" pid="7" name="SDCategories">
    <vt:lpwstr>:דף הבית:נושאים:חקיקה:נוסח לדיון מוקדם;#</vt:lpwstr>
  </property>
  <property fmtid="{D5CDD505-2E9C-101B-9397-08002B2CF9AE}" pid="8" name="תאריך הנחה">
    <vt:lpwstr/>
  </property>
  <property fmtid="{D5CDD505-2E9C-101B-9397-08002B2CF9AE}" pid="9" name="Vaada">
    <vt:lpwstr/>
  </property>
  <property fmtid="{D5CDD505-2E9C-101B-9397-08002B2CF9AE}" pid="10" name="HebrewDate">
    <vt:lpwstr/>
  </property>
  <property fmtid="{D5CDD505-2E9C-101B-9397-08002B2CF9AE}" pid="11" name="SDAuthor">
    <vt:lpwstr>כוכי שבתאי</vt:lpwstr>
  </property>
  <property fmtid="{D5CDD505-2E9C-101B-9397-08002B2CF9AE}" pid="12" name="MechaberMismach">
    <vt:lpwstr/>
  </property>
  <property fmtid="{D5CDD505-2E9C-101B-9397-08002B2CF9AE}" pid="13" name="MisHatzaatChok">
    <vt:lpwstr>פ/1964/17</vt:lpwstr>
  </property>
  <property fmtid="{D5CDD505-2E9C-101B-9397-08002B2CF9AE}" pid="14" name="YozemHatzaa_ChakList">
    <vt:lpwstr>דני נוה</vt:lpwstr>
  </property>
  <property fmtid="{D5CDD505-2E9C-101B-9397-08002B2CF9AE}" pid="15" name="SDRemark">
    <vt:lpwstr/>
  </property>
  <property fmtid="{D5CDD505-2E9C-101B-9397-08002B2CF9AE}" pid="16" name="SDOfflineTo">
    <vt:lpwstr/>
  </property>
  <property fmtid="{D5CDD505-2E9C-101B-9397-08002B2CF9AE}" pid="17" name="SDDistList">
    <vt:lpwstr/>
  </property>
  <property fmtid="{D5CDD505-2E9C-101B-9397-08002B2CF9AE}" pid="18" name="SDDistDate">
    <vt:lpwstr/>
  </property>
  <property fmtid="{D5CDD505-2E9C-101B-9397-08002B2CF9AE}" pid="19" name="SDOriginalID">
    <vt:lpwstr/>
  </property>
  <property fmtid="{D5CDD505-2E9C-101B-9397-08002B2CF9AE}" pid="20" name="SDSenderName">
    <vt:lpwstr/>
  </property>
  <property fmtid="{D5CDD505-2E9C-101B-9397-08002B2CF9AE}" pid="21" name="SDToList">
    <vt:lpwstr/>
  </property>
  <property fmtid="{D5CDD505-2E9C-101B-9397-08002B2CF9AE}" pid="22" name="SDCCList">
    <vt:lpwstr/>
  </property>
  <property fmtid="{D5CDD505-2E9C-101B-9397-08002B2CF9AE}" pid="23" name="STHasReminders">
    <vt:lpwstr>0</vt:lpwstr>
  </property>
  <property fmtid="{D5CDD505-2E9C-101B-9397-08002B2CF9AE}" pid="24" name="SDLink">
    <vt:lpwstr>, </vt:lpwstr>
  </property>
  <property fmtid="{D5CDD505-2E9C-101B-9397-08002B2CF9AE}" pid="25" name="Num_Gim1">
    <vt:lpwstr/>
  </property>
  <property fmtid="{D5CDD505-2E9C-101B-9397-08002B2CF9AE}" pid="26" name="NoseA">
    <vt:lpwstr/>
  </property>
  <property fmtid="{D5CDD505-2E9C-101B-9397-08002B2CF9AE}" pid="27" name="NoseB">
    <vt:lpwstr/>
  </property>
  <property fmtid="{D5CDD505-2E9C-101B-9397-08002B2CF9AE}" pid="28" name="knesset_number">
    <vt:lpwstr/>
  </property>
  <property fmtid="{D5CDD505-2E9C-101B-9397-08002B2CF9AE}" pid="29" name="ValidFrom">
    <vt:lpwstr/>
  </property>
  <property fmtid="{D5CDD505-2E9C-101B-9397-08002B2CF9AE}" pid="30" name="ValidUntill">
    <vt:lpwstr/>
  </property>
  <property fmtid="{D5CDD505-2E9C-101B-9397-08002B2CF9AE}" pid="31" name="To1">
    <vt:lpwstr/>
  </property>
  <property fmtid="{D5CDD505-2E9C-101B-9397-08002B2CF9AE}" pid="32" name="From">
    <vt:lpwstr/>
  </property>
  <property fmtid="{D5CDD505-2E9C-101B-9397-08002B2CF9AE}" pid="33" name="body">
    <vt:lpwstr/>
  </property>
  <property fmtid="{D5CDD505-2E9C-101B-9397-08002B2CF9AE}" pid="34" name="ItemID">
    <vt:lpwstr/>
  </property>
  <property fmtid="{D5CDD505-2E9C-101B-9397-08002B2CF9AE}" pid="35" name="DocID">
    <vt:lpwstr/>
  </property>
  <property fmtid="{D5CDD505-2E9C-101B-9397-08002B2CF9AE}" pid="36" name="YozemID">
    <vt:lpwstr/>
  </property>
</Properties>
</file>