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7340">
      <w:pPr>
        <w:pStyle w:val="a3"/>
        <w:jc w:val="left"/>
        <w:rPr>
          <w:rFonts w:cs="David"/>
          <w:b w:val="0"/>
          <w:bCs w:val="0"/>
          <w:sz w:val="24"/>
          <w:szCs w:val="24"/>
          <w:u w:val="none"/>
          <w:rtl/>
        </w:rPr>
      </w:pPr>
      <w:bookmarkStart w:id="0" w:name="_GoBack"/>
      <w:bookmarkEnd w:id="0"/>
    </w:p>
    <w:p w:rsidR="00000000" w:rsidRDefault="00F37340">
      <w:pPr>
        <w:pStyle w:val="a3"/>
        <w:rPr>
          <w:rFonts w:cs="David"/>
          <w:u w:val="none"/>
          <w:rtl/>
        </w:rPr>
      </w:pPr>
      <w:r>
        <w:rPr>
          <w:rFonts w:cs="David"/>
          <w:u w:val="none"/>
          <w:rtl/>
        </w:rPr>
        <w:t>הכנסת השבע-עשרה</w:t>
      </w:r>
    </w:p>
    <w:p w:rsidR="00000000" w:rsidRDefault="00F37340">
      <w:pPr>
        <w:tabs>
          <w:tab w:val="left" w:pos="2734"/>
        </w:tabs>
        <w:ind w:left="-9" w:firstLine="9"/>
        <w:rPr>
          <w:rFonts w:cs="David"/>
          <w:sz w:val="26"/>
          <w:szCs w:val="26"/>
          <w:rtl/>
        </w:rPr>
      </w:pPr>
    </w:p>
    <w:p w:rsidR="00000000" w:rsidRDefault="00F37340">
      <w:pPr>
        <w:tabs>
          <w:tab w:val="left" w:pos="2734"/>
        </w:tabs>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126"/>
      </w:tblGrid>
      <w:tr w:rsidR="00000000">
        <w:tblPrEx>
          <w:tblCellMar>
            <w:top w:w="0" w:type="dxa"/>
            <w:bottom w:w="0" w:type="dxa"/>
          </w:tblCellMar>
        </w:tblPrEx>
        <w:trPr>
          <w:cantSplit/>
        </w:trPr>
        <w:tc>
          <w:tcPr>
            <w:tcW w:w="4126" w:type="dxa"/>
            <w:tcBorders>
              <w:top w:val="nil"/>
              <w:left w:val="nil"/>
              <w:bottom w:val="single" w:sz="4" w:space="0" w:color="auto"/>
              <w:right w:val="nil"/>
            </w:tcBorders>
          </w:tcPr>
          <w:p w:rsidR="00000000" w:rsidRDefault="00F37340">
            <w:pPr>
              <w:tabs>
                <w:tab w:val="left" w:pos="2770"/>
                <w:tab w:val="left" w:pos="6192"/>
              </w:tabs>
              <w:ind w:firstLine="9"/>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 הכנסת</w:t>
            </w:r>
            <w:bookmarkEnd w:id="1"/>
            <w:r>
              <w:rPr>
                <w:rFonts w:cs="David"/>
                <w:sz w:val="26"/>
                <w:szCs w:val="26"/>
                <w:rtl/>
              </w:rPr>
              <w:t xml:space="preserve">  </w:t>
            </w:r>
            <w:bookmarkStart w:id="2" w:name="MKs"/>
            <w:r>
              <w:rPr>
                <w:rFonts w:cs="David"/>
                <w:sz w:val="26"/>
                <w:szCs w:val="26"/>
                <w:rtl/>
              </w:rPr>
              <w:t>ברזניץ שלמה</w:t>
            </w:r>
            <w:bookmarkEnd w:id="2"/>
          </w:p>
        </w:tc>
      </w:tr>
    </w:tbl>
    <w:p w:rsidR="00000000" w:rsidRDefault="00F37340">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32"/>
          <w:szCs w:val="32"/>
          <w:rtl/>
        </w:rPr>
        <w:t xml:space="preserve">                       </w:t>
      </w:r>
      <w:r>
        <w:rPr>
          <w:rFonts w:cs="David"/>
          <w:b/>
          <w:bCs/>
          <w:rtl/>
        </w:rPr>
        <w:t>פ/625/17</w:t>
      </w:r>
    </w:p>
    <w:p w:rsidR="00000000" w:rsidRDefault="00F37340">
      <w:pPr>
        <w:rPr>
          <w:rFonts w:cs="David"/>
          <w:b/>
          <w:bCs/>
          <w:rtl/>
        </w:rPr>
      </w:pPr>
    </w:p>
    <w:p w:rsidR="00000000" w:rsidRDefault="00F37340">
      <w:pPr>
        <w:jc w:val="center"/>
        <w:rPr>
          <w:rFonts w:cs="David"/>
          <w:b/>
          <w:bCs/>
          <w:sz w:val="28"/>
          <w:szCs w:val="28"/>
          <w:rtl/>
        </w:rPr>
      </w:pPr>
    </w:p>
    <w:p w:rsidR="00000000" w:rsidRDefault="00F37340">
      <w:pPr>
        <w:jc w:val="center"/>
        <w:rPr>
          <w:rFonts w:cs="David"/>
          <w:b/>
          <w:bCs/>
          <w:sz w:val="28"/>
          <w:szCs w:val="28"/>
          <w:rtl/>
        </w:rPr>
      </w:pPr>
    </w:p>
    <w:p w:rsidR="00000000" w:rsidRDefault="00F37340">
      <w:pPr>
        <w:jc w:val="center"/>
        <w:rPr>
          <w:rFonts w:cs="David"/>
          <w:sz w:val="26"/>
          <w:szCs w:val="26"/>
          <w:rtl/>
        </w:rPr>
      </w:pPr>
      <w:r>
        <w:rPr>
          <w:rFonts w:cs="David"/>
          <w:b/>
          <w:bCs/>
          <w:sz w:val="28"/>
          <w:szCs w:val="28"/>
          <w:rtl/>
        </w:rPr>
        <w:t>הצעת חוק ניסויים רפואיים בבני אדם, התשס"ו-2006</w:t>
      </w:r>
      <w:r>
        <w:rPr>
          <w:rFonts w:cs="David"/>
          <w:b/>
          <w:bCs/>
          <w:sz w:val="28"/>
          <w:szCs w:val="28"/>
          <w:rtl/>
        </w:rPr>
        <w:tab/>
      </w:r>
    </w:p>
    <w:p w:rsidR="00000000" w:rsidRDefault="00F37340">
      <w:pPr>
        <w:jc w:val="center"/>
        <w:rPr>
          <w:rFonts w:cs="David"/>
          <w:sz w:val="26"/>
          <w:szCs w:val="26"/>
          <w:rtl/>
        </w:rPr>
      </w:pPr>
    </w:p>
    <w:p w:rsidR="00000000" w:rsidRDefault="00F37340">
      <w:pPr>
        <w:rPr>
          <w:rFonts w:cs="David"/>
          <w:sz w:val="26"/>
          <w:szCs w:val="26"/>
          <w:rtl/>
        </w:rPr>
      </w:pPr>
    </w:p>
    <w:tbl>
      <w:tblPr>
        <w:bidiVisual/>
        <w:tblW w:w="9184" w:type="dxa"/>
        <w:tblInd w:w="-383" w:type="dxa"/>
        <w:tblLayout w:type="fixed"/>
        <w:tblCellMar>
          <w:left w:w="107" w:type="dxa"/>
          <w:right w:w="107" w:type="dxa"/>
        </w:tblCellMar>
        <w:tblLook w:val="0000" w:firstRow="0" w:lastRow="0" w:firstColumn="0" w:lastColumn="0" w:noHBand="0" w:noVBand="0"/>
      </w:tblPr>
      <w:tblGrid>
        <w:gridCol w:w="6"/>
        <w:gridCol w:w="881"/>
        <w:gridCol w:w="246"/>
        <w:gridCol w:w="243"/>
        <w:gridCol w:w="107"/>
        <w:gridCol w:w="17"/>
        <w:gridCol w:w="228"/>
        <w:gridCol w:w="118"/>
        <w:gridCol w:w="20"/>
        <w:gridCol w:w="23"/>
        <w:gridCol w:w="137"/>
        <w:gridCol w:w="309"/>
        <w:gridCol w:w="42"/>
        <w:gridCol w:w="86"/>
        <w:gridCol w:w="28"/>
        <w:gridCol w:w="238"/>
        <w:gridCol w:w="81"/>
        <w:gridCol w:w="298"/>
        <w:gridCol w:w="176"/>
        <w:gridCol w:w="1"/>
        <w:gridCol w:w="489"/>
        <w:gridCol w:w="510"/>
        <w:gridCol w:w="4900"/>
      </w:tblGrid>
      <w:tr w:rsidR="00000000">
        <w:tblPrEx>
          <w:tblCellMar>
            <w:top w:w="0" w:type="dxa"/>
            <w:bottom w:w="0" w:type="dxa"/>
          </w:tblCellMar>
        </w:tblPrEx>
        <w:trPr>
          <w:cantSplit/>
        </w:trPr>
        <w:tc>
          <w:tcPr>
            <w:tcW w:w="9182" w:type="dxa"/>
            <w:gridSpan w:val="23"/>
            <w:tcBorders>
              <w:top w:val="nil"/>
              <w:left w:val="nil"/>
              <w:bottom w:val="nil"/>
              <w:right w:val="nil"/>
            </w:tcBorders>
          </w:tcPr>
          <w:p w:rsidR="00000000" w:rsidRDefault="00F37340">
            <w:pPr>
              <w:jc w:val="center"/>
              <w:rPr>
                <w:rFonts w:cs="David"/>
                <w:sz w:val="26"/>
                <w:szCs w:val="26"/>
                <w:rtl/>
              </w:rPr>
            </w:pPr>
            <w:r>
              <w:rPr>
                <w:rFonts w:cs="David"/>
                <w:b/>
                <w:bCs/>
                <w:sz w:val="26"/>
                <w:szCs w:val="26"/>
                <w:rtl/>
              </w:rPr>
              <w:t>פרק א': מטרות החוק</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מטרות החוק</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מטרו</w:t>
            </w:r>
            <w:r>
              <w:rPr>
                <w:rFonts w:cs="David"/>
                <w:sz w:val="26"/>
                <w:szCs w:val="26"/>
                <w:rtl/>
              </w:rPr>
              <w:t xml:space="preserve">תיו של חוק זה הן לקבוע את העקרונות שעל פיהם יש לערוך ניסויים רפואיים בבני אדם, ולהגדיר את חובותיהם וזכויותיהם של כל המעורבים בניסויים אלה, תוך הבטחת שמירה מרבית על כבוד האדם וחירותו, על פרטיותו ועל בריאותו, ובהתחשב בחופש המחקר המדעי לצורך קידום הרפואה. </w:t>
            </w:r>
          </w:p>
          <w:p w:rsidR="00000000" w:rsidRDefault="00F37340">
            <w:pPr>
              <w:jc w:val="both"/>
              <w:rPr>
                <w:rFonts w:cs="David"/>
                <w:sz w:val="26"/>
                <w:szCs w:val="26"/>
                <w:rtl/>
              </w:rPr>
            </w:pPr>
          </w:p>
        </w:tc>
      </w:tr>
      <w:tr w:rsidR="00000000">
        <w:tblPrEx>
          <w:tblCellMar>
            <w:top w:w="0" w:type="dxa"/>
            <w:bottom w:w="0" w:type="dxa"/>
          </w:tblCellMar>
        </w:tblPrEx>
        <w:trPr>
          <w:cantSplit/>
        </w:trPr>
        <w:tc>
          <w:tcPr>
            <w:tcW w:w="9182" w:type="dxa"/>
            <w:gridSpan w:val="23"/>
            <w:tcBorders>
              <w:top w:val="nil"/>
              <w:left w:val="nil"/>
              <w:bottom w:val="nil"/>
              <w:right w:val="nil"/>
            </w:tcBorders>
          </w:tcPr>
          <w:p w:rsidR="00000000" w:rsidRDefault="00F37340">
            <w:pPr>
              <w:pStyle w:val="1"/>
              <w:rPr>
                <w:rFonts w:cs="David"/>
                <w:sz w:val="26"/>
                <w:szCs w:val="26"/>
                <w:u w:val="none"/>
                <w:rtl/>
              </w:rPr>
            </w:pPr>
            <w:r>
              <w:rPr>
                <w:rFonts w:cs="David"/>
                <w:sz w:val="26"/>
                <w:szCs w:val="26"/>
                <w:u w:val="none"/>
                <w:rtl/>
              </w:rPr>
              <w:t>פרק ב': פרשנות</w:t>
            </w:r>
          </w:p>
          <w:p w:rsidR="00000000" w:rsidRDefault="00F37340">
            <w:pPr>
              <w:rPr>
                <w:rFonts w:cs="David"/>
                <w:sz w:val="26"/>
                <w:szCs w:val="26"/>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הגדרות</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2.</w:t>
            </w:r>
          </w:p>
        </w:tc>
        <w:tc>
          <w:tcPr>
            <w:tcW w:w="7442" w:type="dxa"/>
            <w:gridSpan w:val="19"/>
            <w:tcBorders>
              <w:top w:val="nil"/>
              <w:left w:val="nil"/>
              <w:bottom w:val="nil"/>
              <w:right w:val="nil"/>
            </w:tcBorders>
          </w:tcPr>
          <w:p w:rsidR="00000000" w:rsidRDefault="00F37340">
            <w:pPr>
              <w:jc w:val="both"/>
              <w:rPr>
                <w:rFonts w:cs="David"/>
                <w:sz w:val="26"/>
                <w:szCs w:val="26"/>
                <w:rtl/>
              </w:rPr>
            </w:pPr>
            <w:r>
              <w:rPr>
                <w:rFonts w:cs="David"/>
                <w:sz w:val="26"/>
                <w:szCs w:val="26"/>
                <w:rtl/>
              </w:rPr>
              <w:t>בחוק זה –</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"אוכלוסיה רגישה" –  קטין, חסר ישע, חסוי, פסול דין, אשה בהריון וקבוצות אוכלוסיה נוספות שקבע השר בצו;</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"בית חולים"  – כמשמעותו בסעיף 24 לפקודת בריאות העם;</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"בן אדם" – לרבות עובר, נפטר או חלק מהם ולרבות המערך הגנ</w:t>
            </w:r>
            <w:r>
              <w:rPr>
                <w:rFonts w:cs="David"/>
                <w:sz w:val="26"/>
                <w:szCs w:val="26"/>
                <w:rtl/>
              </w:rPr>
              <w:t>טי של בן אדם;</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"הליכים קליניים נאותים" – נהלי עבודה ומתודולוגיה המיועדים להבטיח את שלומם וזכויותיהם של המשתתפים בניסוי רפואי בבני אדם, את איכות הניסוי ואת יעילותו, לפי כללים שיפרסם המנהל;</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"הצהרת הלסינקי" – ההצהרה בדבר המלצות המנחות רופאים במחקר ביו-</w:t>
            </w:r>
            <w:r>
              <w:rPr>
                <w:rFonts w:cs="David"/>
                <w:sz w:val="26"/>
                <w:szCs w:val="26"/>
                <w:rtl/>
              </w:rPr>
              <w:t>רפואי שכרוכים בו בני אדם, כפי שאומצה בעצרת הרפואית העולמית ה-18 שנערכה בהלסינקי, פינלנד בשנת 1964, כפי שעודכנו ויעודכנו מזמן לזמן וכפי שיפרסם השר בהודעה ברשומות;</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המדע והטכנולוגיה" – ועדת המדע והטכנולוגיה של הכנסת;</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 ועדת ני</w:t>
            </w:r>
            <w:r>
              <w:rPr>
                <w:rFonts w:cs="David"/>
                <w:sz w:val="26"/>
                <w:szCs w:val="26"/>
                <w:rtl/>
              </w:rPr>
              <w:t>סויי אנוש מוסדית או ועדת ניסויי אנוש מרכזית;</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מוסדית" – ועדה שמונתה לפי סעיף 15;</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מרכזית" – ועדה שמונתה לפי סעיף 18;</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trike/>
                <w:sz w:val="26"/>
                <w:szCs w:val="26"/>
                <w:rtl/>
              </w:rPr>
            </w:pPr>
            <w:r>
              <w:rPr>
                <w:rFonts w:cs="David"/>
                <w:sz w:val="26"/>
                <w:szCs w:val="26"/>
                <w:rtl/>
              </w:rPr>
              <w:t xml:space="preserve">"זיקה" – קשר שיש בו כדי לעורר חשש לקיום ניגוד ענינים או תלות; </w:t>
            </w:r>
          </w:p>
          <w:p w:rsidR="00000000" w:rsidRDefault="00F37340">
            <w:pPr>
              <w:jc w:val="both"/>
              <w:rPr>
                <w:rFonts w:cs="David"/>
                <w:sz w:val="26"/>
                <w:szCs w:val="26"/>
                <w:highlight w:val="yellow"/>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ascii="Courier New" w:cs="David"/>
                <w:sz w:val="26"/>
                <w:szCs w:val="26"/>
                <w:rtl/>
              </w:rPr>
            </w:pPr>
            <w:r>
              <w:rPr>
                <w:rFonts w:ascii="Courier New" w:cs="David"/>
                <w:sz w:val="26"/>
                <w:szCs w:val="26"/>
                <w:rtl/>
              </w:rPr>
              <w:t>"חוק זכויות החולה" – חוק ז</w:t>
            </w:r>
            <w:r>
              <w:rPr>
                <w:rFonts w:ascii="Courier New" w:cs="David"/>
                <w:sz w:val="26"/>
                <w:szCs w:val="26"/>
                <w:rtl/>
              </w:rPr>
              <w:t>כויות החולה, התשנ"ו–1996</w:t>
            </w:r>
            <w:r>
              <w:rPr>
                <w:rStyle w:val="aa"/>
                <w:rFonts w:ascii="Courier New" w:cs="Courier New"/>
                <w:sz w:val="26"/>
                <w:szCs w:val="26"/>
              </w:rPr>
              <w:footnoteReference w:id="1"/>
            </w:r>
            <w:r>
              <w:rPr>
                <w:rFonts w:ascii="Courier New" w:cs="David"/>
                <w:sz w:val="26"/>
                <w:szCs w:val="26"/>
                <w:rtl/>
              </w:rPr>
              <w:t>;</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"חוק מידע גנטי" – חוק מידע גנטי, התשס"א–2000</w:t>
            </w:r>
            <w:r>
              <w:rPr>
                <w:rStyle w:val="aa"/>
                <w:rFonts w:cs="David"/>
                <w:sz w:val="26"/>
                <w:szCs w:val="26"/>
              </w:rPr>
              <w:footnoteReference w:id="2"/>
            </w:r>
            <w:r>
              <w:rPr>
                <w:rFonts w:cs="David"/>
                <w:sz w:val="26"/>
                <w:szCs w:val="26"/>
                <w:rtl/>
              </w:rPr>
              <w:t>;</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"חוקר" – מי שלוקח חלק בביצוע ניסוי רפואי בבני אדם באתר הניסוי, וכפוף לחוקר הראשי בביצועו;</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"חוקר ראשי" – האחראי לעריכת ניסוי ר</w:t>
            </w:r>
            <w:r>
              <w:rPr>
                <w:rFonts w:cs="David"/>
                <w:sz w:val="26"/>
                <w:szCs w:val="26"/>
                <w:rtl/>
              </w:rPr>
              <w:t xml:space="preserve">פואי בבני אדם באתר הניסוי כמוגדר בפרוטוקול הניסוי; </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"יוזם" – אדם, לרבות תאגיד, או מוסד, האחראי לייזומו, לניהולו או למימונו של ניסוי רפואי בבני אדם; </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"מוסד" – מוסד רפואי או מוסד מחקר;</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"מוסד מחקר" – אוניברסיטה או מוסד מחקר אחר שאינו מוסד רפואי, ש</w:t>
            </w:r>
            <w:r>
              <w:rPr>
                <w:rFonts w:cs="David"/>
                <w:sz w:val="26"/>
                <w:szCs w:val="26"/>
                <w:rtl/>
              </w:rPr>
              <w:t>הכיר בהם המנהל לצורך עריכת ניסויים רפואיים בבני אדם, לפי כללים שקבע;</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"מוסד רפואי" – בית חולים או מרפאה, וכן מרפאה שאינה חייבת ברישוי לפי פקודת בריאות העם, לרבות לשכה פרטית של רופא או רופא שיניים;</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ascii="Courier New" w:cs="David"/>
                <w:sz w:val="26"/>
                <w:szCs w:val="26"/>
                <w:rtl/>
              </w:rPr>
              <w:t>"</w:t>
            </w:r>
            <w:r>
              <w:rPr>
                <w:rFonts w:cs="David"/>
                <w:sz w:val="26"/>
                <w:szCs w:val="26"/>
                <w:rtl/>
              </w:rPr>
              <w:t>מחקר" – חקירה שיטתית, לרבות מחקר ופיתוח, בדיקות והע</w:t>
            </w:r>
            <w:r>
              <w:rPr>
                <w:rFonts w:cs="David"/>
                <w:sz w:val="26"/>
                <w:szCs w:val="26"/>
                <w:rtl/>
              </w:rPr>
              <w:t>רכות, שמטרתה ליצור או לתרום לידע בן הכללה;</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ascii="Courier New" w:cs="David"/>
                <w:sz w:val="26"/>
                <w:szCs w:val="26"/>
                <w:rtl/>
              </w:rPr>
              <w:t>"</w:t>
            </w:r>
            <w:r>
              <w:rPr>
                <w:rFonts w:cs="David"/>
                <w:sz w:val="26"/>
                <w:szCs w:val="26"/>
                <w:rtl/>
              </w:rPr>
              <w:t>מחקר שמעורבים בו בני אדם" – מחקר שבו נאסף מידע תוך מעורבות של בן אדם או אינטראקציה עמו, למעט איסוף מידע בלתי מזוהה, סקר דעת קהל וסקר שביעות רצון;</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ascii="Courier New" w:cs="David"/>
                <w:sz w:val="26"/>
                <w:szCs w:val="26"/>
                <w:rtl/>
              </w:rPr>
            </w:pPr>
            <w:r>
              <w:rPr>
                <w:rFonts w:ascii="Courier New" w:cs="David"/>
                <w:sz w:val="26"/>
                <w:szCs w:val="26"/>
                <w:rtl/>
              </w:rPr>
              <w:t>"מטופל" – כהגדרתו בחוק זכויות החולה;</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"מידע גנטי" – כהג</w:t>
            </w:r>
            <w:r>
              <w:rPr>
                <w:rFonts w:cs="David"/>
                <w:sz w:val="26"/>
                <w:szCs w:val="26"/>
                <w:rtl/>
              </w:rPr>
              <w:t>דרתו בסעיף 2 לחוק מידע גנטי;</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"מידע רפואי" – כהגדרתו בסעיף 2 לחוק זכויות החולה;</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"המנהל" – המנהל הכללי של משרד הבריאות או מי שהוא מינה לענין חוק זה או חלק ממנו;</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"מנהל מוסד" – מנהל רפואי של מוסד רפואי או מנהל מקצועי של מוסד מחקר, לרבות ממלא מקומו;</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"מנטר" – אדם האחראי לביצוע ניטור במהלך ניסוי רפואי בבני אדם;</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ascii="Courier New" w:cs="David"/>
                <w:sz w:val="26"/>
                <w:szCs w:val="26"/>
                <w:rtl/>
              </w:rPr>
            </w:pPr>
            <w:r>
              <w:rPr>
                <w:rFonts w:ascii="Courier New" w:cs="David"/>
                <w:sz w:val="26"/>
                <w:szCs w:val="26"/>
                <w:rtl/>
              </w:rPr>
              <w:t>"מרפאה" – כמשמעותה בסעיף 34 לפקודת בריאות העם;</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"משתתף" – בן אדם שהוא נושא המחקר או שהוא מועמד להיות נושא המחקר, בניסוי רפואי בבני אדם;</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"נזק משמעותי" –  סכנה לחיים, פגיעה בלתי הפי</w:t>
            </w:r>
            <w:r>
              <w:rPr>
                <w:rFonts w:cs="David"/>
                <w:sz w:val="26"/>
                <w:szCs w:val="26"/>
                <w:rtl/>
              </w:rPr>
              <w:t>כה במבנה הגוף, תפקודו או מראהו, לרבות גרימת מום מולד, פגיעה המצריכה טיפול רפואי דחוף או ממושך או ניתוח, פגיעה נפשית וכל פגיעה אחרת שידוע שיש בה כדי לקצר את תוחלת חייו של אדם;</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"ניטור" – פעולת הבקרה של תהליכי ניסוי רפואי בבני אדם, הבאה להבטיח שביצועו ותי</w:t>
            </w:r>
            <w:r>
              <w:rPr>
                <w:rFonts w:cs="David"/>
                <w:sz w:val="26"/>
                <w:szCs w:val="26"/>
                <w:rtl/>
              </w:rPr>
              <w:t>עודו של הניסוי ואופן הדיווח עליו הם על פי פרוטוקול הניסוי, ההליכים הקליניים הנאותים ועל פי כל דין;</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"ניסוי בדרגת סיכון גבוהה" – ניסוי רפואי בבני אדם, שהוא אחד מאלה – </w:t>
            </w: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567" w:type="dxa"/>
            <w:gridSpan w:val="4"/>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(1)</w:t>
            </w:r>
          </w:p>
        </w:tc>
        <w:tc>
          <w:tcPr>
            <w:tcW w:w="6875" w:type="dxa"/>
            <w:gridSpan w:val="15"/>
            <w:tcBorders>
              <w:top w:val="nil"/>
              <w:left w:val="nil"/>
              <w:bottom w:val="nil"/>
              <w:right w:val="nil"/>
            </w:tcBorders>
          </w:tcPr>
          <w:p w:rsidR="00000000" w:rsidRDefault="00F37340">
            <w:pPr>
              <w:spacing w:line="360" w:lineRule="auto"/>
              <w:jc w:val="both"/>
              <w:rPr>
                <w:rFonts w:cs="David"/>
                <w:sz w:val="26"/>
                <w:szCs w:val="26"/>
              </w:rPr>
            </w:pPr>
            <w:r>
              <w:rPr>
                <w:rFonts w:cs="David"/>
                <w:sz w:val="26"/>
                <w:szCs w:val="26"/>
                <w:rtl/>
              </w:rPr>
              <w:t>ניסוי שלב 1, למעט בחומר ביו-אקוויוולנטי;</w:t>
            </w: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567"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(2)</w:t>
            </w:r>
          </w:p>
        </w:tc>
        <w:tc>
          <w:tcPr>
            <w:tcW w:w="6875" w:type="dxa"/>
            <w:gridSpan w:val="1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שרמת הסיכון למשתתף בו אינ</w:t>
            </w:r>
            <w:r>
              <w:rPr>
                <w:rFonts w:cs="David"/>
                <w:sz w:val="26"/>
                <w:szCs w:val="26"/>
                <w:rtl/>
              </w:rPr>
              <w:t>ה ניתנת לחיזוי;</w:t>
            </w: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567"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(3)</w:t>
            </w:r>
          </w:p>
        </w:tc>
        <w:tc>
          <w:tcPr>
            <w:tcW w:w="6875" w:type="dxa"/>
            <w:gridSpan w:val="1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שיש בו הסתברות לנזק משמעותי למשתתף;</w:t>
            </w: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567"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(4)</w:t>
            </w:r>
          </w:p>
        </w:tc>
        <w:tc>
          <w:tcPr>
            <w:tcW w:w="6875" w:type="dxa"/>
            <w:gridSpan w:val="1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שנעשה בו שימוש במישתל או במיכשור מקיים חיים או תומך בחיים;</w:t>
            </w: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567"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(5)</w:t>
            </w:r>
          </w:p>
        </w:tc>
        <w:tc>
          <w:tcPr>
            <w:tcW w:w="6875" w:type="dxa"/>
            <w:gridSpan w:val="1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שמטרתו לגרום לשינוי בתבנית הגנום האנושי;</w:t>
            </w:r>
          </w:p>
          <w:p w:rsidR="00000000" w:rsidRDefault="00F37340">
            <w:pPr>
              <w:spacing w:line="360" w:lineRule="auto"/>
              <w:jc w:val="both"/>
              <w:rPr>
                <w:rFonts w:cs="David"/>
                <w:sz w:val="26"/>
                <w:szCs w:val="26"/>
                <w:rtl/>
              </w:rPr>
            </w:pP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ascii="Courier New" w:cs="David"/>
                <w:sz w:val="26"/>
                <w:szCs w:val="26"/>
                <w:rtl/>
              </w:rPr>
              <w:t>"</w:t>
            </w:r>
            <w:r>
              <w:rPr>
                <w:rFonts w:cs="David"/>
                <w:sz w:val="26"/>
                <w:szCs w:val="26"/>
                <w:rtl/>
              </w:rPr>
              <w:t>ניסוי גנטי בבני אדם" – ניסוי רפואי בבני אדם שיש בו אחד מאלה:</w:t>
            </w:r>
          </w:p>
          <w:p w:rsidR="00000000" w:rsidRDefault="00F37340">
            <w:pPr>
              <w:spacing w:line="360" w:lineRule="auto"/>
              <w:jc w:val="both"/>
              <w:rPr>
                <w:rFonts w:cs="David"/>
                <w:sz w:val="26"/>
                <w:szCs w:val="26"/>
              </w:rPr>
            </w:pPr>
            <w:r>
              <w:rPr>
                <w:rFonts w:cs="David"/>
                <w:sz w:val="26"/>
                <w:szCs w:val="26"/>
                <w:rtl/>
              </w:rPr>
              <w:t>(1)     בדיקה מזוהה של המערך הגנטי או חלק ממנו;</w:t>
            </w:r>
          </w:p>
          <w:p w:rsidR="00000000" w:rsidRDefault="00F37340">
            <w:pPr>
              <w:spacing w:line="360" w:lineRule="auto"/>
              <w:ind w:left="567" w:hanging="567"/>
              <w:jc w:val="both"/>
              <w:rPr>
                <w:rFonts w:cs="David"/>
                <w:sz w:val="26"/>
                <w:szCs w:val="26"/>
                <w:rtl/>
              </w:rPr>
            </w:pPr>
            <w:r>
              <w:rPr>
                <w:rFonts w:cs="David"/>
                <w:sz w:val="26"/>
                <w:szCs w:val="26"/>
                <w:rtl/>
              </w:rPr>
              <w:t>(2)</w:t>
            </w:r>
            <w:r>
              <w:rPr>
                <w:rFonts w:cs="David"/>
                <w:sz w:val="26"/>
                <w:szCs w:val="26"/>
                <w:rtl/>
              </w:rPr>
              <w:tab/>
              <w:t>הכנסת שינויים במערך הגנטי לרבות העברת מטען גנטי, בין פרטים או בין מינים, בדרך מלאכותית;</w:t>
            </w:r>
          </w:p>
          <w:p w:rsidR="00000000" w:rsidRDefault="00F37340">
            <w:pPr>
              <w:jc w:val="both"/>
              <w:rPr>
                <w:rFonts w:cs="David"/>
                <w:sz w:val="26"/>
                <w:szCs w:val="26"/>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Pr>
            </w:pPr>
            <w:r>
              <w:rPr>
                <w:rFonts w:ascii="Courier New" w:cs="David"/>
                <w:sz w:val="26"/>
                <w:szCs w:val="26"/>
                <w:rtl/>
              </w:rPr>
              <w:t>"</w:t>
            </w:r>
            <w:r>
              <w:rPr>
                <w:rFonts w:cs="David"/>
                <w:sz w:val="26"/>
                <w:szCs w:val="26"/>
                <w:rtl/>
              </w:rPr>
              <w:t>ניסוי רפואי בבני אדם" – מחקר שמעורבים בו בני אדם ויש בו אחד מאלה:</w:t>
            </w:r>
          </w:p>
          <w:p w:rsidR="00000000" w:rsidRDefault="00F37340">
            <w:pPr>
              <w:spacing w:line="360" w:lineRule="auto"/>
              <w:ind w:left="567" w:hanging="567"/>
              <w:jc w:val="both"/>
              <w:rPr>
                <w:rFonts w:cs="David"/>
                <w:sz w:val="26"/>
                <w:szCs w:val="26"/>
                <w:rtl/>
              </w:rPr>
            </w:pPr>
            <w:r>
              <w:rPr>
                <w:rFonts w:cs="David"/>
                <w:sz w:val="26"/>
                <w:szCs w:val="26"/>
                <w:rtl/>
              </w:rPr>
              <w:t>(1)</w:t>
            </w:r>
            <w:r>
              <w:rPr>
                <w:rFonts w:cs="David"/>
                <w:sz w:val="26"/>
                <w:szCs w:val="26"/>
                <w:rtl/>
              </w:rPr>
              <w:tab/>
              <w:t>עשיית שימוש בתרופה, בחומר או בתכשיר כימי</w:t>
            </w:r>
            <w:r>
              <w:rPr>
                <w:rFonts w:cs="David"/>
                <w:sz w:val="26"/>
                <w:szCs w:val="26"/>
                <w:rtl/>
              </w:rPr>
              <w:t>, ביולוגי, רדיולוגי או פרמקולוגי, בקרינה או במכשיר או אביזר רפואי בניגוד לחיקוק או לאישור שניתן לאותו שימוש לפי חיקוק או כאשר השימוש אינו  שימוש רגיל או מקובל בישראל ויש בו, או שהוא מיועד, להשפיע על בריאותו, של אדם, גופו או נפשו;</w:t>
            </w:r>
          </w:p>
          <w:p w:rsidR="00000000" w:rsidRDefault="00F37340">
            <w:pPr>
              <w:spacing w:line="360" w:lineRule="auto"/>
              <w:ind w:left="567" w:hanging="567"/>
              <w:jc w:val="both"/>
              <w:rPr>
                <w:rFonts w:cs="David"/>
                <w:sz w:val="26"/>
                <w:szCs w:val="26"/>
                <w:rtl/>
              </w:rPr>
            </w:pPr>
            <w:r>
              <w:rPr>
                <w:rFonts w:cs="David"/>
                <w:sz w:val="26"/>
                <w:szCs w:val="26"/>
                <w:rtl/>
              </w:rPr>
              <w:t>(2)</w:t>
            </w:r>
            <w:r>
              <w:rPr>
                <w:rFonts w:cs="David"/>
                <w:sz w:val="26"/>
                <w:szCs w:val="26"/>
                <w:rtl/>
              </w:rPr>
              <w:tab/>
              <w:t>עשיית כל הליך, פעולה א</w:t>
            </w:r>
            <w:r>
              <w:rPr>
                <w:rFonts w:cs="David"/>
                <w:sz w:val="26"/>
                <w:szCs w:val="26"/>
                <w:rtl/>
              </w:rPr>
              <w:t xml:space="preserve">ו בדיקה שיש בהם, או שהם מיועדים, להשפיע על בריאותו של אדם, גופו או נפשו, שאינם  רגילים או מקובלים בישראל; </w:t>
            </w:r>
          </w:p>
          <w:p w:rsidR="00000000" w:rsidRDefault="00F37340">
            <w:pPr>
              <w:jc w:val="both"/>
              <w:rPr>
                <w:rFonts w:ascii="Courier New" w:cs="David"/>
                <w:sz w:val="26"/>
                <w:szCs w:val="26"/>
                <w:rtl/>
              </w:rPr>
            </w:pP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"ניסוי שלב 1" (1 </w:t>
            </w:r>
            <w:r>
              <w:rPr>
                <w:rFonts w:cs="David"/>
                <w:sz w:val="26"/>
                <w:szCs w:val="26"/>
              </w:rPr>
              <w:t>Phase</w:t>
            </w:r>
            <w:r>
              <w:rPr>
                <w:rFonts w:cs="David"/>
                <w:sz w:val="26"/>
                <w:szCs w:val="26"/>
                <w:rtl/>
              </w:rPr>
              <w:t>) – ניסוי רפואי בבני אדם שנעשה בו שימוש בחומר אשר טרם נוסה בבני אדם;</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"נציג" – הורה או אפוטרופוס;</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"פקודת בריאות העם</w:t>
            </w:r>
            <w:r>
              <w:rPr>
                <w:rFonts w:cs="David"/>
                <w:sz w:val="26"/>
                <w:szCs w:val="26"/>
                <w:rtl/>
              </w:rPr>
              <w:t>" – פקודת בריאות העם, 1940</w:t>
            </w:r>
            <w:r>
              <w:rPr>
                <w:rStyle w:val="aa"/>
                <w:rFonts w:cs="David"/>
                <w:sz w:val="26"/>
                <w:szCs w:val="26"/>
              </w:rPr>
              <w:footnoteReference w:id="3"/>
            </w:r>
            <w:r>
              <w:rPr>
                <w:rFonts w:cs="David"/>
                <w:sz w:val="26"/>
                <w:szCs w:val="26"/>
                <w:rtl/>
              </w:rPr>
              <w:t>;</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"פקודת הרופאים" – פקודת הרופאים [נוסח חדש], התשל"ז–1976</w:t>
            </w:r>
            <w:r>
              <w:rPr>
                <w:rStyle w:val="aa"/>
                <w:rFonts w:cs="David"/>
                <w:sz w:val="26"/>
                <w:szCs w:val="26"/>
              </w:rPr>
              <w:footnoteReference w:id="4"/>
            </w:r>
            <w:r>
              <w:rPr>
                <w:rFonts w:cs="David"/>
                <w:sz w:val="26"/>
                <w:szCs w:val="26"/>
                <w:rtl/>
              </w:rPr>
              <w:t>;</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"רופא" </w:t>
            </w:r>
            <w:r>
              <w:rPr>
                <w:rFonts w:cs="David"/>
                <w:sz w:val="26"/>
                <w:szCs w:val="26"/>
              </w:rPr>
              <w:t>–</w:t>
            </w:r>
            <w:r>
              <w:rPr>
                <w:rFonts w:cs="David"/>
                <w:sz w:val="26"/>
                <w:szCs w:val="26"/>
                <w:rtl/>
              </w:rPr>
              <w:t xml:space="preserve"> מי שמורשה לעסוק ברפואה לפי פקודת הרופאים;</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"רופא ראשי" – רו</w:t>
            </w:r>
            <w:r>
              <w:rPr>
                <w:rFonts w:cs="David"/>
                <w:sz w:val="26"/>
                <w:szCs w:val="26"/>
                <w:rtl/>
              </w:rPr>
              <w:t>פא בעל תואר מומחה, האחראי לעריכת ניסוי רפואי בבני אדם באתר הניסוי כמוגדר בפרוטוקול הניסוי, ויכול שיהיה גם החוקר הראשי;</w:t>
            </w:r>
          </w:p>
          <w:p w:rsidR="00000000" w:rsidRDefault="00F37340">
            <w:pPr>
              <w:jc w:val="both"/>
              <w:rPr>
                <w:rFonts w:cs="David"/>
                <w:sz w:val="26"/>
                <w:szCs w:val="26"/>
                <w:rtl/>
              </w:rPr>
            </w:pPr>
            <w:r>
              <w:rPr>
                <w:rFonts w:cs="David"/>
                <w:sz w:val="26"/>
                <w:szCs w:val="26"/>
                <w:rtl/>
              </w:rPr>
              <w:t xml:space="preserve"> </w:t>
            </w:r>
          </w:p>
        </w:tc>
      </w:tr>
      <w:tr w:rsidR="00000000">
        <w:tblPrEx>
          <w:tblCellMar>
            <w:top w:w="0" w:type="dxa"/>
            <w:left w:w="108" w:type="dxa"/>
            <w:bottom w:w="0" w:type="dxa"/>
            <w:right w:w="108"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"השר" – שר הבריאות.</w:t>
            </w:r>
          </w:p>
          <w:p w:rsidR="00000000" w:rsidRDefault="00F37340">
            <w:pPr>
              <w:jc w:val="both"/>
              <w:rPr>
                <w:rFonts w:cs="David"/>
                <w:sz w:val="26"/>
                <w:szCs w:val="26"/>
                <w:rtl/>
              </w:rPr>
            </w:pPr>
          </w:p>
        </w:tc>
      </w:tr>
      <w:tr w:rsidR="00000000">
        <w:tblPrEx>
          <w:tblCellMar>
            <w:top w:w="0" w:type="dxa"/>
            <w:left w:w="108" w:type="dxa"/>
            <w:bottom w:w="0" w:type="dxa"/>
            <w:right w:w="108" w:type="dxa"/>
          </w:tblCellMar>
        </w:tblPrEx>
        <w:trPr>
          <w:cantSplit/>
        </w:trPr>
        <w:tc>
          <w:tcPr>
            <w:tcW w:w="9182" w:type="dxa"/>
            <w:gridSpan w:val="23"/>
            <w:tcBorders>
              <w:top w:val="nil"/>
              <w:left w:val="nil"/>
              <w:bottom w:val="nil"/>
              <w:right w:val="nil"/>
            </w:tcBorders>
          </w:tcPr>
          <w:p w:rsidR="00000000" w:rsidRDefault="00F37340">
            <w:pPr>
              <w:jc w:val="center"/>
              <w:rPr>
                <w:rFonts w:cs="David"/>
                <w:sz w:val="26"/>
                <w:szCs w:val="26"/>
                <w:rtl/>
              </w:rPr>
            </w:pPr>
          </w:p>
          <w:p w:rsidR="00000000" w:rsidRDefault="00F37340">
            <w:pPr>
              <w:jc w:val="center"/>
              <w:rPr>
                <w:rFonts w:cs="David"/>
                <w:b/>
                <w:bCs/>
                <w:sz w:val="26"/>
                <w:szCs w:val="26"/>
                <w:rtl/>
              </w:rPr>
            </w:pPr>
            <w:r>
              <w:rPr>
                <w:rFonts w:cs="David"/>
                <w:b/>
                <w:bCs/>
                <w:sz w:val="26"/>
                <w:szCs w:val="26"/>
                <w:rtl/>
              </w:rPr>
              <w:t>פרק ג': עקרונות לקיום ניסוי רפואי בבני אדם</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שמירה  על כבוד האדם</w:t>
            </w:r>
          </w:p>
          <w:p w:rsidR="00000000" w:rsidRDefault="00F37340">
            <w:pPr>
              <w:rPr>
                <w:rFonts w:cs="David"/>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3.</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ניסוי רפואי בבני אדם יתבצע תוך שמירה על </w:t>
            </w:r>
            <w:r>
              <w:rPr>
                <w:rFonts w:cs="David"/>
                <w:sz w:val="26"/>
                <w:szCs w:val="26"/>
                <w:rtl/>
              </w:rPr>
              <w:t>כבוד האדם וחירותו, על פרטיותו, על בריאותו ועל זכויותיו על פי כל דין.</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הצהרת הלסינקי והליכים קליניים נאותים</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4.</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רפואי בבני אדם ייערך</w:t>
            </w:r>
            <w:r>
              <w:rPr>
                <w:rFonts w:cs="David"/>
                <w:b/>
                <w:bCs/>
                <w:sz w:val="26"/>
                <w:szCs w:val="26"/>
                <w:rtl/>
              </w:rPr>
              <w:t xml:space="preserve"> </w:t>
            </w:r>
            <w:r>
              <w:rPr>
                <w:rFonts w:cs="David"/>
                <w:sz w:val="26"/>
                <w:szCs w:val="26"/>
                <w:rtl/>
              </w:rPr>
              <w:t>ברוח הצהרת הלסינקי ובהתאם להליכים קליניים נאותים.</w:t>
            </w:r>
          </w:p>
        </w:tc>
      </w:tr>
      <w:tr w:rsidR="00000000">
        <w:tblPrEx>
          <w:tblCellMar>
            <w:top w:w="0" w:type="dxa"/>
            <w:bottom w:w="0" w:type="dxa"/>
          </w:tblCellMar>
        </w:tblPrEx>
        <w:trPr>
          <w:cantSplit/>
        </w:trPr>
        <w:tc>
          <w:tcPr>
            <w:tcW w:w="9182" w:type="dxa"/>
            <w:gridSpan w:val="23"/>
            <w:tcBorders>
              <w:top w:val="nil"/>
              <w:left w:val="nil"/>
              <w:bottom w:val="nil"/>
              <w:right w:val="nil"/>
            </w:tcBorders>
          </w:tcPr>
          <w:p w:rsidR="00000000" w:rsidRDefault="00F37340">
            <w:pPr>
              <w:jc w:val="center"/>
              <w:rPr>
                <w:rFonts w:cs="David"/>
                <w:sz w:val="26"/>
                <w:szCs w:val="26"/>
                <w:rtl/>
              </w:rPr>
            </w:pPr>
            <w:r>
              <w:rPr>
                <w:rFonts w:cs="David"/>
                <w:b/>
                <w:bCs/>
                <w:sz w:val="26"/>
                <w:szCs w:val="26"/>
                <w:rtl/>
              </w:rPr>
              <w:t>פרק ד': תנאים לעריכת ניסוי רפואי בבני אדם</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איסור ניסויים אלא לפי ה</w:t>
            </w:r>
            <w:r>
              <w:rPr>
                <w:rFonts w:cs="David"/>
                <w:sz w:val="26"/>
                <w:szCs w:val="26"/>
                <w:rtl/>
              </w:rPr>
              <w:t>חוק</w:t>
            </w:r>
          </w:p>
          <w:p w:rsidR="00000000" w:rsidRDefault="00F37340">
            <w:pPr>
              <w:rPr>
                <w:rFonts w:cs="David"/>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5.</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רפואי בבני אדם לא ייערך אלא לפי הוראות חוק זה והתקנות לפיו.</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הכרה במוסד</w:t>
            </w:r>
          </w:p>
          <w:p w:rsidR="00000000" w:rsidRDefault="00F37340">
            <w:pPr>
              <w:rPr>
                <w:rFonts w:cs="David"/>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6.</w:t>
            </w:r>
          </w:p>
        </w:tc>
        <w:tc>
          <w:tcPr>
            <w:tcW w:w="623"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ניסוי רפואי בבני אדם לא ייערך אלא במוסד רפואי או במוסד מחקר שהכיר בו המנהל לצורך עריכת ניסויים רפואיים בבני אדם, ובהתאם לתנאי ההכרה, ואשר מונתה ופועלת לגביו ועדת </w:t>
            </w:r>
            <w:r>
              <w:rPr>
                <w:rFonts w:cs="David"/>
                <w:sz w:val="26"/>
                <w:szCs w:val="26"/>
                <w:rtl/>
              </w:rPr>
              <w:t>ניסויי אנוש מוסדית.</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במתן הכרה למוסד רפואי או למוסד מחקר ובקביעת התנאים להכרה, יתחשב המנהל ביכולתו המקצועית של המוסד לבצע ניסויים רפואיים בבני אדם לפי הוראות חוק זה, וכן רשאי המנהל להתחשב בתנאי רישומו של מוסד רפואי לפי פקודת בריאות העם והתקנות לפיה.</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(ג)</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המנהל יקבע בתקנות כללים להכרה במוסד מחקר לענין סעיף זה.</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תנאים לביצוע ניסוי</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7.</w:t>
            </w:r>
          </w:p>
        </w:tc>
        <w:tc>
          <w:tcPr>
            <w:tcW w:w="623"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לא ייערך ניסוי רפואי בבני אדם במוסד שהוכר לפי סעיף 6, אלא אם כן אושר הניסוי הרפואי על ידי מנהל המוסד לאחר המלצת ועדת ניסויי אנוש מוסדית,  ובהתאם לכללים שנקבעו בתקנ</w:t>
            </w:r>
            <w:r>
              <w:rPr>
                <w:rFonts w:cs="David"/>
                <w:sz w:val="26"/>
                <w:szCs w:val="26"/>
                <w:rtl/>
              </w:rPr>
              <w:t>ות.</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819" w:type="dxa"/>
            <w:gridSpan w:val="13"/>
            <w:tcBorders>
              <w:top w:val="nil"/>
              <w:left w:val="nil"/>
              <w:bottom w:val="nil"/>
              <w:right w:val="nil"/>
            </w:tcBorders>
          </w:tcPr>
          <w:p w:rsidR="00000000" w:rsidRDefault="00F37340">
            <w:pPr>
              <w:spacing w:line="360" w:lineRule="auto"/>
              <w:jc w:val="both"/>
              <w:rPr>
                <w:rFonts w:cs="David"/>
                <w:strike/>
                <w:sz w:val="26"/>
                <w:szCs w:val="26"/>
                <w:rtl/>
              </w:rPr>
            </w:pPr>
            <w:r>
              <w:rPr>
                <w:rFonts w:cs="David"/>
                <w:sz w:val="26"/>
                <w:szCs w:val="26"/>
                <w:rtl/>
              </w:rPr>
              <w:t xml:space="preserve">ניסוי בדרגת סיכון גבוהה, טעון גם אישור המנהל לאחר המלצת ועדת ניסויי אנוש מרכזית. </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jc w:val="both"/>
              <w:rPr>
                <w:rFonts w:cs="David"/>
                <w:b/>
                <w:bCs/>
                <w:sz w:val="26"/>
                <w:szCs w:val="26"/>
                <w:rtl/>
              </w:rPr>
            </w:pPr>
          </w:p>
        </w:tc>
        <w:tc>
          <w:tcPr>
            <w:tcW w:w="593" w:type="dxa"/>
            <w:gridSpan w:val="2"/>
            <w:tcBorders>
              <w:top w:val="nil"/>
              <w:left w:val="nil"/>
              <w:bottom w:val="nil"/>
              <w:right w:val="nil"/>
            </w:tcBorders>
          </w:tcPr>
          <w:p w:rsidR="00000000" w:rsidRDefault="00F37340">
            <w:pPr>
              <w:jc w:val="both"/>
              <w:rPr>
                <w:rFonts w:cs="David"/>
                <w:sz w:val="26"/>
                <w:szCs w:val="26"/>
                <w:rtl/>
              </w:rPr>
            </w:pPr>
          </w:p>
        </w:tc>
        <w:tc>
          <w:tcPr>
            <w:tcW w:w="623"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(ג)</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בקשה לעריכת ניסוי רפואי בבני אדם תוגש לוועדת ניסויי אנוש מוסדית על ידי הרופא הראשי בניסוי, המועסק באותו מוסד. </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147" w:type="dxa"/>
            <w:gridSpan w:val="2"/>
            <w:vMerge w:val="restart"/>
            <w:tcBorders>
              <w:top w:val="nil"/>
              <w:left w:val="nil"/>
              <w:bottom w:val="nil"/>
              <w:right w:val="nil"/>
            </w:tcBorders>
          </w:tcPr>
          <w:p w:rsidR="00000000" w:rsidRDefault="00F37340">
            <w:pPr>
              <w:rPr>
                <w:rFonts w:cs="David"/>
                <w:sz w:val="26"/>
                <w:szCs w:val="26"/>
                <w:rtl/>
              </w:rPr>
            </w:pPr>
            <w:r>
              <w:rPr>
                <w:rFonts w:cs="David"/>
                <w:sz w:val="26"/>
                <w:szCs w:val="26"/>
                <w:rtl/>
              </w:rPr>
              <w:t>תנאים לאישור ניסוי</w:t>
            </w:r>
          </w:p>
          <w:p w:rsidR="00000000" w:rsidRDefault="00F37340">
            <w:pPr>
              <w:rPr>
                <w:rFonts w:cs="David"/>
                <w:sz w:val="26"/>
                <w:szCs w:val="26"/>
                <w:rtl/>
              </w:rPr>
            </w:pPr>
            <w:r>
              <w:rPr>
                <w:rFonts w:cs="David"/>
                <w:sz w:val="26"/>
                <w:szCs w:val="26"/>
                <w:rtl/>
              </w:rPr>
              <w:t>רפואי</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8.</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w:t>
            </w:r>
            <w:r>
              <w:rPr>
                <w:rFonts w:cs="David"/>
                <w:sz w:val="26"/>
                <w:szCs w:val="26"/>
                <w:rtl/>
              </w:rPr>
              <w:t>נוש לא תאשר עריכת ניסוי רפואי בבני אדם אלא אם כן שוכנעה, להנחת דעתה, כי מתקיימים כל התנאים שלהלן, ותנאים נוספים לפי שיקול  דעתה:</w:t>
            </w:r>
          </w:p>
          <w:p w:rsidR="00000000" w:rsidRDefault="00F37340">
            <w:pPr>
              <w:spacing w:line="360" w:lineRule="auto"/>
              <w:jc w:val="both"/>
              <w:rPr>
                <w:rFonts w:cs="David"/>
                <w:sz w:val="26"/>
                <w:szCs w:val="26"/>
                <w:rtl/>
              </w:rPr>
            </w:pPr>
          </w:p>
        </w:tc>
      </w:tr>
      <w:tr w:rsidR="00000000">
        <w:tblPrEx>
          <w:tblCellMar>
            <w:top w:w="0" w:type="dxa"/>
            <w:bottom w:w="0" w:type="dxa"/>
          </w:tblCellMar>
        </w:tblPrEx>
        <w:trPr>
          <w:cantSplit/>
        </w:trPr>
        <w:tc>
          <w:tcPr>
            <w:tcW w:w="1147" w:type="dxa"/>
            <w:gridSpan w:val="2"/>
            <w:vMerge/>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(1)</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היתרונות הצפויים למשתתף בניסוי או לחברה מצדיקים את הסיכון ואי הנוחות הכרוכים בניסוי למשתתף בו, וזאת תוך מתן עדיפות לעני</w:t>
            </w:r>
            <w:r>
              <w:rPr>
                <w:rFonts w:cs="David"/>
                <w:sz w:val="26"/>
                <w:szCs w:val="26"/>
                <w:rtl/>
              </w:rPr>
              <w:t>נו של המשתתף בניסוי על היתרונות הצפויים לחברה;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(2)</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המידע הרפואי והמדעי הקיים מצדיק את עריכת הניסוי הרפואי המבוקש;</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(3)</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הניסוי הרפואי מתוכנן בצורה מדעית, המאפשרת מענה לשאלה הנבדקת, ומתואר בצורה ברורה, מפורטת ומדוייקת בפרוטוקול הניסוי;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(4)</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הסיכון למש</w:t>
            </w:r>
            <w:r>
              <w:rPr>
                <w:rFonts w:cs="David"/>
                <w:sz w:val="26"/>
                <w:szCs w:val="26"/>
                <w:rtl/>
              </w:rPr>
              <w:t>תתף בניסוי הוא קטן ככל שניתן, תוך הקפדה על שימוש בשיטות מחקר נכונות, ושימוש, במידת האפשר, בחומרים שנוסו ובהליכים שבוצעו בבני אדם או בבעלי חיים;</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(5)</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המשתתפים בניסוי ייבחרו ללא הפליה ובהתאמה לכללי ההכללה ואי–ההכללה על פי פרוטוקול הניסוי;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(6)</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טופס הסכמה</w:t>
            </w:r>
            <w:r>
              <w:rPr>
                <w:rFonts w:cs="David"/>
                <w:sz w:val="26"/>
                <w:szCs w:val="26"/>
                <w:rtl/>
              </w:rPr>
              <w:t xml:space="preserve"> מדעת לניסוי כולל את כל המידע הנדרש כמפורט בחוק זה;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(7)</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תכנית הניסוי כוללת הוראות בדבר דרכי השמירה על פרטיות המשתתפים וסודיות המידע שנאסף;</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(8)</w:t>
            </w:r>
          </w:p>
        </w:tc>
        <w:tc>
          <w:tcPr>
            <w:tcW w:w="6819" w:type="dxa"/>
            <w:gridSpan w:val="13"/>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בתכנית הניסוי קיים מנגנון מסודר לניטור הניסוי ולהפסקתו במקרה הצורך;</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(9)</w:t>
            </w:r>
          </w:p>
        </w:tc>
        <w:tc>
          <w:tcPr>
            <w:tcW w:w="6819" w:type="dxa"/>
            <w:gridSpan w:val="13"/>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הובטח על ידי יוזם הניסוי כיסוי ב</w:t>
            </w:r>
            <w:r>
              <w:rPr>
                <w:rFonts w:cs="David"/>
                <w:i/>
                <w:sz w:val="26"/>
                <w:szCs w:val="26"/>
                <w:rtl/>
              </w:rPr>
              <w:t>יטוחי הולם למשתתפים בו לפי כללים שקבע המנהל;</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(10)</w:t>
            </w:r>
          </w:p>
        </w:tc>
        <w:tc>
          <w:tcPr>
            <w:tcW w:w="6819" w:type="dxa"/>
            <w:gridSpan w:val="13"/>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היוזם, המוסד והחוקר הראשי מסוגלים ומתחייבים להקצות את המשאבים הנדרשים לביצוע נאות של הניסוי, לרבות מוצר המחקר, כוח אדם מיומן וציוד נדרש;</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(11)</w:t>
            </w:r>
          </w:p>
        </w:tc>
        <w:tc>
          <w:tcPr>
            <w:tcW w:w="6819" w:type="dxa"/>
            <w:gridSpan w:val="13"/>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אין באופי ההתקשרות המסחרית עם החוקר ועם המוסד שבו נערך הני</w:t>
            </w:r>
            <w:r>
              <w:rPr>
                <w:rFonts w:cs="David"/>
                <w:i/>
                <w:sz w:val="26"/>
                <w:szCs w:val="26"/>
                <w:rtl/>
              </w:rPr>
              <w:t>סוי כדי לפגוע בביצוע הולם של הניסוי, או בזכויות המשתתפים בניסוי;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rPr>
                <w:rFonts w:cs="David"/>
                <w:sz w:val="26"/>
                <w:szCs w:val="26"/>
                <w:rtl/>
              </w:rPr>
            </w:pPr>
            <w:r>
              <w:rPr>
                <w:rFonts w:cs="David"/>
                <w:sz w:val="26"/>
                <w:szCs w:val="26"/>
                <w:rtl/>
              </w:rPr>
              <w:t>(12)</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אם המשתתפים בניסוי, כולם או חלקם, עלולים להיות חשופים ללחץ או להשפעה בלתי הוגנים להשתתף בניסוי, ננקטו אמצעים מתאימים כדי למנוע לחץ או למזער השפעה כאמור.</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ביצוע ניסוי רפואי</w:t>
            </w:r>
          </w:p>
          <w:p w:rsidR="00000000" w:rsidRDefault="00F37340">
            <w:pPr>
              <w:rPr>
                <w:rFonts w:cs="David"/>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9.</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ניסוי </w:t>
            </w:r>
            <w:r>
              <w:rPr>
                <w:rFonts w:cs="David"/>
                <w:sz w:val="26"/>
                <w:szCs w:val="26"/>
                <w:rtl/>
              </w:rPr>
              <w:t xml:space="preserve">רפואי בבני אדם ייערך תוך הקפדה על הקבוע בפרוטוקול הניסוי כפי שאושר על ידי ועדת ניסויי אנוש, ובהתאם לתנאי האישור.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מיומנות חוקר</w:t>
            </w:r>
          </w:p>
          <w:p w:rsidR="00000000" w:rsidRDefault="00F37340">
            <w:pPr>
              <w:rPr>
                <w:rFonts w:cs="David"/>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10.</w:t>
            </w:r>
          </w:p>
        </w:tc>
        <w:tc>
          <w:tcPr>
            <w:tcW w:w="7442" w:type="dxa"/>
            <w:gridSpan w:val="19"/>
            <w:tcBorders>
              <w:top w:val="nil"/>
              <w:left w:val="nil"/>
              <w:bottom w:val="nil"/>
              <w:right w:val="nil"/>
            </w:tcBorders>
          </w:tcPr>
          <w:p w:rsidR="00000000" w:rsidRDefault="00F37340">
            <w:pPr>
              <w:pStyle w:val="31"/>
              <w:spacing w:line="360" w:lineRule="auto"/>
              <w:rPr>
                <w:rFonts w:cs="David"/>
                <w:rtl/>
              </w:rPr>
            </w:pPr>
            <w:r>
              <w:rPr>
                <w:rFonts w:cs="David"/>
                <w:rtl/>
              </w:rPr>
              <w:t>חוקר המשתתף בניסוי רפואי בבני אדם יהיה בעל המיומנות והניסיון בתחומו, לעריכת חלקו באותו ניסוי.</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sz w:val="26"/>
                <w:szCs w:val="26"/>
              </w:rPr>
            </w:pPr>
            <w:r>
              <w:rPr>
                <w:rFonts w:cs="David"/>
                <w:sz w:val="26"/>
                <w:szCs w:val="26"/>
                <w:rtl/>
              </w:rPr>
              <w:t>שמירת נתונים, דיווח וניטור</w:t>
            </w:r>
          </w:p>
        </w:tc>
        <w:tc>
          <w:tcPr>
            <w:tcW w:w="593" w:type="dxa"/>
            <w:gridSpan w:val="2"/>
            <w:tcBorders>
              <w:top w:val="nil"/>
              <w:left w:val="nil"/>
              <w:bottom w:val="nil"/>
              <w:right w:val="nil"/>
            </w:tcBorders>
          </w:tcPr>
          <w:p w:rsidR="00000000" w:rsidRDefault="00F37340">
            <w:pPr>
              <w:rPr>
                <w:rFonts w:cs="David"/>
                <w:sz w:val="26"/>
                <w:szCs w:val="26"/>
              </w:rPr>
            </w:pPr>
            <w:r>
              <w:rPr>
                <w:rFonts w:cs="David"/>
                <w:sz w:val="26"/>
                <w:szCs w:val="26"/>
                <w:rtl/>
              </w:rPr>
              <w:t>11.</w:t>
            </w:r>
          </w:p>
        </w:tc>
        <w:tc>
          <w:tcPr>
            <w:tcW w:w="593" w:type="dxa"/>
            <w:gridSpan w:val="5"/>
            <w:tcBorders>
              <w:top w:val="nil"/>
              <w:left w:val="nil"/>
              <w:bottom w:val="nil"/>
              <w:right w:val="nil"/>
            </w:tcBorders>
          </w:tcPr>
          <w:p w:rsidR="00000000" w:rsidRDefault="00F37340">
            <w:pPr>
              <w:spacing w:line="360" w:lineRule="auto"/>
              <w:jc w:val="both"/>
              <w:rPr>
                <w:rFonts w:cs="David"/>
                <w:b/>
                <w:i/>
                <w:sz w:val="26"/>
                <w:szCs w:val="26"/>
              </w:rPr>
            </w:pPr>
            <w:r>
              <w:rPr>
                <w:rFonts w:cs="David"/>
                <w:b/>
                <w:i/>
                <w:sz w:val="26"/>
                <w:szCs w:val="26"/>
                <w:rtl/>
              </w:rPr>
              <w:t>(א)</w:t>
            </w:r>
          </w:p>
        </w:tc>
        <w:tc>
          <w:tcPr>
            <w:tcW w:w="6849" w:type="dxa"/>
            <w:gridSpan w:val="14"/>
            <w:tcBorders>
              <w:top w:val="nil"/>
              <w:left w:val="nil"/>
              <w:bottom w:val="nil"/>
              <w:right w:val="nil"/>
            </w:tcBorders>
          </w:tcPr>
          <w:p w:rsidR="00000000" w:rsidRDefault="00F37340">
            <w:pPr>
              <w:spacing w:line="360" w:lineRule="auto"/>
              <w:jc w:val="both"/>
              <w:rPr>
                <w:rFonts w:cs="David"/>
                <w:b/>
                <w:i/>
                <w:sz w:val="26"/>
                <w:szCs w:val="26"/>
                <w:rtl/>
              </w:rPr>
            </w:pPr>
            <w:r>
              <w:rPr>
                <w:rFonts w:cs="David"/>
                <w:sz w:val="26"/>
                <w:szCs w:val="26"/>
                <w:rtl/>
              </w:rPr>
              <w:t>כל מידע הנוגע לניסוי רפואי בבני אדם יירשם, יטופל, יישמר ויאוחסן באופן שיאפשר ניתוח המידע, אימותו, ודיווח מדויק עליו, לפי הצורך; היוזם והחוקר הראשי יהיו אחראים לשמירת המידע האמור לתקופה כפי שיקבע השר</w:t>
            </w:r>
            <w:r>
              <w:rPr>
                <w:rFonts w:cs="David"/>
                <w:b/>
                <w:i/>
                <w:sz w:val="26"/>
                <w:szCs w:val="26"/>
                <w:rtl/>
              </w:rPr>
              <w:t>.</w:t>
            </w:r>
          </w:p>
          <w:p w:rsidR="00000000" w:rsidRDefault="00F37340">
            <w:pPr>
              <w:jc w:val="both"/>
              <w:rPr>
                <w:rFonts w:cs="David"/>
                <w:sz w:val="26"/>
                <w:szCs w:val="26"/>
              </w:rPr>
            </w:pP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sz w:val="26"/>
                <w:szCs w:val="26"/>
              </w:rPr>
            </w:pPr>
          </w:p>
        </w:tc>
        <w:tc>
          <w:tcPr>
            <w:tcW w:w="593" w:type="dxa"/>
            <w:gridSpan w:val="2"/>
            <w:tcBorders>
              <w:top w:val="nil"/>
              <w:left w:val="nil"/>
              <w:bottom w:val="nil"/>
              <w:right w:val="nil"/>
            </w:tcBorders>
          </w:tcPr>
          <w:p w:rsidR="00000000" w:rsidRDefault="00F37340">
            <w:pPr>
              <w:rPr>
                <w:rFonts w:cs="David"/>
                <w:sz w:val="26"/>
                <w:szCs w:val="26"/>
              </w:rPr>
            </w:pPr>
          </w:p>
        </w:tc>
        <w:tc>
          <w:tcPr>
            <w:tcW w:w="593" w:type="dxa"/>
            <w:gridSpan w:val="5"/>
            <w:tcBorders>
              <w:top w:val="nil"/>
              <w:left w:val="nil"/>
              <w:bottom w:val="nil"/>
              <w:right w:val="nil"/>
            </w:tcBorders>
          </w:tcPr>
          <w:p w:rsidR="00000000" w:rsidRDefault="00F37340">
            <w:pPr>
              <w:spacing w:line="360" w:lineRule="auto"/>
              <w:jc w:val="both"/>
              <w:rPr>
                <w:rFonts w:cs="David"/>
                <w:sz w:val="26"/>
                <w:szCs w:val="26"/>
              </w:rPr>
            </w:pPr>
            <w:r>
              <w:rPr>
                <w:rFonts w:cs="David"/>
                <w:sz w:val="26"/>
                <w:szCs w:val="26"/>
                <w:rtl/>
              </w:rPr>
              <w:t>(ב)</w:t>
            </w:r>
          </w:p>
        </w:tc>
        <w:tc>
          <w:tcPr>
            <w:tcW w:w="6849" w:type="dxa"/>
            <w:gridSpan w:val="1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מוסד, חוקר ראשי, חוקר, וכל מי שנוטל חלק </w:t>
            </w:r>
            <w:r>
              <w:rPr>
                <w:rFonts w:cs="David"/>
                <w:sz w:val="26"/>
                <w:szCs w:val="26"/>
                <w:rtl/>
              </w:rPr>
              <w:t>פעיל בעריכת ניסוי רפואי, יסייעו באופן סביר למנטר הניסוי ויאפשרו לו גישה לכל מידע הנחוץ לו על מנת להבטיח כי הניטור יעשה בצורה מלאה, במועד, ובהתאם להליכים קליניים נאותים.</w:t>
            </w:r>
          </w:p>
          <w:p w:rsidR="00000000" w:rsidRDefault="00F37340">
            <w:pPr>
              <w:spacing w:line="360" w:lineRule="auto"/>
              <w:jc w:val="both"/>
              <w:rPr>
                <w:rFonts w:cs="David"/>
                <w:sz w:val="26"/>
                <w:szCs w:val="26"/>
              </w:rPr>
            </w:pPr>
            <w:r>
              <w:rPr>
                <w:rFonts w:cs="David"/>
                <w:sz w:val="26"/>
                <w:szCs w:val="26"/>
                <w:rtl/>
              </w:rPr>
              <w:t xml:space="preserve">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סודיות</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12.</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כל מידע הנוגע לניסוי רפואי בבני אדם, שיש בו כדי להביא לחשיפת זהותו או פרט</w:t>
            </w:r>
            <w:r>
              <w:rPr>
                <w:rFonts w:cs="David"/>
                <w:sz w:val="26"/>
                <w:szCs w:val="26"/>
                <w:rtl/>
              </w:rPr>
              <w:t>ים על מצבו הרפואי של משתתף בניסוי, יישמר בסודיות בהתאם להוראות כל דין,  ויחולו עליו הוראות סעיפים 18(א) ו–19 לחוק זכויות החולה, בשינויים המחויבים; מידע גנטי יישמר לפי הוראות חוק מידע גנטי.</w:t>
            </w:r>
          </w:p>
          <w:p w:rsidR="00000000" w:rsidRDefault="00F37340">
            <w:pPr>
              <w:spacing w:line="360" w:lineRule="auto"/>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קביעת ניסוי גנטי</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13.</w:t>
            </w:r>
          </w:p>
        </w:tc>
        <w:tc>
          <w:tcPr>
            <w:tcW w:w="623"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(א)</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כל פעולה המבוצעת במערך הגנטי של בן אדם, </w:t>
            </w:r>
            <w:r>
              <w:rPr>
                <w:rFonts w:cs="David"/>
                <w:sz w:val="26"/>
                <w:szCs w:val="26"/>
                <w:rtl/>
              </w:rPr>
              <w:t xml:space="preserve">שיש ספק לגבי היותה מקובלת בישראל,  תוגש לבדיקת ועדת ניסויי אנוש מוסדית. </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623"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מוסדית תקבע, בהתאם לכללים שיקבעו בתקנות, אחד מאלה:</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spacing w:line="360" w:lineRule="auto"/>
              <w:jc w:val="both"/>
              <w:rPr>
                <w:rFonts w:cs="David"/>
                <w:b/>
                <w:bCs/>
                <w:sz w:val="26"/>
                <w:szCs w:val="26"/>
                <w:rtl/>
              </w:rPr>
            </w:pPr>
          </w:p>
        </w:tc>
        <w:tc>
          <w:tcPr>
            <w:tcW w:w="573" w:type="dxa"/>
            <w:gridSpan w:val="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(1)</w:t>
            </w:r>
          </w:p>
        </w:tc>
        <w:tc>
          <w:tcPr>
            <w:tcW w:w="6246"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 הפעולה מקובלת,  ולא חלות עליה הוראות חוק זה;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spacing w:line="360" w:lineRule="auto"/>
              <w:jc w:val="both"/>
              <w:rPr>
                <w:rFonts w:cs="David"/>
                <w:b/>
                <w:bCs/>
                <w:sz w:val="26"/>
                <w:szCs w:val="26"/>
                <w:rtl/>
              </w:rPr>
            </w:pPr>
          </w:p>
        </w:tc>
        <w:tc>
          <w:tcPr>
            <w:tcW w:w="573" w:type="dxa"/>
            <w:gridSpan w:val="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(2)</w:t>
            </w:r>
          </w:p>
        </w:tc>
        <w:tc>
          <w:tcPr>
            <w:tcW w:w="6246"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ניתן לאשר את הפעולה לשימוש במוסד בתנאים ובמג</w:t>
            </w:r>
            <w:r>
              <w:rPr>
                <w:rFonts w:cs="David"/>
                <w:sz w:val="26"/>
                <w:szCs w:val="26"/>
                <w:rtl/>
              </w:rPr>
              <w:t>בלות שתקבע;</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spacing w:line="360" w:lineRule="auto"/>
              <w:jc w:val="both"/>
              <w:rPr>
                <w:rFonts w:cs="David"/>
                <w:b/>
                <w:bCs/>
                <w:sz w:val="26"/>
                <w:szCs w:val="26"/>
                <w:rtl/>
              </w:rPr>
            </w:pPr>
          </w:p>
        </w:tc>
        <w:tc>
          <w:tcPr>
            <w:tcW w:w="573" w:type="dxa"/>
            <w:gridSpan w:val="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(3)</w:t>
            </w:r>
          </w:p>
        </w:tc>
        <w:tc>
          <w:tcPr>
            <w:tcW w:w="6246"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הפעולה היא ניסוי גנטי בבני אדם, וחלות עליה הוראות חוק זה.</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623"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(ג)</w:t>
            </w:r>
          </w:p>
        </w:tc>
        <w:tc>
          <w:tcPr>
            <w:tcW w:w="6819" w:type="dxa"/>
            <w:gridSpan w:val="1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מוסדית תדווח על החלטותיה בעניין זה לוועדת ניסויי  אנוש המרכזית לגנטיקה.</w:t>
            </w:r>
          </w:p>
          <w:p w:rsidR="00000000" w:rsidRDefault="00F37340">
            <w:pPr>
              <w:jc w:val="both"/>
              <w:rPr>
                <w:rFonts w:cs="David"/>
                <w:sz w:val="26"/>
                <w:szCs w:val="26"/>
                <w:rtl/>
              </w:rPr>
            </w:pPr>
          </w:p>
        </w:tc>
      </w:tr>
      <w:tr w:rsidR="00000000">
        <w:tblPrEx>
          <w:tblCellMar>
            <w:top w:w="0" w:type="dxa"/>
            <w:bottom w:w="0" w:type="dxa"/>
          </w:tblCellMar>
        </w:tblPrEx>
        <w:trPr>
          <w:gridBefore w:val="1"/>
          <w:cantSplit/>
        </w:trPr>
        <w:tc>
          <w:tcPr>
            <w:tcW w:w="1147" w:type="dxa"/>
            <w:gridSpan w:val="19"/>
            <w:vMerge w:val="restart"/>
            <w:tcBorders>
              <w:top w:val="nil"/>
              <w:left w:val="nil"/>
              <w:bottom w:val="nil"/>
              <w:right w:val="nil"/>
            </w:tcBorders>
          </w:tcPr>
          <w:p w:rsidR="00000000" w:rsidRDefault="00F37340">
            <w:pPr>
              <w:rPr>
                <w:rFonts w:cs="David"/>
                <w:sz w:val="26"/>
                <w:szCs w:val="26"/>
                <w:rtl/>
              </w:rPr>
            </w:pPr>
            <w:r>
              <w:rPr>
                <w:rFonts w:cs="David"/>
                <w:sz w:val="26"/>
                <w:szCs w:val="26"/>
                <w:rtl/>
              </w:rPr>
              <w:t xml:space="preserve">מחקרים מחוץ למוסד </w:t>
            </w:r>
          </w:p>
          <w:p w:rsidR="00000000" w:rsidRDefault="00F37340">
            <w:pPr>
              <w:rPr>
                <w:rFonts w:cs="David"/>
                <w:sz w:val="26"/>
                <w:szCs w:val="26"/>
                <w:rtl/>
              </w:rPr>
            </w:pPr>
            <w:r>
              <w:rPr>
                <w:rFonts w:cs="David"/>
                <w:sz w:val="26"/>
                <w:szCs w:val="26"/>
                <w:rtl/>
              </w:rPr>
              <w:t>רפואי</w:t>
            </w:r>
          </w:p>
        </w:tc>
        <w:tc>
          <w:tcPr>
            <w:tcW w:w="593" w:type="dxa"/>
            <w:tcBorders>
              <w:top w:val="nil"/>
              <w:left w:val="nil"/>
              <w:bottom w:val="nil"/>
              <w:right w:val="nil"/>
            </w:tcBorders>
          </w:tcPr>
          <w:p w:rsidR="00000000" w:rsidRDefault="00F37340">
            <w:pPr>
              <w:rPr>
                <w:rFonts w:cs="David"/>
                <w:sz w:val="26"/>
                <w:szCs w:val="26"/>
                <w:rtl/>
              </w:rPr>
            </w:pPr>
            <w:r>
              <w:rPr>
                <w:rFonts w:cs="David"/>
                <w:sz w:val="26"/>
                <w:szCs w:val="26"/>
                <w:rtl/>
              </w:rPr>
              <w:t>14.</w:t>
            </w:r>
          </w:p>
        </w:tc>
        <w:tc>
          <w:tcPr>
            <w:tcW w:w="623" w:type="dxa"/>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807" w:type="dxa"/>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ניסוי רפואי בבני אדם אשר מבוקש לבצע במוסד מחקר</w:t>
            </w:r>
            <w:r>
              <w:rPr>
                <w:rFonts w:cs="David"/>
                <w:sz w:val="26"/>
                <w:szCs w:val="26"/>
                <w:rtl/>
              </w:rPr>
              <w:t xml:space="preserve"> יוגש לבדיקת ועדת ניסויי אנוש מוסדית.</w:t>
            </w:r>
          </w:p>
          <w:p w:rsidR="00000000" w:rsidRDefault="00F37340">
            <w:pPr>
              <w:jc w:val="both"/>
              <w:rPr>
                <w:rFonts w:cs="David"/>
                <w:sz w:val="26"/>
                <w:szCs w:val="26"/>
                <w:rtl/>
              </w:rPr>
            </w:pPr>
          </w:p>
        </w:tc>
      </w:tr>
      <w:tr w:rsidR="00000000">
        <w:tblPrEx>
          <w:tblCellMar>
            <w:top w:w="0" w:type="dxa"/>
            <w:bottom w:w="0" w:type="dxa"/>
          </w:tblCellMar>
        </w:tblPrEx>
        <w:trPr>
          <w:gridBefore w:val="1"/>
          <w:cantSplit/>
        </w:trPr>
        <w:tc>
          <w:tcPr>
            <w:tcW w:w="1147" w:type="dxa"/>
            <w:gridSpan w:val="19"/>
            <w:vMerge/>
            <w:tcBorders>
              <w:top w:val="nil"/>
              <w:left w:val="nil"/>
              <w:bottom w:val="nil"/>
              <w:right w:val="nil"/>
            </w:tcBorders>
          </w:tcPr>
          <w:p w:rsidR="00000000" w:rsidRDefault="00F37340">
            <w:pPr>
              <w:rPr>
                <w:rFonts w:cs="David"/>
                <w:b/>
                <w:bCs/>
                <w:sz w:val="26"/>
                <w:szCs w:val="26"/>
                <w:rtl/>
              </w:rPr>
            </w:pPr>
          </w:p>
        </w:tc>
        <w:tc>
          <w:tcPr>
            <w:tcW w:w="593" w:type="dxa"/>
            <w:tcBorders>
              <w:top w:val="nil"/>
              <w:left w:val="nil"/>
              <w:bottom w:val="nil"/>
              <w:right w:val="nil"/>
            </w:tcBorders>
          </w:tcPr>
          <w:p w:rsidR="00000000" w:rsidRDefault="00F37340">
            <w:pPr>
              <w:rPr>
                <w:rFonts w:cs="David"/>
                <w:sz w:val="26"/>
                <w:szCs w:val="26"/>
                <w:rtl/>
              </w:rPr>
            </w:pPr>
          </w:p>
        </w:tc>
        <w:tc>
          <w:tcPr>
            <w:tcW w:w="623" w:type="dxa"/>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807" w:type="dxa"/>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מוסדית תבחן את הבקשה ותקבע, בהתאם לכללים שקבע השר בתקנות, אם ביצוע הניסוי במוסד המחקר מותר על פי תנאי ההכרה שנקבעו לו על ידי המנהל בהתאם להוראות סעיף 6.</w:t>
            </w:r>
          </w:p>
          <w:p w:rsidR="00000000" w:rsidRDefault="00F37340">
            <w:pPr>
              <w:jc w:val="both"/>
              <w:rPr>
                <w:rFonts w:cs="David"/>
                <w:sz w:val="26"/>
                <w:szCs w:val="26"/>
                <w:rtl/>
              </w:rPr>
            </w:pPr>
          </w:p>
        </w:tc>
      </w:tr>
      <w:tr w:rsidR="00000000">
        <w:tblPrEx>
          <w:tblCellMar>
            <w:top w:w="0" w:type="dxa"/>
            <w:bottom w:w="0" w:type="dxa"/>
          </w:tblCellMar>
        </w:tblPrEx>
        <w:trPr>
          <w:gridBefore w:val="1"/>
        </w:trPr>
        <w:tc>
          <w:tcPr>
            <w:tcW w:w="1147" w:type="dxa"/>
            <w:gridSpan w:val="19"/>
            <w:tcBorders>
              <w:top w:val="nil"/>
              <w:left w:val="nil"/>
              <w:bottom w:val="nil"/>
              <w:right w:val="nil"/>
            </w:tcBorders>
          </w:tcPr>
          <w:p w:rsidR="00000000" w:rsidRDefault="00F37340">
            <w:pPr>
              <w:rPr>
                <w:rFonts w:cs="David"/>
                <w:b/>
                <w:bCs/>
                <w:sz w:val="26"/>
                <w:szCs w:val="26"/>
                <w:rtl/>
              </w:rPr>
            </w:pPr>
          </w:p>
        </w:tc>
        <w:tc>
          <w:tcPr>
            <w:tcW w:w="593" w:type="dxa"/>
            <w:tcBorders>
              <w:top w:val="nil"/>
              <w:left w:val="nil"/>
              <w:bottom w:val="nil"/>
              <w:right w:val="nil"/>
            </w:tcBorders>
          </w:tcPr>
          <w:p w:rsidR="00000000" w:rsidRDefault="00F37340">
            <w:pPr>
              <w:rPr>
                <w:rFonts w:cs="David"/>
                <w:sz w:val="26"/>
                <w:szCs w:val="26"/>
                <w:rtl/>
              </w:rPr>
            </w:pPr>
          </w:p>
        </w:tc>
        <w:tc>
          <w:tcPr>
            <w:tcW w:w="623" w:type="dxa"/>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(ג)</w:t>
            </w:r>
          </w:p>
        </w:tc>
        <w:tc>
          <w:tcPr>
            <w:tcW w:w="6807" w:type="dxa"/>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קבעה הוועדה כי הניסוי הוא מן הסו</w:t>
            </w:r>
            <w:r>
              <w:rPr>
                <w:rFonts w:cs="David"/>
                <w:sz w:val="26"/>
                <w:szCs w:val="26"/>
                <w:rtl/>
              </w:rPr>
              <w:t>ג המותר לעריכה באותו מוסד – תדון בו לפי הוראות פרק ה'.</w:t>
            </w:r>
          </w:p>
          <w:p w:rsidR="00000000" w:rsidRDefault="00F37340">
            <w:pPr>
              <w:jc w:val="both"/>
              <w:rPr>
                <w:rFonts w:cs="David"/>
                <w:sz w:val="26"/>
                <w:szCs w:val="26"/>
                <w:rtl/>
              </w:rPr>
            </w:pPr>
          </w:p>
        </w:tc>
      </w:tr>
      <w:tr w:rsidR="00000000">
        <w:tblPrEx>
          <w:tblCellMar>
            <w:top w:w="0" w:type="dxa"/>
            <w:bottom w:w="0" w:type="dxa"/>
          </w:tblCellMar>
        </w:tblPrEx>
        <w:trPr>
          <w:gridBefore w:val="1"/>
        </w:trPr>
        <w:tc>
          <w:tcPr>
            <w:tcW w:w="1147" w:type="dxa"/>
            <w:gridSpan w:val="19"/>
            <w:tcBorders>
              <w:top w:val="nil"/>
              <w:left w:val="nil"/>
              <w:bottom w:val="nil"/>
              <w:right w:val="nil"/>
            </w:tcBorders>
          </w:tcPr>
          <w:p w:rsidR="00000000" w:rsidRDefault="00F37340">
            <w:pPr>
              <w:rPr>
                <w:rFonts w:cs="David"/>
                <w:b/>
                <w:bCs/>
                <w:sz w:val="26"/>
                <w:szCs w:val="26"/>
                <w:rtl/>
              </w:rPr>
            </w:pPr>
          </w:p>
        </w:tc>
        <w:tc>
          <w:tcPr>
            <w:tcW w:w="593" w:type="dxa"/>
            <w:tcBorders>
              <w:top w:val="nil"/>
              <w:left w:val="nil"/>
              <w:bottom w:val="nil"/>
              <w:right w:val="nil"/>
            </w:tcBorders>
          </w:tcPr>
          <w:p w:rsidR="00000000" w:rsidRDefault="00F37340">
            <w:pPr>
              <w:rPr>
                <w:rFonts w:cs="David"/>
                <w:sz w:val="26"/>
                <w:szCs w:val="26"/>
                <w:rtl/>
              </w:rPr>
            </w:pPr>
          </w:p>
        </w:tc>
        <w:tc>
          <w:tcPr>
            <w:tcW w:w="623" w:type="dxa"/>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(ד)</w:t>
            </w:r>
          </w:p>
        </w:tc>
        <w:tc>
          <w:tcPr>
            <w:tcW w:w="6807" w:type="dxa"/>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מוסדית תדווח על החלטותיה בעניין זה לוועדת ניסויי אנוש מרכזית המתאימה, לפי הענין.</w:t>
            </w:r>
          </w:p>
          <w:p w:rsidR="00000000" w:rsidRDefault="00F37340">
            <w:pPr>
              <w:jc w:val="both"/>
              <w:rPr>
                <w:rFonts w:cs="David"/>
                <w:sz w:val="26"/>
                <w:szCs w:val="26"/>
                <w:rtl/>
              </w:rPr>
            </w:pPr>
          </w:p>
        </w:tc>
      </w:tr>
      <w:tr w:rsidR="00000000">
        <w:tblPrEx>
          <w:tblCellMar>
            <w:top w:w="0" w:type="dxa"/>
            <w:bottom w:w="0" w:type="dxa"/>
          </w:tblCellMar>
        </w:tblPrEx>
        <w:trPr>
          <w:gridBefore w:val="1"/>
          <w:cantSplit/>
        </w:trPr>
        <w:tc>
          <w:tcPr>
            <w:tcW w:w="9170" w:type="dxa"/>
            <w:gridSpan w:val="22"/>
            <w:tcBorders>
              <w:top w:val="nil"/>
              <w:left w:val="nil"/>
              <w:bottom w:val="nil"/>
              <w:right w:val="nil"/>
            </w:tcBorders>
          </w:tcPr>
          <w:p w:rsidR="00000000" w:rsidRDefault="00F37340">
            <w:pPr>
              <w:pStyle w:val="4"/>
              <w:rPr>
                <w:rFonts w:cs="David"/>
                <w:rtl/>
              </w:rPr>
            </w:pPr>
            <w:r>
              <w:rPr>
                <w:rFonts w:cs="David"/>
                <w:rtl/>
              </w:rPr>
              <w:t>פרק ה': ועדות ניסויי אנוש</w:t>
            </w:r>
          </w:p>
          <w:p w:rsidR="00000000" w:rsidRDefault="00F37340"/>
        </w:tc>
      </w:tr>
      <w:tr w:rsidR="00000000">
        <w:tblPrEx>
          <w:tblCellMar>
            <w:top w:w="0" w:type="dxa"/>
            <w:bottom w:w="0" w:type="dxa"/>
          </w:tblCellMar>
        </w:tblPrEx>
        <w:trPr>
          <w:gridBefore w:val="1"/>
          <w:cantSplit/>
        </w:trPr>
        <w:tc>
          <w:tcPr>
            <w:tcW w:w="9170" w:type="dxa"/>
            <w:gridSpan w:val="22"/>
            <w:tcBorders>
              <w:top w:val="nil"/>
              <w:left w:val="nil"/>
              <w:bottom w:val="nil"/>
              <w:right w:val="nil"/>
            </w:tcBorders>
          </w:tcPr>
          <w:p w:rsidR="00000000" w:rsidRDefault="00F37340">
            <w:pPr>
              <w:jc w:val="center"/>
              <w:rPr>
                <w:rFonts w:cs="David"/>
                <w:sz w:val="26"/>
                <w:szCs w:val="26"/>
                <w:rtl/>
              </w:rPr>
            </w:pPr>
            <w:r>
              <w:rPr>
                <w:rFonts w:cs="David"/>
                <w:b/>
                <w:bCs/>
                <w:sz w:val="26"/>
                <w:szCs w:val="26"/>
                <w:rtl/>
              </w:rPr>
              <w:t>סימן א' : ועדת ניסויי אנוש מוסדית</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הרכב</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15.</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מנהל מוסד רפואי או מ</w:t>
            </w:r>
            <w:r>
              <w:rPr>
                <w:rFonts w:cs="David"/>
                <w:sz w:val="26"/>
                <w:szCs w:val="26"/>
                <w:rtl/>
              </w:rPr>
              <w:t xml:space="preserve">וסד מחקר שהוכר על ידי המנהל לפי הוראות סעיף 6 ימנה ועדת ניסויי אנוש מוסדית, והרכבה טעון אישור המנהל; בוועדה יהיו בין חמישה לבין תשעה חברים, בהתאם למפורט להלן: </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(1)</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לפחות שני חברים יהיו רופאים מומחים ובעלי מיומנות ונסיון בניסויים רפואיים, ואחד מהם יהיה </w:t>
            </w:r>
            <w:r>
              <w:rPr>
                <w:rFonts w:cs="David"/>
                <w:sz w:val="26"/>
                <w:szCs w:val="26"/>
                <w:rtl/>
              </w:rPr>
              <w:t>יושב ראש הוועדה;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(2)</w:t>
            </w:r>
          </w:p>
        </w:tc>
        <w:tc>
          <w:tcPr>
            <w:tcW w:w="6654" w:type="dxa"/>
            <w:gridSpan w:val="12"/>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לפחות חבר אחד יהיה בעל ידע ונסיון בנושא אתיקה רפואית;</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(3)</w:t>
            </w:r>
          </w:p>
        </w:tc>
        <w:tc>
          <w:tcPr>
            <w:tcW w:w="6654" w:type="dxa"/>
            <w:gridSpan w:val="12"/>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לפחות חבר אחד יהיה משפטן, שאין לו זיקה למוסד או ליוזם;</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jc w:val="both"/>
              <w:rPr>
                <w:rFonts w:cs="David"/>
                <w:b/>
                <w:bCs/>
                <w:sz w:val="26"/>
                <w:szCs w:val="26"/>
                <w:rtl/>
              </w:rPr>
            </w:pPr>
          </w:p>
        </w:tc>
        <w:tc>
          <w:tcPr>
            <w:tcW w:w="593" w:type="dxa"/>
            <w:gridSpan w:val="2"/>
            <w:tcBorders>
              <w:top w:val="nil"/>
              <w:left w:val="nil"/>
              <w:bottom w:val="nil"/>
              <w:right w:val="nil"/>
            </w:tcBorders>
          </w:tcPr>
          <w:p w:rsidR="00000000" w:rsidRDefault="00F37340">
            <w:pPr>
              <w:jc w:val="both"/>
              <w:rPr>
                <w:rFonts w:cs="David"/>
                <w:sz w:val="26"/>
                <w:szCs w:val="26"/>
                <w:rtl/>
              </w:rPr>
            </w:pPr>
          </w:p>
        </w:tc>
        <w:tc>
          <w:tcPr>
            <w:tcW w:w="788" w:type="dxa"/>
            <w:gridSpan w:val="7"/>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(4)</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לפחות חבר אחד יהיה נציג ציבור, שאין לו זיקה למוסד או ליוזם ואינו רופא או משפטן;</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jc w:val="both"/>
              <w:rPr>
                <w:rFonts w:cs="David"/>
                <w:b/>
                <w:bCs/>
                <w:sz w:val="26"/>
                <w:szCs w:val="26"/>
                <w:rtl/>
              </w:rPr>
            </w:pPr>
          </w:p>
        </w:tc>
        <w:tc>
          <w:tcPr>
            <w:tcW w:w="593" w:type="dxa"/>
            <w:gridSpan w:val="2"/>
            <w:tcBorders>
              <w:top w:val="nil"/>
              <w:left w:val="nil"/>
              <w:bottom w:val="nil"/>
              <w:right w:val="nil"/>
            </w:tcBorders>
          </w:tcPr>
          <w:p w:rsidR="00000000" w:rsidRDefault="00F37340">
            <w:pPr>
              <w:jc w:val="both"/>
              <w:rPr>
                <w:rFonts w:cs="David"/>
                <w:sz w:val="26"/>
                <w:szCs w:val="26"/>
                <w:rtl/>
              </w:rPr>
            </w:pPr>
          </w:p>
        </w:tc>
        <w:tc>
          <w:tcPr>
            <w:tcW w:w="788" w:type="dxa"/>
            <w:gridSpan w:val="7"/>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(5)</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חברים קבועים נוספים ומ</w:t>
            </w:r>
            <w:r>
              <w:rPr>
                <w:rFonts w:cs="David"/>
                <w:sz w:val="26"/>
                <w:szCs w:val="26"/>
                <w:rtl/>
              </w:rPr>
              <w:t>מלאי מקום – לפי שיקול דעתו של מנהל המוסד;</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jc w:val="both"/>
              <w:rPr>
                <w:rFonts w:cs="David"/>
                <w:b/>
                <w:bCs/>
                <w:sz w:val="26"/>
                <w:szCs w:val="26"/>
                <w:rtl/>
              </w:rPr>
            </w:pPr>
          </w:p>
        </w:tc>
        <w:tc>
          <w:tcPr>
            <w:tcW w:w="593" w:type="dxa"/>
            <w:gridSpan w:val="2"/>
            <w:tcBorders>
              <w:top w:val="nil"/>
              <w:left w:val="nil"/>
              <w:bottom w:val="nil"/>
              <w:right w:val="nil"/>
            </w:tcBorders>
          </w:tcPr>
          <w:p w:rsidR="00000000" w:rsidRDefault="00F37340">
            <w:pPr>
              <w:jc w:val="both"/>
              <w:rPr>
                <w:rFonts w:cs="David"/>
                <w:sz w:val="26"/>
                <w:szCs w:val="26"/>
                <w:rtl/>
              </w:rPr>
            </w:pPr>
          </w:p>
        </w:tc>
        <w:tc>
          <w:tcPr>
            <w:tcW w:w="788" w:type="dxa"/>
            <w:gridSpan w:val="7"/>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(6)</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בוועדה יהיו חברים משני המינים.</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תפקידים וסמכויות</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16.</w:t>
            </w:r>
          </w:p>
        </w:tc>
        <w:tc>
          <w:tcPr>
            <w:tcW w:w="7442" w:type="dxa"/>
            <w:gridSpan w:val="1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תפקידה של ועדת ניסויי אנוש מוסדית הוא להבטיח את בטיחותו, זכויותיו ורווחתו של כל משתתף בניסוי רפואי בבני אדם, ולשם כך היא מוסמכת:</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rPr>
                <w:rFonts w:cs="David"/>
                <w:sz w:val="26"/>
                <w:szCs w:val="26"/>
                <w:rtl/>
              </w:rPr>
            </w:pPr>
            <w:r>
              <w:rPr>
                <w:rFonts w:cs="David"/>
                <w:sz w:val="26"/>
                <w:szCs w:val="26"/>
                <w:rtl/>
              </w:rPr>
              <w:t>(1)</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לבחון ולדרוש שינ</w:t>
            </w:r>
            <w:r>
              <w:rPr>
                <w:rFonts w:cs="David"/>
                <w:sz w:val="26"/>
                <w:szCs w:val="26"/>
                <w:rtl/>
              </w:rPr>
              <w:t>ויים ולהמליץ למנהל המוסד לאשר או לדחות כל בקשה לעריכת ניסוי רפואי בבני אדם במוסד;</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rPr>
                <w:rFonts w:cs="David"/>
                <w:sz w:val="26"/>
                <w:szCs w:val="26"/>
                <w:rtl/>
              </w:rPr>
            </w:pPr>
            <w:r>
              <w:rPr>
                <w:rFonts w:cs="David"/>
                <w:sz w:val="26"/>
                <w:szCs w:val="26"/>
                <w:rtl/>
              </w:rPr>
              <w:t>(2)</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לעקוב אחר ביצוע ניסוי שאושר, בתדירות שתיקבע מראש, בעת אישורו, בהתאם למאפייניו של הניסוי, ולפחות פעם בשנה, לרבות בדרך של דרישת דיווחים תקופתיים במהלך הניסוי;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rPr>
                <w:rFonts w:cs="David"/>
                <w:sz w:val="26"/>
                <w:szCs w:val="26"/>
                <w:rtl/>
              </w:rPr>
            </w:pPr>
            <w:r>
              <w:rPr>
                <w:rFonts w:cs="David"/>
                <w:sz w:val="26"/>
                <w:szCs w:val="26"/>
                <w:rtl/>
              </w:rPr>
              <w:t>(3)</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להו</w:t>
            </w:r>
            <w:r>
              <w:rPr>
                <w:rFonts w:cs="David"/>
                <w:sz w:val="26"/>
                <w:szCs w:val="26"/>
                <w:rtl/>
              </w:rPr>
              <w:t>רות על הפסקת ניסוי המתבצע במוסד בניגוד לחוק או שלא בהתאמה לאישור שניתן לביצועו.</w:t>
            </w:r>
          </w:p>
          <w:p w:rsidR="00000000" w:rsidRDefault="00F37340">
            <w:pPr>
              <w:spacing w:line="360" w:lineRule="auto"/>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נוהלי עבודה</w:t>
            </w:r>
          </w:p>
        </w:tc>
        <w:tc>
          <w:tcPr>
            <w:tcW w:w="593" w:type="dxa"/>
            <w:gridSpan w:val="2"/>
            <w:tcBorders>
              <w:top w:val="nil"/>
              <w:left w:val="nil"/>
              <w:bottom w:val="nil"/>
              <w:right w:val="nil"/>
            </w:tcBorders>
          </w:tcPr>
          <w:p w:rsidR="00000000" w:rsidRDefault="00F37340">
            <w:pPr>
              <w:rPr>
                <w:rFonts w:cs="David"/>
                <w:sz w:val="26"/>
                <w:szCs w:val="26"/>
                <w:rtl/>
              </w:rPr>
            </w:pPr>
            <w:r>
              <w:rPr>
                <w:rFonts w:cs="David"/>
                <w:sz w:val="26"/>
                <w:szCs w:val="26"/>
                <w:rtl/>
              </w:rPr>
              <w:t>17.</w:t>
            </w: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654" w:type="dxa"/>
            <w:gridSpan w:val="12"/>
            <w:tcBorders>
              <w:top w:val="nil"/>
              <w:left w:val="nil"/>
              <w:bottom w:val="nil"/>
              <w:right w:val="nil"/>
            </w:tcBorders>
          </w:tcPr>
          <w:p w:rsidR="00000000" w:rsidRDefault="00F37340">
            <w:pPr>
              <w:spacing w:line="360" w:lineRule="auto"/>
              <w:jc w:val="both"/>
              <w:rPr>
                <w:rtl/>
              </w:rPr>
            </w:pPr>
            <w:r>
              <w:rPr>
                <w:rFonts w:cs="David"/>
                <w:sz w:val="26"/>
                <w:szCs w:val="26"/>
                <w:rtl/>
              </w:rPr>
              <w:t>ועדת ניסויי אנוש מוסדית תתכנס לפי הצורך, ותקיים דיוניה בהרכב שלא יפחת מחמישה חברים.</w:t>
            </w:r>
          </w:p>
          <w:p w:rsidR="00000000" w:rsidRDefault="00F37340">
            <w:pPr>
              <w:rPr>
                <w:rFonts w:cs="David"/>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b/>
                <w:bCs/>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יושב ראש הוועדה רשאי להזמין יועצים מומחים לדיון של ועדת ניסויי</w:t>
            </w:r>
            <w:r>
              <w:rPr>
                <w:rFonts w:cs="David"/>
                <w:sz w:val="26"/>
                <w:szCs w:val="26"/>
                <w:rtl/>
              </w:rPr>
              <w:t xml:space="preserve"> אנוש מוסדית, לצורך דיון בבקשה מסוימת.</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(ג)</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חבר ועדת ניסויי אנוש מוסדית שיש לו זיקה ליוזם של ניסוי הנדון בוועדה, לא ישתתף בדיון בבקשה ובקבלת החלטה בענין ניסוי כאמור.</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(ד)</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מוסדית תפעל לפי כללים שיקבע  השר בתקנות.</w:t>
            </w:r>
          </w:p>
          <w:p w:rsidR="00000000" w:rsidRDefault="00F37340">
            <w:pPr>
              <w:jc w:val="both"/>
              <w:rPr>
                <w:rFonts w:cs="David"/>
                <w:sz w:val="26"/>
                <w:szCs w:val="26"/>
                <w:rtl/>
              </w:rPr>
            </w:pPr>
          </w:p>
        </w:tc>
      </w:tr>
      <w:tr w:rsidR="00000000">
        <w:tblPrEx>
          <w:tblCellMar>
            <w:top w:w="0" w:type="dxa"/>
            <w:bottom w:w="0" w:type="dxa"/>
          </w:tblCellMar>
        </w:tblPrEx>
        <w:trPr>
          <w:trHeight w:val="1234"/>
        </w:trPr>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(ה)</w:t>
            </w:r>
          </w:p>
        </w:tc>
        <w:tc>
          <w:tcPr>
            <w:tcW w:w="6654" w:type="dxa"/>
            <w:gridSpan w:val="12"/>
            <w:tcBorders>
              <w:top w:val="nil"/>
              <w:left w:val="nil"/>
              <w:bottom w:val="nil"/>
              <w:right w:val="nil"/>
            </w:tcBorders>
          </w:tcPr>
          <w:p w:rsidR="00000000" w:rsidRDefault="00F37340">
            <w:pPr>
              <w:spacing w:line="360" w:lineRule="auto"/>
              <w:jc w:val="both"/>
              <w:rPr>
                <w:rFonts w:cs="David"/>
                <w:b/>
                <w:bCs/>
                <w:sz w:val="26"/>
                <w:szCs w:val="26"/>
                <w:rtl/>
              </w:rPr>
            </w:pPr>
            <w:r>
              <w:rPr>
                <w:rFonts w:cs="David"/>
                <w:sz w:val="26"/>
                <w:szCs w:val="26"/>
                <w:rtl/>
              </w:rPr>
              <w:t>המלצת ועדת ני</w:t>
            </w:r>
            <w:r>
              <w:rPr>
                <w:rFonts w:cs="David"/>
                <w:sz w:val="26"/>
                <w:szCs w:val="26"/>
                <w:rtl/>
              </w:rPr>
              <w:t>סויי אנוש מוסדית תינתן בתוך 40 ימים ממועד השלמת הגשת כל מסמכי הבקשה לוועדה, והיא תהיה מנומקת ובכתב</w:t>
            </w:r>
            <w:r>
              <w:rPr>
                <w:rFonts w:cs="David"/>
                <w:b/>
                <w:bCs/>
                <w:sz w:val="26"/>
                <w:szCs w:val="26"/>
                <w:rtl/>
              </w:rPr>
              <w:t>.</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(ו)</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ניתן לערער על החלטת ועדת ניסויי אנוש מוסדית בפני ועדת ניסויי אנוש המרכזית המתאימה בתוך 60 ימים מיום קבלת ההחלטה.</w:t>
            </w:r>
          </w:p>
          <w:p w:rsidR="00000000" w:rsidRDefault="00F37340">
            <w:pPr>
              <w:jc w:val="both"/>
              <w:rPr>
                <w:rFonts w:cs="David"/>
                <w:sz w:val="26"/>
                <w:szCs w:val="26"/>
                <w:rtl/>
              </w:rPr>
            </w:pPr>
          </w:p>
        </w:tc>
      </w:tr>
      <w:tr w:rsidR="00000000">
        <w:tblPrEx>
          <w:tblCellMar>
            <w:top w:w="0" w:type="dxa"/>
            <w:bottom w:w="0" w:type="dxa"/>
          </w:tblCellMar>
        </w:tblPrEx>
        <w:trPr>
          <w:cantSplit/>
        </w:trPr>
        <w:tc>
          <w:tcPr>
            <w:tcW w:w="9182" w:type="dxa"/>
            <w:gridSpan w:val="23"/>
            <w:tcBorders>
              <w:top w:val="nil"/>
              <w:left w:val="nil"/>
              <w:bottom w:val="nil"/>
              <w:right w:val="nil"/>
            </w:tcBorders>
          </w:tcPr>
          <w:p w:rsidR="00000000" w:rsidRDefault="00F37340">
            <w:pPr>
              <w:jc w:val="center"/>
              <w:rPr>
                <w:rFonts w:cs="David"/>
                <w:b/>
                <w:bCs/>
                <w:sz w:val="26"/>
                <w:szCs w:val="26"/>
                <w:rtl/>
              </w:rPr>
            </w:pPr>
          </w:p>
          <w:p w:rsidR="00000000" w:rsidRDefault="00F37340">
            <w:pPr>
              <w:jc w:val="center"/>
              <w:rPr>
                <w:rFonts w:cs="David"/>
                <w:sz w:val="26"/>
                <w:szCs w:val="26"/>
                <w:rtl/>
              </w:rPr>
            </w:pPr>
            <w:r>
              <w:rPr>
                <w:rFonts w:cs="David"/>
                <w:b/>
                <w:bCs/>
                <w:sz w:val="26"/>
                <w:szCs w:val="26"/>
                <w:rtl/>
              </w:rPr>
              <w:t>סימן ב': ועדות ניסויי אנוש מרכזי</w:t>
            </w:r>
            <w:r>
              <w:rPr>
                <w:rFonts w:cs="David"/>
                <w:b/>
                <w:bCs/>
                <w:sz w:val="26"/>
                <w:szCs w:val="26"/>
                <w:rtl/>
              </w:rPr>
              <w:t>ות</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pStyle w:val="3"/>
              <w:rPr>
                <w:rFonts w:cs="David"/>
                <w:b w:val="0"/>
                <w:bCs w:val="0"/>
                <w:sz w:val="26"/>
                <w:szCs w:val="26"/>
              </w:rPr>
            </w:pPr>
            <w:r>
              <w:rPr>
                <w:rFonts w:cs="David"/>
                <w:b w:val="0"/>
                <w:bCs w:val="0"/>
                <w:sz w:val="26"/>
                <w:szCs w:val="26"/>
                <w:rtl/>
              </w:rPr>
              <w:t>הרכב</w:t>
            </w:r>
          </w:p>
        </w:tc>
        <w:tc>
          <w:tcPr>
            <w:tcW w:w="593" w:type="dxa"/>
            <w:gridSpan w:val="2"/>
            <w:tcBorders>
              <w:top w:val="nil"/>
              <w:left w:val="nil"/>
              <w:bottom w:val="nil"/>
              <w:right w:val="nil"/>
            </w:tcBorders>
          </w:tcPr>
          <w:p w:rsidR="00000000" w:rsidRDefault="00F37340">
            <w:pPr>
              <w:rPr>
                <w:rFonts w:cs="David"/>
                <w:sz w:val="26"/>
                <w:szCs w:val="26"/>
              </w:rPr>
            </w:pPr>
            <w:r>
              <w:rPr>
                <w:rFonts w:cs="David"/>
                <w:sz w:val="26"/>
                <w:szCs w:val="26"/>
                <w:rtl/>
              </w:rPr>
              <w:t>18.</w:t>
            </w:r>
          </w:p>
        </w:tc>
        <w:tc>
          <w:tcPr>
            <w:tcW w:w="788" w:type="dxa"/>
            <w:gridSpan w:val="7"/>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(א)</w:t>
            </w:r>
          </w:p>
        </w:tc>
        <w:tc>
          <w:tcPr>
            <w:tcW w:w="6654" w:type="dxa"/>
            <w:gridSpan w:val="12"/>
            <w:tcBorders>
              <w:top w:val="nil"/>
              <w:left w:val="nil"/>
              <w:bottom w:val="nil"/>
              <w:right w:val="nil"/>
            </w:tcBorders>
          </w:tcPr>
          <w:p w:rsidR="00000000" w:rsidRDefault="00F37340">
            <w:pPr>
              <w:pStyle w:val="ab"/>
              <w:spacing w:line="360" w:lineRule="auto"/>
              <w:rPr>
                <w:rFonts w:cs="David"/>
                <w:spacing w:val="20"/>
                <w:sz w:val="26"/>
                <w:szCs w:val="26"/>
                <w:rtl/>
              </w:rPr>
            </w:pPr>
            <w:r>
              <w:rPr>
                <w:rFonts w:cs="David"/>
                <w:sz w:val="26"/>
                <w:szCs w:val="26"/>
                <w:rtl/>
              </w:rPr>
              <w:t>המנהל ימנה ועדות ניסויי אנוש מרכזיות קבועות, כמפורט להלן:</w:t>
            </w:r>
          </w:p>
          <w:p w:rsidR="00000000" w:rsidRDefault="00F37340">
            <w:pPr>
              <w:tabs>
                <w:tab w:val="left" w:pos="267"/>
              </w:tabs>
              <w:spacing w:line="360" w:lineRule="auto"/>
              <w:jc w:val="both"/>
              <w:rPr>
                <w:rFonts w:cs="David"/>
                <w:sz w:val="26"/>
                <w:szCs w:val="26"/>
                <w:rtl/>
              </w:rPr>
            </w:pPr>
            <w:r>
              <w:rPr>
                <w:rFonts w:cs="David"/>
                <w:sz w:val="26"/>
                <w:szCs w:val="26"/>
                <w:rtl/>
              </w:rPr>
              <w:t>(1)    לתרופות;</w:t>
            </w:r>
          </w:p>
          <w:p w:rsidR="00000000" w:rsidRDefault="00F37340">
            <w:pPr>
              <w:tabs>
                <w:tab w:val="left" w:pos="267"/>
              </w:tabs>
              <w:spacing w:line="360" w:lineRule="auto"/>
              <w:jc w:val="both"/>
              <w:rPr>
                <w:rFonts w:cs="David"/>
                <w:sz w:val="26"/>
                <w:szCs w:val="26"/>
                <w:rtl/>
              </w:rPr>
            </w:pPr>
            <w:r>
              <w:rPr>
                <w:rFonts w:cs="David"/>
                <w:sz w:val="26"/>
                <w:szCs w:val="26"/>
                <w:rtl/>
              </w:rPr>
              <w:t>(2)    לגנטיקה;</w:t>
            </w:r>
          </w:p>
          <w:p w:rsidR="00000000" w:rsidRDefault="00F37340">
            <w:pPr>
              <w:tabs>
                <w:tab w:val="left" w:pos="267"/>
              </w:tabs>
              <w:spacing w:line="360" w:lineRule="auto"/>
              <w:jc w:val="both"/>
              <w:rPr>
                <w:rFonts w:cs="David"/>
                <w:sz w:val="26"/>
                <w:szCs w:val="26"/>
                <w:rtl/>
              </w:rPr>
            </w:pPr>
            <w:r>
              <w:rPr>
                <w:rFonts w:cs="David"/>
                <w:sz w:val="26"/>
                <w:szCs w:val="26"/>
                <w:rtl/>
              </w:rPr>
              <w:t>(3)    לאביזרים ולמכשירים רפואיים;</w:t>
            </w:r>
          </w:p>
          <w:p w:rsidR="00000000" w:rsidRDefault="00F37340">
            <w:pPr>
              <w:tabs>
                <w:tab w:val="left" w:pos="267"/>
              </w:tabs>
              <w:spacing w:line="360" w:lineRule="auto"/>
              <w:jc w:val="both"/>
              <w:rPr>
                <w:rFonts w:cs="David"/>
                <w:sz w:val="26"/>
                <w:szCs w:val="26"/>
                <w:rtl/>
              </w:rPr>
            </w:pPr>
            <w:r>
              <w:rPr>
                <w:rFonts w:cs="David"/>
                <w:sz w:val="26"/>
                <w:szCs w:val="26"/>
                <w:rtl/>
              </w:rPr>
              <w:t>(4)    למוצרים המכילים תאי רקמות;</w:t>
            </w:r>
          </w:p>
          <w:p w:rsidR="00000000" w:rsidRDefault="00F37340">
            <w:pPr>
              <w:tabs>
                <w:tab w:val="left" w:pos="267"/>
              </w:tabs>
              <w:spacing w:line="360" w:lineRule="auto"/>
              <w:jc w:val="both"/>
              <w:rPr>
                <w:rFonts w:cs="David"/>
                <w:sz w:val="26"/>
                <w:szCs w:val="26"/>
                <w:rtl/>
              </w:rPr>
            </w:pPr>
          </w:p>
          <w:p w:rsidR="00000000" w:rsidRDefault="00F37340">
            <w:pPr>
              <w:spacing w:line="360" w:lineRule="auto"/>
              <w:jc w:val="both"/>
              <w:rPr>
                <w:rFonts w:cs="David"/>
                <w:sz w:val="26"/>
                <w:szCs w:val="26"/>
                <w:rtl/>
              </w:rPr>
            </w:pPr>
            <w:r>
              <w:rPr>
                <w:rFonts w:cs="David"/>
                <w:sz w:val="26"/>
                <w:szCs w:val="26"/>
                <w:rtl/>
              </w:rPr>
              <w:t>ורשאי הוא למנות ועדות ניסויי אנוש מרכזיות קבועות נוספות, ולקבוע את תחומי אחריו</w:t>
            </w:r>
            <w:r>
              <w:rPr>
                <w:rFonts w:cs="David"/>
                <w:sz w:val="26"/>
                <w:szCs w:val="26"/>
                <w:rtl/>
              </w:rPr>
              <w:t>תן.</w:t>
            </w:r>
          </w:p>
          <w:p w:rsidR="00000000" w:rsidRDefault="00F37340">
            <w:pPr>
              <w:jc w:val="both"/>
              <w:rPr>
                <w:rFonts w:cs="David"/>
                <w:sz w:val="26"/>
                <w:szCs w:val="26"/>
              </w:rPr>
            </w:pPr>
            <w:r>
              <w:rPr>
                <w:rFonts w:cs="David"/>
                <w:sz w:val="26"/>
                <w:szCs w:val="26"/>
                <w:rtl/>
              </w:rPr>
              <w:tab/>
              <w:t xml:space="preserve">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pStyle w:val="ab"/>
              <w:spacing w:line="360" w:lineRule="auto"/>
              <w:ind w:left="0" w:firstLine="0"/>
              <w:rPr>
                <w:rFonts w:cs="David"/>
                <w:sz w:val="26"/>
                <w:szCs w:val="26"/>
                <w:rtl/>
              </w:rPr>
            </w:pPr>
            <w:r>
              <w:rPr>
                <w:rFonts w:cs="David"/>
                <w:sz w:val="26"/>
                <w:szCs w:val="26"/>
                <w:rtl/>
              </w:rPr>
              <w:t>(ב)</w:t>
            </w:r>
          </w:p>
        </w:tc>
        <w:tc>
          <w:tcPr>
            <w:tcW w:w="6654" w:type="dxa"/>
            <w:gridSpan w:val="12"/>
            <w:tcBorders>
              <w:top w:val="nil"/>
              <w:left w:val="nil"/>
              <w:bottom w:val="nil"/>
              <w:right w:val="nil"/>
            </w:tcBorders>
          </w:tcPr>
          <w:p w:rsidR="00000000" w:rsidRDefault="00F37340">
            <w:pPr>
              <w:tabs>
                <w:tab w:val="left" w:pos="267"/>
              </w:tabs>
              <w:spacing w:line="360" w:lineRule="auto"/>
              <w:jc w:val="both"/>
              <w:rPr>
                <w:rFonts w:cs="David"/>
                <w:sz w:val="26"/>
                <w:szCs w:val="26"/>
                <w:rtl/>
              </w:rPr>
            </w:pPr>
            <w:r>
              <w:rPr>
                <w:rFonts w:cs="David"/>
                <w:sz w:val="26"/>
                <w:szCs w:val="26"/>
                <w:rtl/>
              </w:rPr>
              <w:t>הודעה על מינוי ועדות ניסויי אנוש מרכזיות, הרכבן  ותחומי אחריותן תפורסם ברשומות;</w:t>
            </w:r>
          </w:p>
          <w:p w:rsidR="00000000" w:rsidRDefault="00F37340">
            <w:pPr>
              <w:tabs>
                <w:tab w:val="left" w:pos="267"/>
              </w:tabs>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593" w:type="dxa"/>
            <w:gridSpan w:val="2"/>
            <w:tcBorders>
              <w:top w:val="nil"/>
              <w:left w:val="nil"/>
              <w:bottom w:val="nil"/>
              <w:right w:val="nil"/>
            </w:tcBorders>
          </w:tcPr>
          <w:p w:rsidR="00000000" w:rsidRDefault="00F37340">
            <w:pPr>
              <w:rPr>
                <w:rFonts w:cs="David"/>
                <w:sz w:val="26"/>
                <w:szCs w:val="26"/>
                <w:rtl/>
              </w:rPr>
            </w:pPr>
          </w:p>
        </w:tc>
        <w:tc>
          <w:tcPr>
            <w:tcW w:w="788" w:type="dxa"/>
            <w:gridSpan w:val="7"/>
            <w:tcBorders>
              <w:top w:val="nil"/>
              <w:left w:val="nil"/>
              <w:bottom w:val="nil"/>
              <w:right w:val="nil"/>
            </w:tcBorders>
          </w:tcPr>
          <w:p w:rsidR="00000000" w:rsidRDefault="00F37340">
            <w:pPr>
              <w:pStyle w:val="ab"/>
              <w:spacing w:line="360" w:lineRule="auto"/>
              <w:ind w:left="0" w:firstLine="0"/>
              <w:rPr>
                <w:rFonts w:cs="David"/>
                <w:sz w:val="26"/>
                <w:szCs w:val="26"/>
                <w:rtl/>
              </w:rPr>
            </w:pPr>
            <w:r>
              <w:rPr>
                <w:rFonts w:cs="David"/>
                <w:sz w:val="26"/>
                <w:szCs w:val="26"/>
                <w:rtl/>
              </w:rPr>
              <w:t>(ג)</w:t>
            </w:r>
          </w:p>
        </w:tc>
        <w:tc>
          <w:tcPr>
            <w:tcW w:w="6654" w:type="dxa"/>
            <w:gridSpan w:val="12"/>
            <w:tcBorders>
              <w:top w:val="nil"/>
              <w:left w:val="nil"/>
              <w:bottom w:val="nil"/>
              <w:right w:val="nil"/>
            </w:tcBorders>
          </w:tcPr>
          <w:p w:rsidR="00000000" w:rsidRDefault="00F37340">
            <w:pPr>
              <w:tabs>
                <w:tab w:val="left" w:pos="267"/>
              </w:tabs>
              <w:spacing w:line="360" w:lineRule="auto"/>
              <w:jc w:val="both"/>
              <w:rPr>
                <w:rFonts w:cs="David"/>
                <w:sz w:val="26"/>
                <w:szCs w:val="26"/>
                <w:rtl/>
              </w:rPr>
            </w:pPr>
            <w:r>
              <w:rPr>
                <w:rFonts w:cs="David"/>
                <w:sz w:val="26"/>
                <w:szCs w:val="26"/>
                <w:rtl/>
              </w:rPr>
              <w:t>בוועדת ניסויי אנוש מרכזית יהיו שבעה חברים לפחות, בהתאם למפורט להלן:</w:t>
            </w:r>
          </w:p>
          <w:p w:rsidR="00000000" w:rsidRDefault="00F37340">
            <w:pPr>
              <w:tabs>
                <w:tab w:val="left" w:pos="267"/>
              </w:tabs>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(1)</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יושב ראש הוועדה יהיה רופא מומחה בעל ותק של שש שנים לפחות כמומחה, ובעל ידע וניס</w:t>
            </w:r>
            <w:r>
              <w:rPr>
                <w:rFonts w:cs="David"/>
                <w:sz w:val="26"/>
                <w:szCs w:val="26"/>
                <w:rtl/>
              </w:rPr>
              <w:t xml:space="preserve">יון בניסויים רפואיים בבני אדם;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(2)</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לפחות שני חברים יהיו רופאים מומחים ובעלי מיומנות וניסיון בניסויים רפואיים;</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(3)</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לפחות חבר אחד יהיה בעל ידע וניסיון בנושא ביו–אתיקה ואתיקה רפואית;</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(4)</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חברים נוספים יהיו מדענים, רוקחים, או אנשי מקצוע בתחומים רפואיי</w:t>
            </w:r>
            <w:r>
              <w:rPr>
                <w:rFonts w:cs="David"/>
                <w:sz w:val="26"/>
                <w:szCs w:val="26"/>
                <w:rtl/>
              </w:rPr>
              <w:t xml:space="preserve">ם, פארא–רפואיים וטכנולוגיים אחרים, לפי הענין;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(5)</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לפחות חבר אחד יהיה משפטן, אשר אין לו זיקה ליוזם;</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(6)</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לפחות חבר אחד יהיה נציג ציבור, שאינו רופא או משפטן, ושאינו עובד משרד הבריאות;</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b/>
                <w:bCs/>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(7)</w:t>
            </w:r>
          </w:p>
        </w:tc>
        <w:tc>
          <w:tcPr>
            <w:tcW w:w="6147" w:type="dxa"/>
            <w:gridSpan w:val="9"/>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ניתן למנות חברים קבועים נוספים וממלאי מקום, לפי שיקול דעתו של</w:t>
            </w:r>
            <w:r>
              <w:rPr>
                <w:rFonts w:cs="David"/>
                <w:sz w:val="26"/>
                <w:szCs w:val="26"/>
                <w:rtl/>
              </w:rPr>
              <w:t xml:space="preserve"> המנהל;</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1381" w:type="dxa"/>
            <w:gridSpan w:val="9"/>
            <w:tcBorders>
              <w:top w:val="nil"/>
              <w:left w:val="nil"/>
              <w:bottom w:val="nil"/>
              <w:right w:val="nil"/>
            </w:tcBorders>
          </w:tcPr>
          <w:p w:rsidR="00000000" w:rsidRDefault="00F37340">
            <w:pPr>
              <w:spacing w:line="360" w:lineRule="auto"/>
              <w:rPr>
                <w:rFonts w:cs="David"/>
                <w:sz w:val="26"/>
                <w:szCs w:val="26"/>
                <w:rtl/>
              </w:rPr>
            </w:pPr>
          </w:p>
        </w:tc>
        <w:tc>
          <w:tcPr>
            <w:tcW w:w="507" w:type="dxa"/>
            <w:gridSpan w:val="3"/>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(8)</w:t>
            </w:r>
          </w:p>
        </w:tc>
        <w:tc>
          <w:tcPr>
            <w:tcW w:w="6147" w:type="dxa"/>
            <w:gridSpan w:val="9"/>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בוועדה יהיו חברים משני המינים.</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ועדה מרכזית מיוחדת</w:t>
            </w:r>
          </w:p>
        </w:tc>
        <w:tc>
          <w:tcPr>
            <w:tcW w:w="742" w:type="dxa"/>
            <w:gridSpan w:val="4"/>
            <w:tcBorders>
              <w:top w:val="nil"/>
              <w:left w:val="nil"/>
              <w:bottom w:val="nil"/>
              <w:right w:val="nil"/>
            </w:tcBorders>
          </w:tcPr>
          <w:p w:rsidR="00000000" w:rsidRDefault="00F37340">
            <w:pPr>
              <w:rPr>
                <w:rFonts w:cs="David"/>
                <w:sz w:val="26"/>
                <w:szCs w:val="26"/>
                <w:rtl/>
              </w:rPr>
            </w:pPr>
            <w:r>
              <w:rPr>
                <w:rFonts w:cs="David"/>
                <w:sz w:val="26"/>
                <w:szCs w:val="26"/>
                <w:rtl/>
              </w:rPr>
              <w:t>19.</w:t>
            </w:r>
          </w:p>
        </w:tc>
        <w:tc>
          <w:tcPr>
            <w:tcW w:w="7293" w:type="dxa"/>
            <w:gridSpan w:val="17"/>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המנהל רשאי למנות ועדת ניסויי אנוש מרכזית שהיא זמנית או לענין מסוים שאינו כלול בין הענינים שלגביהם קיימת ועדה קבועה; בוועדה כאמור יהיו חברים נציג אחד לפחות מכל ועדת ניסויי אנוש מרכזית קב</w:t>
            </w:r>
            <w:r>
              <w:rPr>
                <w:rFonts w:cs="David"/>
                <w:sz w:val="26"/>
                <w:szCs w:val="26"/>
                <w:rtl/>
              </w:rPr>
              <w:t>ועה, וחברים נוספים לפי שיקול דעתו של המנהל; מינה המנהל ועדה כאמור, יקבע בכתב המינוי שלה את תפקידיה, תחומי פעולתה וסמכויותיה.</w:t>
            </w:r>
          </w:p>
          <w:p w:rsidR="00000000" w:rsidRDefault="00F37340">
            <w:pPr>
              <w:rPr>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תפקידים וסמכויות</w:t>
            </w:r>
          </w:p>
        </w:tc>
        <w:tc>
          <w:tcPr>
            <w:tcW w:w="742" w:type="dxa"/>
            <w:gridSpan w:val="4"/>
            <w:tcBorders>
              <w:top w:val="nil"/>
              <w:left w:val="nil"/>
              <w:bottom w:val="nil"/>
              <w:right w:val="nil"/>
            </w:tcBorders>
          </w:tcPr>
          <w:p w:rsidR="00000000" w:rsidRDefault="00F37340">
            <w:pPr>
              <w:rPr>
                <w:rFonts w:cs="David"/>
                <w:sz w:val="26"/>
                <w:szCs w:val="26"/>
                <w:rtl/>
              </w:rPr>
            </w:pPr>
            <w:r>
              <w:rPr>
                <w:rFonts w:cs="David"/>
                <w:sz w:val="26"/>
                <w:szCs w:val="26"/>
                <w:rtl/>
              </w:rPr>
              <w:t>20.</w:t>
            </w:r>
          </w:p>
        </w:tc>
        <w:tc>
          <w:tcPr>
            <w:tcW w:w="7293" w:type="dxa"/>
            <w:gridSpan w:val="17"/>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תפקידה של  ועדת ניסויי אנוש מרכזית הוא להבטיח את בטיחותו, זכויותיו, ורווחתו של כל משתתף בניסוי רפואי בבני אד</w:t>
            </w:r>
            <w:r>
              <w:rPr>
                <w:rFonts w:cs="David"/>
                <w:sz w:val="26"/>
                <w:szCs w:val="26"/>
                <w:rtl/>
              </w:rPr>
              <w:t>ם, ולשם כך היא מוסמכת –</w:t>
            </w:r>
          </w:p>
          <w:p w:rsidR="00000000" w:rsidRDefault="00F37340">
            <w:pPr>
              <w:spacing w:line="360" w:lineRule="auto"/>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(1)</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לבחון, לאחר אישור ועדת ניסויי אנוש מוסדית, כל ניסוי רפואי בבני אדם בדרגת סיכון גבוהה, שמבוקש לערוך בישראל, וניסוי רפואי אחר שהמנהל ביקש לדון בו;</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(2)</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לדרוש  שינויים או השלמת נתונים, ולהמליץ למנהל לאשר או לדחות את הבקשה;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(3)</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לאשר או לדחות בקשות לחריגה מכללי ההסכמה מדעת, בכפוף להוראות  סעיף 31;</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(4)</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לקבוע את תנאי המעקב אחר ביצוע הניסוי, בהתאם למאפייניו של הניסוי לפחות פעם בשנה, לרבות באופן של דרישת דיווחים תקופתיים במהלך הניסוי;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(5)</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לייעץ למנהל בנושאי אישור ניסויים רפ</w:t>
            </w:r>
            <w:r>
              <w:rPr>
                <w:rFonts w:cs="David"/>
                <w:sz w:val="26"/>
                <w:szCs w:val="26"/>
                <w:rtl/>
              </w:rPr>
              <w:t>ואיים בבני אדם, ביצועם ופיקוח עליהם, לרבות קביעת דרגות הסיכון של ניסויים לפי סוגם;</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(6)</w:t>
            </w:r>
          </w:p>
        </w:tc>
        <w:tc>
          <w:tcPr>
            <w:tcW w:w="6654" w:type="dxa"/>
            <w:gridSpan w:val="12"/>
            <w:tcBorders>
              <w:top w:val="nil"/>
              <w:left w:val="nil"/>
              <w:bottom w:val="nil"/>
              <w:right w:val="nil"/>
            </w:tcBorders>
          </w:tcPr>
          <w:p w:rsidR="00000000" w:rsidRDefault="00F37340">
            <w:pPr>
              <w:pStyle w:val="31"/>
              <w:spacing w:line="360" w:lineRule="auto"/>
              <w:rPr>
                <w:rFonts w:cs="David"/>
                <w:rtl/>
              </w:rPr>
            </w:pPr>
            <w:r>
              <w:rPr>
                <w:rFonts w:cs="David"/>
                <w:rtl/>
              </w:rPr>
              <w:t>להמליץ למנהל על הפסקת ניסוי המתבצע בניגוד לחוק או שלא בהתאם לאישור שניתן לביצועו.</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(7)</w:t>
            </w:r>
          </w:p>
        </w:tc>
        <w:tc>
          <w:tcPr>
            <w:tcW w:w="6654" w:type="dxa"/>
            <w:gridSpan w:val="12"/>
            <w:tcBorders>
              <w:top w:val="nil"/>
              <w:left w:val="nil"/>
              <w:bottom w:val="nil"/>
              <w:right w:val="nil"/>
            </w:tcBorders>
          </w:tcPr>
          <w:p w:rsidR="00000000" w:rsidRDefault="00F37340">
            <w:pPr>
              <w:pStyle w:val="31"/>
              <w:spacing w:line="360" w:lineRule="auto"/>
              <w:rPr>
                <w:rFonts w:cs="David"/>
                <w:rtl/>
              </w:rPr>
            </w:pPr>
            <w:r>
              <w:rPr>
                <w:rFonts w:cs="David"/>
                <w:rtl/>
              </w:rPr>
              <w:t>לדון בערעורים על החלטות ועדת ניסויי אנוש מוסדית.</w:t>
            </w:r>
          </w:p>
          <w:p w:rsidR="00000000" w:rsidRDefault="00F37340">
            <w:pPr>
              <w:pStyle w:val="31"/>
              <w:rPr>
                <w:rFonts w:cs="David"/>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נוהלי עבודה</w:t>
            </w:r>
          </w:p>
        </w:tc>
        <w:tc>
          <w:tcPr>
            <w:tcW w:w="742" w:type="dxa"/>
            <w:gridSpan w:val="4"/>
            <w:tcBorders>
              <w:top w:val="nil"/>
              <w:left w:val="nil"/>
              <w:bottom w:val="nil"/>
              <w:right w:val="nil"/>
            </w:tcBorders>
          </w:tcPr>
          <w:p w:rsidR="00000000" w:rsidRDefault="00F37340">
            <w:pPr>
              <w:rPr>
                <w:rFonts w:cs="David"/>
                <w:sz w:val="26"/>
                <w:szCs w:val="26"/>
                <w:rtl/>
              </w:rPr>
            </w:pPr>
            <w:r>
              <w:rPr>
                <w:rFonts w:cs="David"/>
                <w:sz w:val="26"/>
                <w:szCs w:val="26"/>
                <w:rtl/>
              </w:rPr>
              <w:t>21.</w:t>
            </w: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(א)</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w:t>
            </w:r>
            <w:r>
              <w:rPr>
                <w:rFonts w:cs="David"/>
                <w:sz w:val="26"/>
                <w:szCs w:val="26"/>
                <w:rtl/>
              </w:rPr>
              <w:t>יסויי אנוש מרכזית תתכנס לפי הצורך, ותקיים דיוניה בהרכב שלא יפחת מחמישה חברים.</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(ב)</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מרכזית תפעל  על פי כללים שקבע  השר בתקנות.</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(ג)</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יושב ראש הוועדה רשאי להזמין לוועדה יועצים מומחים לצורך דיון בבקשה מסוימת.</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(ד)</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חבר הוועדה שיש לו זי</w:t>
            </w:r>
            <w:r>
              <w:rPr>
                <w:rFonts w:cs="David"/>
                <w:sz w:val="26"/>
                <w:szCs w:val="26"/>
                <w:rtl/>
              </w:rPr>
              <w:t>קה ליוזם של ניסוי הנדון בוועדה, לא ישתתף בדיון בבקשה ובקבלת החלטה בענין ניסוי כאמור.</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rPr>
                <w:rFonts w:cs="David"/>
                <w:sz w:val="26"/>
                <w:szCs w:val="26"/>
                <w:rtl/>
              </w:rPr>
            </w:pPr>
            <w:r>
              <w:rPr>
                <w:rFonts w:cs="David"/>
                <w:sz w:val="26"/>
                <w:szCs w:val="26"/>
                <w:rtl/>
              </w:rPr>
              <w:t>(ה)</w:t>
            </w:r>
          </w:p>
        </w:tc>
        <w:tc>
          <w:tcPr>
            <w:tcW w:w="6654" w:type="dxa"/>
            <w:gridSpan w:val="12"/>
            <w:tcBorders>
              <w:top w:val="nil"/>
              <w:left w:val="nil"/>
              <w:bottom w:val="nil"/>
              <w:right w:val="nil"/>
            </w:tcBorders>
          </w:tcPr>
          <w:p w:rsidR="00000000" w:rsidRDefault="00F37340">
            <w:pPr>
              <w:spacing w:line="360" w:lineRule="auto"/>
              <w:jc w:val="both"/>
              <w:rPr>
                <w:rFonts w:cs="David"/>
                <w:b/>
                <w:bCs/>
                <w:sz w:val="26"/>
                <w:szCs w:val="26"/>
                <w:rtl/>
              </w:rPr>
            </w:pPr>
            <w:r>
              <w:rPr>
                <w:rFonts w:cs="David"/>
                <w:sz w:val="26"/>
                <w:szCs w:val="26"/>
                <w:rtl/>
              </w:rPr>
              <w:t>המלצת ועדת ניסויי אנוש מרכזית תינתן בתוך 60 ימים ממועד השלמת הגשת כל מסמכי הבקשה לוועדה, והיא תהיה מנומקת ובכתב</w:t>
            </w:r>
            <w:r>
              <w:rPr>
                <w:rFonts w:cs="David"/>
                <w:b/>
                <w:bCs/>
                <w:sz w:val="26"/>
                <w:szCs w:val="26"/>
                <w:rtl/>
              </w:rPr>
              <w:t>.</w:t>
            </w:r>
          </w:p>
          <w:p w:rsidR="00000000" w:rsidRDefault="00F37340">
            <w:pPr>
              <w:jc w:val="both"/>
              <w:rPr>
                <w:rFonts w:cs="David"/>
                <w:sz w:val="26"/>
                <w:szCs w:val="26"/>
                <w:rtl/>
              </w:rPr>
            </w:pPr>
          </w:p>
        </w:tc>
      </w:tr>
      <w:tr w:rsidR="00000000">
        <w:tblPrEx>
          <w:tblCellMar>
            <w:top w:w="0" w:type="dxa"/>
            <w:bottom w:w="0" w:type="dxa"/>
          </w:tblCellMar>
        </w:tblPrEx>
        <w:trPr>
          <w:cantSplit/>
        </w:trPr>
        <w:tc>
          <w:tcPr>
            <w:tcW w:w="9182" w:type="dxa"/>
            <w:gridSpan w:val="23"/>
            <w:tcBorders>
              <w:top w:val="nil"/>
              <w:left w:val="nil"/>
              <w:bottom w:val="nil"/>
              <w:right w:val="nil"/>
            </w:tcBorders>
          </w:tcPr>
          <w:p w:rsidR="00000000" w:rsidRDefault="00F37340">
            <w:pPr>
              <w:jc w:val="center"/>
              <w:rPr>
                <w:rFonts w:cs="David"/>
                <w:sz w:val="26"/>
                <w:szCs w:val="26"/>
                <w:rtl/>
              </w:rPr>
            </w:pPr>
            <w:r>
              <w:rPr>
                <w:rFonts w:cs="David"/>
                <w:b/>
                <w:bCs/>
                <w:sz w:val="26"/>
                <w:szCs w:val="26"/>
                <w:rtl/>
              </w:rPr>
              <w:t>סימן ג': ועדת פיקוח וביקורת</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ועדת פיקוח וביקורת</w:t>
            </w:r>
          </w:p>
        </w:tc>
        <w:tc>
          <w:tcPr>
            <w:tcW w:w="742" w:type="dxa"/>
            <w:gridSpan w:val="4"/>
            <w:tcBorders>
              <w:top w:val="nil"/>
              <w:left w:val="nil"/>
              <w:bottom w:val="nil"/>
              <w:right w:val="nil"/>
            </w:tcBorders>
          </w:tcPr>
          <w:p w:rsidR="00000000" w:rsidRDefault="00F37340">
            <w:pPr>
              <w:rPr>
                <w:rFonts w:cs="David"/>
                <w:sz w:val="26"/>
                <w:szCs w:val="26"/>
                <w:rtl/>
              </w:rPr>
            </w:pPr>
            <w:r>
              <w:rPr>
                <w:rFonts w:cs="David"/>
                <w:sz w:val="26"/>
                <w:szCs w:val="26"/>
                <w:rtl/>
              </w:rPr>
              <w:t>22.</w:t>
            </w:r>
          </w:p>
        </w:tc>
        <w:tc>
          <w:tcPr>
            <w:tcW w:w="7293" w:type="dxa"/>
            <w:gridSpan w:val="17"/>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המנהל ימנה ועדת פיקוח וביקורת מרכזית שבה יהיה נציג אחד לפחות של כל ועדת ניסויי אנוש מרכזית, לפי המלצת יושבי הראש של הוועדות האמורות (בחוק זה – ועדת הפיקוח והביקורת); המנהל ימנה יושב ראש לוועדת הפיקוח והביקורת, שיהיה רופא מומחה בעל וותק של שש שנים לפחו</w:t>
            </w:r>
            <w:r>
              <w:rPr>
                <w:rFonts w:cs="David"/>
                <w:sz w:val="26"/>
                <w:szCs w:val="26"/>
                <w:rtl/>
              </w:rPr>
              <w:t>ת כמומחה.</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תפקידים וסמכויות</w:t>
            </w:r>
          </w:p>
        </w:tc>
        <w:tc>
          <w:tcPr>
            <w:tcW w:w="742" w:type="dxa"/>
            <w:gridSpan w:val="4"/>
            <w:tcBorders>
              <w:top w:val="nil"/>
              <w:left w:val="nil"/>
              <w:bottom w:val="nil"/>
              <w:right w:val="nil"/>
            </w:tcBorders>
          </w:tcPr>
          <w:p w:rsidR="00000000" w:rsidRDefault="00F37340">
            <w:pPr>
              <w:rPr>
                <w:rFonts w:cs="David"/>
                <w:sz w:val="26"/>
                <w:szCs w:val="26"/>
                <w:rtl/>
              </w:rPr>
            </w:pPr>
            <w:r>
              <w:rPr>
                <w:rFonts w:cs="David"/>
                <w:sz w:val="26"/>
                <w:szCs w:val="26"/>
                <w:rtl/>
              </w:rPr>
              <w:t>23.</w:t>
            </w:r>
          </w:p>
        </w:tc>
        <w:tc>
          <w:tcPr>
            <w:tcW w:w="639"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ועדת הפיקוח והביקורת תקיים ביקורת קבועה ושיטתית על אופן פעולתן של  וועדות ניסויי  אנוש מוסדיות, </w:t>
            </w:r>
            <w:r>
              <w:rPr>
                <w:rFonts w:cs="David"/>
                <w:i/>
                <w:sz w:val="26"/>
                <w:szCs w:val="26"/>
                <w:rtl/>
              </w:rPr>
              <w:t>תפקח על עריכת ניסויים רפואיים שאושרו על ידן, ותמליץ למנהל לנקוט באמצעים, בעקבות ממצאי ביקורת</w:t>
            </w:r>
            <w:r>
              <w:rPr>
                <w:rFonts w:cs="David"/>
                <w:sz w:val="26"/>
                <w:szCs w:val="26"/>
                <w:rtl/>
              </w:rPr>
              <w:t xml:space="preserve">. </w:t>
            </w:r>
          </w:p>
          <w:p w:rsidR="00000000" w:rsidRDefault="00F37340">
            <w:pPr>
              <w:jc w:val="both"/>
              <w:rPr>
                <w:rFonts w:cs="David"/>
                <w:sz w:val="26"/>
                <w:szCs w:val="26"/>
                <w:rtl/>
              </w:rPr>
            </w:pPr>
            <w:r>
              <w:rPr>
                <w:rFonts w:cs="David"/>
                <w:sz w:val="26"/>
                <w:szCs w:val="26"/>
                <w:rtl/>
              </w:rPr>
              <w:t xml:space="preserve">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הפיקוח והביקור</w:t>
            </w:r>
            <w:r>
              <w:rPr>
                <w:rFonts w:cs="David"/>
                <w:sz w:val="26"/>
                <w:szCs w:val="26"/>
                <w:rtl/>
              </w:rPr>
              <w:t>ת תערוך בקרה על ועדות ניסויי אנוש מוסדיות ועל ניסויים רפואיים בבני אדם שאושרו במוסדות, מעת לעת, במועדים ולפי כללים שיקבע השר בתקנות.</w:t>
            </w:r>
          </w:p>
          <w:p w:rsidR="00000000" w:rsidRDefault="00F37340">
            <w:pPr>
              <w:jc w:val="both"/>
              <w:rPr>
                <w:rFonts w:cs="David"/>
                <w:sz w:val="26"/>
                <w:szCs w:val="26"/>
                <w:rtl/>
              </w:rPr>
            </w:pPr>
            <w:r>
              <w:rPr>
                <w:rFonts w:cs="David"/>
                <w:sz w:val="26"/>
                <w:szCs w:val="26"/>
                <w:rtl/>
              </w:rPr>
              <w:t xml:space="preserve">  </w:t>
            </w: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(ג)</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לשם עריכת ביקורת לפי סימן זה, רשאי כל חבר בוועדת הפיקוח והביקורת או עובד המדינה שהוסמך בכתב על ידי חבר כאמור, להי</w:t>
            </w:r>
            <w:r>
              <w:rPr>
                <w:rFonts w:cs="David"/>
                <w:sz w:val="26"/>
                <w:szCs w:val="26"/>
                <w:rtl/>
              </w:rPr>
              <w:t>כנס לתחומי מוסד ולכל מקום שיש יסוד סביר להניח כי מתבצע בו ניסוי רפואי, ורשאי הוא להיעזר במשטרת ישראל לשם כניסה למקום כאמור, תפיסת מסמכים ונטילת דגימות.</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(ד)</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הפיקוח והביקורת תודיע למנהל ולמנהל המוסד על ממצאי הביקורת, והיא מוסמכת להמליץ למנהל על האמצ</w:t>
            </w:r>
            <w:r>
              <w:rPr>
                <w:rFonts w:cs="David"/>
                <w:sz w:val="26"/>
                <w:szCs w:val="26"/>
                <w:rtl/>
              </w:rPr>
              <w:t>עים שבהם יש לנקוט כלפי ועדת ניסויי אנוש מוסדית או כלפי חוקר</w:t>
            </w:r>
            <w:r>
              <w:rPr>
                <w:rFonts w:cs="David"/>
                <w:i/>
                <w:sz w:val="26"/>
                <w:szCs w:val="26"/>
                <w:rtl/>
              </w:rPr>
              <w:t xml:space="preserve"> ראשי או כלפי מוסד, עקב ליקויים שמצאה</w:t>
            </w:r>
            <w:r>
              <w:rPr>
                <w:rFonts w:cs="David"/>
                <w:sz w:val="26"/>
                <w:szCs w:val="26"/>
                <w:rtl/>
              </w:rPr>
              <w:t>.</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(ה)</w:t>
            </w:r>
          </w:p>
        </w:tc>
        <w:tc>
          <w:tcPr>
            <w:tcW w:w="6654"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המנהל רשאי, על סמך ממצאים או המלצה כאמור, לנקוט בפעולות המפורטות להלן, וזאת בנוסף לכל פעולה שהוא רשאי לנקוט בה על פי הוראות כל  דין:</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jc w:val="both"/>
              <w:rPr>
                <w:rFonts w:cs="David"/>
                <w:sz w:val="26"/>
                <w:szCs w:val="26"/>
                <w:rtl/>
              </w:rPr>
            </w:pPr>
          </w:p>
        </w:tc>
        <w:tc>
          <w:tcPr>
            <w:tcW w:w="540"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(1)</w:t>
            </w:r>
          </w:p>
        </w:tc>
        <w:tc>
          <w:tcPr>
            <w:tcW w:w="6114"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להגביל ב</w:t>
            </w:r>
            <w:r>
              <w:rPr>
                <w:rFonts w:cs="David"/>
                <w:sz w:val="26"/>
                <w:szCs w:val="26"/>
                <w:rtl/>
              </w:rPr>
              <w:t>תנאים את ההכרה שניתנה למוסד לערוך ניסויים רפואיים בבני אדם, להתלותה או לבטלה;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jc w:val="both"/>
              <w:rPr>
                <w:rFonts w:cs="David"/>
                <w:b/>
                <w:bCs/>
                <w:sz w:val="26"/>
                <w:szCs w:val="26"/>
                <w:rtl/>
              </w:rPr>
            </w:pPr>
          </w:p>
        </w:tc>
        <w:tc>
          <w:tcPr>
            <w:tcW w:w="540"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(2)</w:t>
            </w:r>
          </w:p>
        </w:tc>
        <w:tc>
          <w:tcPr>
            <w:tcW w:w="6114"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להורות למנהל המוסד להחליף חבר או חברים בוועדת ניסויי אנוש המוסדית;</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b/>
                <w:bCs/>
                <w:sz w:val="26"/>
                <w:szCs w:val="26"/>
                <w:rtl/>
              </w:rPr>
            </w:pPr>
          </w:p>
        </w:tc>
        <w:tc>
          <w:tcPr>
            <w:tcW w:w="639" w:type="dxa"/>
            <w:gridSpan w:val="5"/>
            <w:tcBorders>
              <w:top w:val="nil"/>
              <w:left w:val="nil"/>
              <w:bottom w:val="nil"/>
              <w:right w:val="nil"/>
            </w:tcBorders>
          </w:tcPr>
          <w:p w:rsidR="00000000" w:rsidRDefault="00F37340">
            <w:pPr>
              <w:spacing w:line="360" w:lineRule="auto"/>
              <w:jc w:val="both"/>
              <w:rPr>
                <w:rFonts w:cs="David"/>
                <w:b/>
                <w:bCs/>
                <w:sz w:val="26"/>
                <w:szCs w:val="26"/>
                <w:rtl/>
              </w:rPr>
            </w:pPr>
          </w:p>
        </w:tc>
        <w:tc>
          <w:tcPr>
            <w:tcW w:w="540"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(3)</w:t>
            </w:r>
          </w:p>
        </w:tc>
        <w:tc>
          <w:tcPr>
            <w:tcW w:w="6114" w:type="dxa"/>
            <w:gridSpan w:val="8"/>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להורות על הפסקתו של ניסוי רפואי בבני אדם המתבצע שלא כדין, או שלא בהתאם לאישור שניתן לו.</w:t>
            </w:r>
          </w:p>
          <w:p w:rsidR="00000000" w:rsidRDefault="00F37340">
            <w:pPr>
              <w:jc w:val="both"/>
              <w:rPr>
                <w:rFonts w:cs="David"/>
                <w:i/>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42" w:type="dxa"/>
            <w:gridSpan w:val="4"/>
            <w:tcBorders>
              <w:top w:val="nil"/>
              <w:left w:val="nil"/>
              <w:bottom w:val="nil"/>
              <w:right w:val="nil"/>
            </w:tcBorders>
          </w:tcPr>
          <w:p w:rsidR="00000000" w:rsidRDefault="00F37340">
            <w:pPr>
              <w:rPr>
                <w:rFonts w:cs="David"/>
                <w:sz w:val="26"/>
                <w:szCs w:val="26"/>
                <w:rtl/>
              </w:rPr>
            </w:pPr>
          </w:p>
        </w:tc>
        <w:tc>
          <w:tcPr>
            <w:tcW w:w="639" w:type="dxa"/>
            <w:gridSpan w:val="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w:t>
            </w:r>
          </w:p>
        </w:tc>
        <w:tc>
          <w:tcPr>
            <w:tcW w:w="6654" w:type="dxa"/>
            <w:gridSpan w:val="12"/>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 xml:space="preserve">לא ינקוט המנהל בפעולה לפי סעיף קטן (ה), אלא לאחר שניתנה למוסד, ליוזם, לחוקר או לחבר בוועדה, העלול להיפגע מהחלטה כאמור, הזדמנות להשמיע את טענותיו בפני המנהל;  אולם המנהל רשאי להורות על הפסקתו המיידית של ביצוע ניסוי רפואי, אם הוא סבור כי נשקפת סכנה לבריאות </w:t>
            </w:r>
            <w:r>
              <w:rPr>
                <w:rFonts w:cs="David"/>
                <w:i/>
                <w:sz w:val="26"/>
                <w:szCs w:val="26"/>
                <w:rtl/>
              </w:rPr>
              <w:t>משתתף בניסוי,  ובלבד שתינתן למוסד, ליוזם או לחוקר הזדמנות להשמיע טענותיהם בפניו בתוך פרק זמן סביר ממועד הפסקת ביצוע הניסוי.</w:t>
            </w:r>
          </w:p>
          <w:p w:rsidR="00000000" w:rsidRDefault="00F37340">
            <w:pPr>
              <w:jc w:val="both"/>
              <w:rPr>
                <w:rFonts w:cs="David"/>
                <w:i/>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חובת דיווח</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24.</w:t>
            </w:r>
          </w:p>
        </w:tc>
        <w:tc>
          <w:tcPr>
            <w:tcW w:w="7313" w:type="dxa"/>
            <w:gridSpan w:val="18"/>
            <w:tcBorders>
              <w:top w:val="nil"/>
              <w:left w:val="nil"/>
              <w:bottom w:val="nil"/>
              <w:right w:val="nil"/>
            </w:tcBorders>
          </w:tcPr>
          <w:p w:rsidR="00000000" w:rsidRDefault="00F37340">
            <w:pPr>
              <w:spacing w:line="360" w:lineRule="auto"/>
              <w:jc w:val="both"/>
              <w:rPr>
                <w:rFonts w:cs="David"/>
                <w:i/>
                <w:sz w:val="26"/>
                <w:szCs w:val="26"/>
                <w:rtl/>
              </w:rPr>
            </w:pPr>
            <w:r>
              <w:rPr>
                <w:rFonts w:cs="David"/>
                <w:i/>
                <w:sz w:val="26"/>
                <w:szCs w:val="26"/>
                <w:rtl/>
              </w:rPr>
              <w:t>יוזם, חוקר, מנהל מוסד, חבר ועדת ניסויי אנוש, וכל אדם שהגיעה אליו ידיעה על מקרה שבו נפטר אדם, או נגרם נזק חמור לבריא</w:t>
            </w:r>
            <w:r>
              <w:rPr>
                <w:rFonts w:cs="David"/>
                <w:i/>
                <w:sz w:val="26"/>
                <w:szCs w:val="26"/>
                <w:rtl/>
              </w:rPr>
              <w:t>ותו, במהלך היותו משתתף בניסוי רפואי או בסמוך לאחר מכן, יודיע על כך מיד לוועדת ניסויי אנוש המוסדית וכן למנהל המוסד, ולמנהל או למי שהסמיך לענין זה.</w:t>
            </w:r>
          </w:p>
          <w:p w:rsidR="00000000" w:rsidRDefault="00F37340">
            <w:pPr>
              <w:jc w:val="both"/>
              <w:rPr>
                <w:rFonts w:cs="David"/>
                <w:i/>
                <w:sz w:val="26"/>
                <w:szCs w:val="26"/>
                <w:rtl/>
              </w:rPr>
            </w:pPr>
            <w:r>
              <w:rPr>
                <w:rFonts w:cs="David"/>
                <w:i/>
                <w:sz w:val="26"/>
                <w:szCs w:val="26"/>
                <w:rtl/>
              </w:rPr>
              <w:t xml:space="preserve"> </w:t>
            </w:r>
          </w:p>
        </w:tc>
      </w:tr>
      <w:tr w:rsidR="00000000">
        <w:tblPrEx>
          <w:tblCellMar>
            <w:top w:w="0" w:type="dxa"/>
            <w:bottom w:w="0" w:type="dxa"/>
          </w:tblCellMar>
        </w:tblPrEx>
        <w:trPr>
          <w:cantSplit/>
        </w:trPr>
        <w:tc>
          <w:tcPr>
            <w:tcW w:w="9182" w:type="dxa"/>
            <w:gridSpan w:val="23"/>
            <w:tcBorders>
              <w:top w:val="nil"/>
              <w:left w:val="nil"/>
              <w:bottom w:val="nil"/>
              <w:right w:val="nil"/>
            </w:tcBorders>
          </w:tcPr>
          <w:p w:rsidR="00000000" w:rsidRDefault="00F37340">
            <w:pPr>
              <w:jc w:val="center"/>
              <w:rPr>
                <w:rFonts w:cs="David"/>
                <w:i/>
                <w:sz w:val="26"/>
                <w:szCs w:val="26"/>
                <w:rtl/>
              </w:rPr>
            </w:pPr>
            <w:r>
              <w:rPr>
                <w:rFonts w:cs="David"/>
                <w:b/>
                <w:bCs/>
                <w:sz w:val="26"/>
                <w:szCs w:val="26"/>
                <w:rtl/>
              </w:rPr>
              <w:t>פרק ו': הסכמה מדעת להשתתפות בניסוי רפואי</w:t>
            </w:r>
          </w:p>
          <w:p w:rsidR="00000000" w:rsidRDefault="00F37340">
            <w:pPr>
              <w:jc w:val="center"/>
              <w:rPr>
                <w:rFonts w:cs="David"/>
                <w:sz w:val="26"/>
                <w:szCs w:val="26"/>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דרישת הסכמה</w:t>
            </w:r>
          </w:p>
          <w:p w:rsidR="00000000" w:rsidRDefault="00F37340">
            <w:pPr>
              <w:rPr>
                <w:rFonts w:cs="David"/>
                <w:sz w:val="26"/>
                <w:szCs w:val="26"/>
                <w:rtl/>
              </w:rPr>
            </w:pPr>
            <w:r>
              <w:rPr>
                <w:rFonts w:cs="David"/>
                <w:sz w:val="26"/>
                <w:szCs w:val="26"/>
                <w:rtl/>
              </w:rPr>
              <w:t>מדעת</w:t>
            </w:r>
          </w:p>
          <w:p w:rsidR="00000000" w:rsidRDefault="00F37340">
            <w:pPr>
              <w:rPr>
                <w:rFonts w:cs="David"/>
                <w:sz w:val="26"/>
                <w:szCs w:val="26"/>
                <w:rtl/>
              </w:rPr>
            </w:pP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25.</w:t>
            </w:r>
          </w:p>
        </w:tc>
        <w:tc>
          <w:tcPr>
            <w:tcW w:w="7315" w:type="dxa"/>
            <w:gridSpan w:val="1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לא ייערך ניסוי רפואי בבני אדם אלא אם כן קי</w:t>
            </w:r>
            <w:r>
              <w:rPr>
                <w:rFonts w:cs="David"/>
                <w:sz w:val="26"/>
                <w:szCs w:val="26"/>
                <w:rtl/>
              </w:rPr>
              <w:t>בל החוקר את הסכמתו מדעת של כל משתתף בניסוי או של נציגו, ובכפוף להוראות פרק זה ולהוראות כל דין.</w:t>
            </w:r>
          </w:p>
          <w:p w:rsidR="00000000" w:rsidRDefault="00F37340">
            <w:pPr>
              <w:jc w:val="both"/>
              <w:rPr>
                <w:rFonts w:cs="David"/>
                <w:b/>
                <w:bCs/>
                <w:i/>
                <w:sz w:val="26"/>
                <w:szCs w:val="26"/>
                <w:rtl/>
              </w:rPr>
            </w:pPr>
            <w:r>
              <w:rPr>
                <w:rFonts w:cs="David"/>
                <w:sz w:val="26"/>
                <w:szCs w:val="26"/>
                <w:rtl/>
              </w:rPr>
              <w:t xml:space="preserve">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הסכמת קטין, פסול דין וחסוי</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26.</w:t>
            </w:r>
          </w:p>
        </w:tc>
        <w:tc>
          <w:tcPr>
            <w:tcW w:w="659"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הסכמת נציגו של משתתף שהוא קטין שמלאו לו 16 שנה, פסול דין,  חסוי, או אדם אחר שאינו כשיר לתת הסכמה מדעת לטיפול רפואי, טעונה א</w:t>
            </w:r>
            <w:r>
              <w:rPr>
                <w:rFonts w:cs="David"/>
                <w:sz w:val="26"/>
                <w:szCs w:val="26"/>
                <w:rtl/>
              </w:rPr>
              <w:t xml:space="preserve">ישור המשתתף עצמו, אם ביכולתו להבין דבר. </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656" w:type="dxa"/>
            <w:gridSpan w:val="12"/>
            <w:tcBorders>
              <w:top w:val="nil"/>
              <w:left w:val="nil"/>
              <w:bottom w:val="nil"/>
              <w:right w:val="nil"/>
            </w:tcBorders>
          </w:tcPr>
          <w:p w:rsidR="00000000" w:rsidRDefault="00F37340">
            <w:pPr>
              <w:pStyle w:val="21"/>
              <w:spacing w:line="360" w:lineRule="auto"/>
              <w:rPr>
                <w:rFonts w:cs="David"/>
                <w:sz w:val="26"/>
                <w:szCs w:val="26"/>
                <w:rtl/>
              </w:rPr>
            </w:pPr>
            <w:r>
              <w:rPr>
                <w:rFonts w:cs="David"/>
                <w:sz w:val="26"/>
                <w:szCs w:val="26"/>
                <w:rtl/>
              </w:rPr>
              <w:t>מקום שלא ניתן לקבל את הסכמת המשתתף עצמו כאמור בסעיף קטן (א), והניסוי הוא בדרגת סיכון גבוהה, תהא הסכמת נציגו של המשתתף טעונה אישור בית משפט; הוראה זו לא תחול על ניסוי שנועד להיערך רק על אוכלוסייה רגישה עליה נ</w:t>
            </w:r>
            <w:r>
              <w:rPr>
                <w:rFonts w:cs="David"/>
                <w:sz w:val="26"/>
                <w:szCs w:val="26"/>
                <w:rtl/>
              </w:rPr>
              <w:t>מנה המשתתף,  ואושר כדין.</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איסור תניות פטור</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27.</w:t>
            </w:r>
          </w:p>
        </w:tc>
        <w:tc>
          <w:tcPr>
            <w:tcW w:w="7315" w:type="dxa"/>
            <w:gridSpan w:val="1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מידע על הניסוי, בקשה למתן הסכמה מדעת וטופס הסכמה להשתתפות בניסוי לא יכללו  כל הוראה או דרישה שיש בהן משום ויתור של המשתתף על זכויותיו לפי כל דין, או הבאות לפטור את החוקר, היוזם, המוסד, או מי מטעמם, מחובה או מ</w:t>
            </w:r>
            <w:r>
              <w:rPr>
                <w:rFonts w:cs="David"/>
                <w:sz w:val="26"/>
                <w:szCs w:val="26"/>
                <w:rtl/>
              </w:rPr>
              <w:t>אחריות המוטלת עליהם על פי כל דין או על פי הסכם.</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אופן מסירת מידע</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28.</w:t>
            </w:r>
          </w:p>
        </w:tc>
        <w:tc>
          <w:tcPr>
            <w:tcW w:w="7315" w:type="dxa"/>
            <w:gridSpan w:val="1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לשם קבלת הסכמה מדעת, ימסור החוקר למשתתף מידע על הניסוי, בלשון בהירה ובשפה המובנת למשתתף; החוקר יעשה כל שניתן על מנת לאפשר למשתתף מידה מרבית של הבנת המידע לשם קבלת החלטה בדרך של בחירה מרצ</w:t>
            </w:r>
            <w:r>
              <w:rPr>
                <w:rFonts w:cs="David"/>
                <w:sz w:val="26"/>
                <w:szCs w:val="26"/>
                <w:rtl/>
              </w:rPr>
              <w:t>ון ואי תלות, ולאחר שיקול  דעת, ללא הפעלת  לחץ או השפעה בלתי הוגנים;</w:t>
            </w:r>
          </w:p>
          <w:p w:rsidR="00000000" w:rsidRDefault="00F37340">
            <w:pPr>
              <w:spacing w:line="360" w:lineRule="auto"/>
              <w:rPr>
                <w:rFonts w:cs="David"/>
                <w:b/>
                <w:bCs/>
                <w:sz w:val="26"/>
                <w:szCs w:val="26"/>
                <w:rtl/>
              </w:rPr>
            </w:pPr>
            <w:r>
              <w:rPr>
                <w:rFonts w:cs="David"/>
                <w:sz w:val="26"/>
                <w:szCs w:val="26"/>
                <w:rtl/>
              </w:rPr>
              <w:t>לענין זה, "מידע על הניסוי", לרבות –</w:t>
            </w:r>
            <w:r>
              <w:rPr>
                <w:rFonts w:cs="David"/>
                <w:b/>
                <w:bCs/>
                <w:sz w:val="26"/>
                <w:szCs w:val="26"/>
                <w:rtl/>
              </w:rPr>
              <w:t xml:space="preserve"> </w:t>
            </w:r>
          </w:p>
          <w:p w:rsidR="00000000" w:rsidRDefault="00F37340">
            <w:pPr>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(1)</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מטרת הניסוי, האופי המחקרי של ההליך ומשך הזמן הצפוי להשתתפות בניסוי;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(2)</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תיאור ההליכים השונים בתקופת הניסוי והבחנה ברורה בין הליכים מחקריים ל</w:t>
            </w:r>
            <w:r>
              <w:rPr>
                <w:rFonts w:cs="David"/>
                <w:sz w:val="26"/>
                <w:szCs w:val="26"/>
                <w:rtl/>
              </w:rPr>
              <w:t xml:space="preserve">בין טיפולים מקובלים;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(3)</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תיאור של הסיכונים הסבירים או אי הנוחות האפשרית הכרוכים בהשתתפות בניסוי, והצהרה על רמת הסיכון של הניסוי;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(4)</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תיאור היתרונות הצפויים למשתתף או לאחרים, כתוצאה מהניסוי;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(5)</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הצהרה בדבר מידת השמירה על סודיות המידע המזהה את המשת</w:t>
            </w:r>
            <w:r>
              <w:rPr>
                <w:rFonts w:cs="David"/>
                <w:sz w:val="26"/>
                <w:szCs w:val="26"/>
                <w:rtl/>
              </w:rPr>
              <w:t>תף בניסוי;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(6)</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אם יש בניסוי סיכון למשתתף – הסבר על הטיפול הרפואי שיקבל במקרה של פגיעה בבריאותו והאחריות לנתינתו;</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(7)</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כתובת לבירורים בנוגע לניסוי, לזכויות המשתתף ולטיפול בנזק לבריאות המשתתף בניסוי;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(8)</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הסבר שההשתתפות בניסוי היא מרצון בלבד, הצהרה על</w:t>
            </w:r>
            <w:r>
              <w:rPr>
                <w:rFonts w:cs="David"/>
                <w:sz w:val="26"/>
                <w:szCs w:val="26"/>
                <w:rtl/>
              </w:rPr>
              <w:t xml:space="preserve"> זכותו של המשתתף לסרב להשתתף בניסוי או להפסיק את השתתפותו בכל שלב בניסוי, והצהרה כי המשתתף לא יינזק כלכלית ולא יפגעו זכויותיו הרפואיות או זכויות מכל סוג אחר עקב סירוב להשתתף בניסוי או עקב הפסקת השתתפותו בניסוי;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(9)</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בניסוי הכרוך במתן טיפול רפואי למשתתף ה</w:t>
            </w:r>
            <w:r>
              <w:rPr>
                <w:rFonts w:cs="David"/>
                <w:sz w:val="26"/>
                <w:szCs w:val="26"/>
                <w:rtl/>
              </w:rPr>
              <w:t>זקוק לו –</w:t>
            </w:r>
          </w:p>
        </w:tc>
      </w:tr>
      <w:tr w:rsidR="00000000">
        <w:tblPrEx>
          <w:tblCellMar>
            <w:top w:w="0" w:type="dxa"/>
            <w:bottom w:w="0" w:type="dxa"/>
          </w:tblCellMar>
        </w:tblPrEx>
        <w:tc>
          <w:tcPr>
            <w:tcW w:w="1147" w:type="dxa"/>
            <w:gridSpan w:val="2"/>
            <w:tcBorders>
              <w:top w:val="nil"/>
              <w:left w:val="nil"/>
              <w:bottom w:val="nil"/>
              <w:right w:val="nil"/>
            </w:tcBorders>
            <w:vAlign w:val="center"/>
          </w:tcPr>
          <w:p w:rsidR="00000000" w:rsidRDefault="00F37340">
            <w:pPr>
              <w:jc w:val="center"/>
              <w:rPr>
                <w:rFonts w:cs="David"/>
                <w:b/>
                <w:bCs/>
                <w:color w:val="FF6600"/>
                <w:sz w:val="26"/>
                <w:szCs w:val="26"/>
                <w:rtl/>
              </w:rPr>
            </w:pPr>
          </w:p>
        </w:tc>
        <w:tc>
          <w:tcPr>
            <w:tcW w:w="722" w:type="dxa"/>
            <w:gridSpan w:val="3"/>
            <w:tcBorders>
              <w:top w:val="nil"/>
              <w:left w:val="nil"/>
              <w:bottom w:val="nil"/>
              <w:right w:val="nil"/>
            </w:tcBorders>
          </w:tcPr>
          <w:p w:rsidR="00000000" w:rsidRDefault="00F37340">
            <w:pPr>
              <w:rPr>
                <w:rFonts w:cs="David"/>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p>
        </w:tc>
        <w:tc>
          <w:tcPr>
            <w:tcW w:w="540"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(א)</w:t>
            </w:r>
          </w:p>
        </w:tc>
        <w:tc>
          <w:tcPr>
            <w:tcW w:w="6116"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הצהרה כי היוזם מתחייב לממן עבור המשתתף את המשך הטיפול שניתן במסגרת הניסוי, או לספק את התכשיר, היה והטיפול שניתן במהלך הניסוי נתגלה כחיוני למשתתף, ואין לו תחליף הולם, וזאת עד לאישור הטיפול בהתאם להוראות כל דין, או לתקופה של שלוש שנים מסיום</w:t>
            </w:r>
            <w:r>
              <w:rPr>
                <w:rFonts w:cs="David"/>
                <w:sz w:val="26"/>
                <w:szCs w:val="26"/>
                <w:rtl/>
              </w:rPr>
              <w:t xml:space="preserve"> הניסוי, לפי המוקדם מביניהם, בכפוף להמלצת ועדת ניסויי אנוש המוסדית, שתינתן מדי ששה חודשים;</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p>
        </w:tc>
        <w:tc>
          <w:tcPr>
            <w:tcW w:w="540"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w:t>
            </w:r>
          </w:p>
        </w:tc>
        <w:tc>
          <w:tcPr>
            <w:tcW w:w="6116"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הצהרה כי ההשתתפות בניסוי לא תהא כרוכה בעלות כספית נוספת למשתתף, מעבר לעלות הכרוכה בטיפול רגיל שעליו לקבל;</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jc w:val="both"/>
              <w:rPr>
                <w:rFonts w:cs="David"/>
                <w:sz w:val="26"/>
                <w:szCs w:val="26"/>
                <w:rtl/>
              </w:rPr>
            </w:pPr>
          </w:p>
        </w:tc>
        <w:tc>
          <w:tcPr>
            <w:tcW w:w="540"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(ג)</w:t>
            </w:r>
          </w:p>
        </w:tc>
        <w:tc>
          <w:tcPr>
            <w:tcW w:w="6116" w:type="dxa"/>
            <w:gridSpan w:val="8"/>
            <w:tcBorders>
              <w:top w:val="nil"/>
              <w:left w:val="nil"/>
              <w:bottom w:val="nil"/>
              <w:right w:val="nil"/>
            </w:tcBorders>
          </w:tcPr>
          <w:p w:rsidR="00000000" w:rsidRDefault="00F37340">
            <w:pPr>
              <w:pStyle w:val="21"/>
              <w:spacing w:line="360" w:lineRule="auto"/>
              <w:rPr>
                <w:rFonts w:cs="David"/>
                <w:spacing w:val="20"/>
                <w:sz w:val="26"/>
                <w:szCs w:val="26"/>
                <w:rtl/>
              </w:rPr>
            </w:pPr>
            <w:r>
              <w:rPr>
                <w:rFonts w:cs="David"/>
                <w:sz w:val="26"/>
                <w:szCs w:val="26"/>
                <w:rtl/>
              </w:rPr>
              <w:t>הסבר על  טיפולים חלופיים, ועל יתרונותיהם, א</w:t>
            </w:r>
            <w:r>
              <w:rPr>
                <w:rFonts w:cs="David"/>
                <w:sz w:val="26"/>
                <w:szCs w:val="26"/>
                <w:rtl/>
              </w:rPr>
              <w:t>ם ישנם כאלה, למשתתף.</w:t>
            </w:r>
          </w:p>
          <w:p w:rsidR="00000000" w:rsidRDefault="00F37340">
            <w:pPr>
              <w:pStyle w:val="21"/>
              <w:rPr>
                <w:rFonts w:cs="David"/>
                <w:spacing w:val="20"/>
                <w:sz w:val="26"/>
                <w:szCs w:val="26"/>
                <w:rtl/>
              </w:rPr>
            </w:pPr>
            <w:r>
              <w:rPr>
                <w:rFonts w:cs="David"/>
                <w:sz w:val="24"/>
                <w:rtl/>
              </w:rPr>
              <w:t xml:space="preserve"> </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מידע נוסף</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29.</w:t>
            </w:r>
          </w:p>
        </w:tc>
        <w:tc>
          <w:tcPr>
            <w:tcW w:w="7315" w:type="dxa"/>
            <w:gridSpan w:val="1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נוסף על המידע המפורט בסעיף 28, ימסור החוקר למשתתף מידע כמפורט להלן, לפי הענין: </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jc w:val="both"/>
              <w:rPr>
                <w:rFonts w:cs="David"/>
                <w:sz w:val="26"/>
                <w:szCs w:val="26"/>
                <w:rtl/>
              </w:rPr>
            </w:pPr>
            <w:r>
              <w:rPr>
                <w:rFonts w:cs="David"/>
                <w:sz w:val="26"/>
                <w:szCs w:val="26"/>
                <w:rtl/>
              </w:rPr>
              <w:t>(1)</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הצהרה כי בניסוי כלול  סיכון למשתתף שאינו ניתן להערכה;</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jc w:val="both"/>
              <w:rPr>
                <w:rFonts w:cs="David"/>
                <w:sz w:val="26"/>
                <w:szCs w:val="26"/>
                <w:rtl/>
              </w:rPr>
            </w:pPr>
            <w:r>
              <w:rPr>
                <w:rFonts w:cs="David"/>
                <w:sz w:val="26"/>
                <w:szCs w:val="26"/>
                <w:rtl/>
              </w:rPr>
              <w:t>(2)</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תיאור הנסיבות שבהן עשויה השתתפותו בניסוי להיפסק בהחלטת החוקר;</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jc w:val="both"/>
              <w:rPr>
                <w:rFonts w:cs="David"/>
                <w:sz w:val="26"/>
                <w:szCs w:val="26"/>
                <w:rtl/>
              </w:rPr>
            </w:pPr>
            <w:r>
              <w:rPr>
                <w:rFonts w:cs="David"/>
                <w:sz w:val="26"/>
                <w:szCs w:val="26"/>
                <w:rtl/>
              </w:rPr>
              <w:t>(3)</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הצהרה על תוצאות רפואיות אפשריות של החלטת המשתתף על הפסקת השתתפותו בניסוי לפני סיומו;</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jc w:val="both"/>
              <w:rPr>
                <w:rFonts w:cs="David"/>
                <w:sz w:val="26"/>
                <w:szCs w:val="26"/>
                <w:rtl/>
              </w:rPr>
            </w:pPr>
            <w:r>
              <w:rPr>
                <w:rFonts w:cs="David"/>
                <w:sz w:val="26"/>
                <w:szCs w:val="26"/>
                <w:rtl/>
              </w:rPr>
              <w:t>(4)</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המספר המשוער של המשתתפים בניסוי.</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sz w:val="26"/>
                <w:szCs w:val="26"/>
                <w:rtl/>
              </w:rPr>
            </w:pPr>
            <w:r>
              <w:rPr>
                <w:rFonts w:cs="David"/>
                <w:sz w:val="26"/>
                <w:szCs w:val="26"/>
                <w:rtl/>
              </w:rPr>
              <w:t>אופן מתן הסכמה מדעת</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30.</w:t>
            </w:r>
          </w:p>
        </w:tc>
        <w:tc>
          <w:tcPr>
            <w:tcW w:w="659" w:type="dxa"/>
            <w:gridSpan w:val="6"/>
            <w:tcBorders>
              <w:top w:val="nil"/>
              <w:left w:val="nil"/>
              <w:bottom w:val="nil"/>
              <w:right w:val="nil"/>
            </w:tcBorders>
          </w:tcPr>
          <w:p w:rsidR="00000000" w:rsidRDefault="00F37340">
            <w:pPr>
              <w:rPr>
                <w:rFonts w:cs="David"/>
                <w:sz w:val="26"/>
                <w:szCs w:val="26"/>
                <w:rtl/>
              </w:rPr>
            </w:pPr>
            <w:r>
              <w:rPr>
                <w:rFonts w:cs="David"/>
                <w:sz w:val="26"/>
                <w:szCs w:val="26"/>
                <w:rtl/>
              </w:rPr>
              <w:t>(א)</w:t>
            </w:r>
          </w:p>
        </w:tc>
        <w:tc>
          <w:tcPr>
            <w:tcW w:w="6656" w:type="dxa"/>
            <w:gridSpan w:val="12"/>
            <w:tcBorders>
              <w:top w:val="nil"/>
              <w:left w:val="nil"/>
              <w:bottom w:val="nil"/>
              <w:right w:val="nil"/>
            </w:tcBorders>
          </w:tcPr>
          <w:p w:rsidR="00000000" w:rsidRDefault="00F37340">
            <w:pPr>
              <w:pStyle w:val="21"/>
              <w:spacing w:line="360" w:lineRule="auto"/>
              <w:rPr>
                <w:rFonts w:cs="David"/>
                <w:spacing w:val="20"/>
                <w:sz w:val="26"/>
                <w:szCs w:val="26"/>
                <w:rtl/>
              </w:rPr>
            </w:pPr>
            <w:r>
              <w:rPr>
                <w:rFonts w:cs="David"/>
                <w:sz w:val="26"/>
                <w:szCs w:val="26"/>
                <w:rtl/>
              </w:rPr>
              <w:t>הסכמה מדעת להשתתפות בניסוי רפואי בבני אדם תינתן בכתב, בנוסח שאושר על ידי ועדת ניסויי אנוש לאותו ניסוי</w:t>
            </w:r>
            <w:r>
              <w:rPr>
                <w:rFonts w:cs="David"/>
                <w:sz w:val="26"/>
                <w:szCs w:val="26"/>
                <w:rtl/>
              </w:rPr>
              <w:t>; טופס הסכמה מדעת ייחתם בידי המשתתף או נציגו, לפי הענין, ובידי החוקר; העתק חתום של טופס ההסכמה יימסר למשתתף.</w:t>
            </w:r>
          </w:p>
          <w:p w:rsidR="00000000" w:rsidRDefault="00F37340">
            <w:pPr>
              <w:jc w:val="both"/>
              <w:rPr>
                <w:rFonts w:cs="David"/>
                <w:sz w:val="26"/>
                <w:szCs w:val="26"/>
                <w:rtl/>
              </w:rPr>
            </w:pP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rPr>
                <w:rFonts w:cs="David"/>
                <w:sz w:val="26"/>
                <w:szCs w:val="26"/>
                <w:rtl/>
              </w:rPr>
            </w:pPr>
            <w:r>
              <w:rPr>
                <w:rFonts w:cs="David"/>
                <w:sz w:val="26"/>
                <w:szCs w:val="26"/>
                <w:rtl/>
              </w:rPr>
              <w:t>(ב)</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טופס הסכמה מדעת יכלול את תמצית המידע על הניסוי שנמסר למשתתף לפי סעיפים 28 ו–29, ובלבד שכל מידע שנדרשה לגביו הצהרה לפי אותם סעיפים יפורש בטו</w:t>
            </w:r>
            <w:r>
              <w:rPr>
                <w:rFonts w:cs="David"/>
                <w:sz w:val="26"/>
                <w:szCs w:val="26"/>
                <w:rtl/>
              </w:rPr>
              <w:t>פס באופן מפורט; כן יכלול הטופס את פרטי המשתתף ואת מועד חתימתו על הטופס.</w:t>
            </w:r>
          </w:p>
          <w:p w:rsidR="00000000" w:rsidRDefault="00F37340">
            <w:pPr>
              <w:jc w:val="both"/>
              <w:rPr>
                <w:rFonts w:cs="David"/>
                <w:sz w:val="26"/>
                <w:szCs w:val="26"/>
                <w:rtl/>
              </w:rPr>
            </w:pPr>
          </w:p>
        </w:tc>
      </w:tr>
      <w:tr w:rsidR="00000000">
        <w:tblPrEx>
          <w:tblCellMar>
            <w:top w:w="0" w:type="dxa"/>
            <w:bottom w:w="0" w:type="dxa"/>
          </w:tblCellMar>
        </w:tblPrEx>
        <w:trPr>
          <w:cantSplit/>
          <w:trHeight w:val="725"/>
        </w:trPr>
        <w:tc>
          <w:tcPr>
            <w:tcW w:w="1147" w:type="dxa"/>
            <w:gridSpan w:val="2"/>
            <w:tcBorders>
              <w:top w:val="nil"/>
              <w:left w:val="nil"/>
              <w:bottom w:val="nil"/>
              <w:right w:val="nil"/>
            </w:tcBorders>
          </w:tcPr>
          <w:p w:rsidR="00000000" w:rsidRDefault="00F37340">
            <w:pPr>
              <w:rPr>
                <w:rFonts w:cs="David"/>
                <w:sz w:val="26"/>
                <w:szCs w:val="26"/>
                <w:rtl/>
              </w:rPr>
            </w:pPr>
          </w:p>
          <w:p w:rsidR="00000000" w:rsidRDefault="00F37340"/>
        </w:tc>
        <w:tc>
          <w:tcPr>
            <w:tcW w:w="722" w:type="dxa"/>
            <w:gridSpan w:val="3"/>
            <w:tcBorders>
              <w:top w:val="nil"/>
              <w:left w:val="nil"/>
              <w:bottom w:val="nil"/>
              <w:right w:val="nil"/>
            </w:tcBorders>
          </w:tcPr>
          <w:p w:rsidR="00000000" w:rsidRDefault="00F37340">
            <w:pPr>
              <w:rPr>
                <w:rFonts w:cs="David"/>
                <w:sz w:val="26"/>
                <w:szCs w:val="26"/>
              </w:rPr>
            </w:pPr>
          </w:p>
        </w:tc>
        <w:tc>
          <w:tcPr>
            <w:tcW w:w="659" w:type="dxa"/>
            <w:gridSpan w:val="6"/>
            <w:tcBorders>
              <w:top w:val="nil"/>
              <w:left w:val="nil"/>
              <w:bottom w:val="nil"/>
              <w:right w:val="nil"/>
            </w:tcBorders>
          </w:tcPr>
          <w:p w:rsidR="00000000" w:rsidRDefault="00F37340">
            <w:pPr>
              <w:rPr>
                <w:rFonts w:cs="David"/>
                <w:sz w:val="26"/>
                <w:szCs w:val="26"/>
              </w:rPr>
            </w:pPr>
            <w:r>
              <w:rPr>
                <w:rFonts w:cs="David"/>
                <w:sz w:val="26"/>
                <w:szCs w:val="26"/>
                <w:rtl/>
              </w:rPr>
              <w:t>(ג)</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הסכמה מדעת להשתתפות בניסוי גנטי תינתן גם בהתאם להוראות חוק מידע גנטי.</w:t>
            </w:r>
          </w:p>
          <w:p w:rsidR="00000000" w:rsidRDefault="00F37340">
            <w:pPr>
              <w:jc w:val="both"/>
              <w:rPr>
                <w:rFonts w:cs="David"/>
                <w:sz w:val="26"/>
                <w:szCs w:val="26"/>
              </w:rPr>
            </w:pPr>
          </w:p>
        </w:tc>
      </w:tr>
      <w:tr w:rsidR="00000000">
        <w:tblPrEx>
          <w:tblCellMar>
            <w:top w:w="0" w:type="dxa"/>
            <w:bottom w:w="0" w:type="dxa"/>
          </w:tblCellMar>
        </w:tblPrEx>
        <w:trPr>
          <w:cantSplit/>
          <w:trHeight w:val="725"/>
        </w:trPr>
        <w:tc>
          <w:tcPr>
            <w:tcW w:w="1147" w:type="dxa"/>
            <w:gridSpan w:val="2"/>
            <w:vMerge w:val="restart"/>
            <w:tcBorders>
              <w:top w:val="nil"/>
              <w:left w:val="nil"/>
              <w:bottom w:val="nil"/>
              <w:right w:val="nil"/>
            </w:tcBorders>
          </w:tcPr>
          <w:p w:rsidR="00000000" w:rsidRDefault="00F37340">
            <w:pPr>
              <w:rPr>
                <w:rFonts w:cs="David"/>
                <w:sz w:val="26"/>
                <w:szCs w:val="26"/>
                <w:rtl/>
              </w:rPr>
            </w:pPr>
            <w:r>
              <w:rPr>
                <w:rFonts w:cs="David"/>
                <w:sz w:val="26"/>
                <w:szCs w:val="26"/>
                <w:rtl/>
              </w:rPr>
              <w:t xml:space="preserve">חריגה מהתנאים לקבלת </w:t>
            </w:r>
          </w:p>
          <w:p w:rsidR="00000000" w:rsidRDefault="00F37340">
            <w:pPr>
              <w:rPr>
                <w:rFonts w:cs="David"/>
                <w:sz w:val="26"/>
                <w:szCs w:val="26"/>
                <w:rtl/>
              </w:rPr>
            </w:pPr>
            <w:r>
              <w:rPr>
                <w:rFonts w:cs="David"/>
                <w:sz w:val="26"/>
                <w:szCs w:val="26"/>
                <w:rtl/>
              </w:rPr>
              <w:t>הסכמה מדעת</w:t>
            </w:r>
          </w:p>
        </w:tc>
        <w:tc>
          <w:tcPr>
            <w:tcW w:w="722" w:type="dxa"/>
            <w:gridSpan w:val="3"/>
            <w:tcBorders>
              <w:top w:val="nil"/>
              <w:left w:val="nil"/>
              <w:bottom w:val="nil"/>
              <w:right w:val="nil"/>
            </w:tcBorders>
          </w:tcPr>
          <w:p w:rsidR="00000000" w:rsidRDefault="00F37340">
            <w:pPr>
              <w:rPr>
                <w:rFonts w:cs="David"/>
                <w:sz w:val="26"/>
                <w:szCs w:val="26"/>
                <w:rtl/>
              </w:rPr>
            </w:pPr>
            <w:r>
              <w:rPr>
                <w:rFonts w:cs="David"/>
                <w:sz w:val="26"/>
                <w:szCs w:val="26"/>
                <w:rtl/>
              </w:rPr>
              <w:t>31.</w:t>
            </w:r>
          </w:p>
        </w:tc>
        <w:tc>
          <w:tcPr>
            <w:tcW w:w="659"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656" w:type="dxa"/>
            <w:gridSpan w:val="12"/>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ועדת ניסויי אנוש מרכזית רשאית לאשר כי הסכמה מדעת לא תינתן בכתב</w:t>
            </w:r>
            <w:r>
              <w:rPr>
                <w:rFonts w:cs="David"/>
                <w:sz w:val="26"/>
                <w:szCs w:val="26"/>
                <w:rtl/>
              </w:rPr>
              <w:t>, אם נתקיים אחד מאלה:</w:t>
            </w:r>
          </w:p>
        </w:tc>
      </w:tr>
      <w:tr w:rsidR="00000000">
        <w:tblPrEx>
          <w:tblCellMar>
            <w:top w:w="0" w:type="dxa"/>
            <w:bottom w:w="0" w:type="dxa"/>
          </w:tblCellMar>
        </w:tblPrEx>
        <w:trPr>
          <w:cantSplit/>
        </w:trPr>
        <w:tc>
          <w:tcPr>
            <w:tcW w:w="1147" w:type="dxa"/>
            <w:gridSpan w:val="2"/>
            <w:vMerge/>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rPr>
                <w:rFonts w:cs="David"/>
                <w:b/>
                <w:bCs/>
                <w:sz w:val="26"/>
                <w:szCs w:val="26"/>
                <w:rtl/>
              </w:rPr>
            </w:pPr>
          </w:p>
        </w:tc>
        <w:tc>
          <w:tcPr>
            <w:tcW w:w="540"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(1)</w:t>
            </w:r>
          </w:p>
        </w:tc>
        <w:tc>
          <w:tcPr>
            <w:tcW w:w="6116"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הניסוי אינו בדרגת סיכון גבוהה ואינו כולל כל פעולה או הליך אשר לגביו נהוג לדרוש הסכמה בכתב, כאשר הוא מתבצע שלא במסגרת ניסוי;</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rPr>
                <w:rFonts w:cs="David"/>
                <w:b/>
                <w:bCs/>
                <w:sz w:val="26"/>
                <w:szCs w:val="26"/>
                <w:rtl/>
              </w:rPr>
            </w:pPr>
          </w:p>
        </w:tc>
        <w:tc>
          <w:tcPr>
            <w:tcW w:w="540"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(2)</w:t>
            </w:r>
          </w:p>
        </w:tc>
        <w:tc>
          <w:tcPr>
            <w:tcW w:w="6116"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הסיכון העיקרי למשתתף בניסוי הוא מחשיפת מידע מזהה  אודותיו, וסיכון זה יוגבר במידה רבה על ידי תי</w:t>
            </w:r>
            <w:r>
              <w:rPr>
                <w:rFonts w:cs="David"/>
                <w:sz w:val="26"/>
                <w:szCs w:val="26"/>
                <w:rtl/>
              </w:rPr>
              <w:t>עוד ההסכמה;  אושר ויתור על דרישת הכתב במקרה זה, תינתן למשתתף האפשרות לבחור לתת הסכמתו מדעת בכתב.</w:t>
            </w:r>
          </w:p>
        </w:tc>
      </w:tr>
      <w:tr w:rsidR="00000000">
        <w:tblPrEx>
          <w:tblCellMar>
            <w:top w:w="0" w:type="dxa"/>
            <w:bottom w:w="0" w:type="dxa"/>
          </w:tblCellMar>
        </w:tblPrEx>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sz w:val="26"/>
                <w:szCs w:val="26"/>
                <w:rtl/>
              </w:rPr>
            </w:pPr>
          </w:p>
        </w:tc>
        <w:tc>
          <w:tcPr>
            <w:tcW w:w="659"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540" w:type="dxa"/>
            <w:gridSpan w:val="4"/>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(1)</w:t>
            </w:r>
          </w:p>
        </w:tc>
        <w:tc>
          <w:tcPr>
            <w:tcW w:w="6116"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בניסוי רפואי שמתקיימים בו התנאים המפורטים להלן, תהא הסכמתו מדעת של בן משפחה מדרגה ראשונה של המשתתף מספקת, אם אישרה זאת מראש ועדת ניסויי אנוש מרכזית</w:t>
            </w:r>
            <w:r>
              <w:rPr>
                <w:rFonts w:cs="David"/>
                <w:sz w:val="26"/>
                <w:szCs w:val="26"/>
                <w:rtl/>
              </w:rPr>
              <w:t>; ואלה התנאים:</w:t>
            </w: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722" w:type="dxa"/>
            <w:gridSpan w:val="3"/>
            <w:tcBorders>
              <w:top w:val="nil"/>
              <w:left w:val="nil"/>
              <w:bottom w:val="nil"/>
              <w:right w:val="nil"/>
            </w:tcBorders>
          </w:tcPr>
          <w:p w:rsidR="00000000" w:rsidRDefault="00F37340">
            <w:pPr>
              <w:rPr>
                <w:rFonts w:cs="David"/>
                <w:b/>
                <w:bCs/>
                <w:sz w:val="26"/>
                <w:szCs w:val="26"/>
              </w:rPr>
            </w:pPr>
          </w:p>
        </w:tc>
        <w:tc>
          <w:tcPr>
            <w:tcW w:w="659" w:type="dxa"/>
            <w:gridSpan w:val="6"/>
            <w:tcBorders>
              <w:top w:val="nil"/>
              <w:left w:val="nil"/>
              <w:bottom w:val="nil"/>
              <w:right w:val="nil"/>
            </w:tcBorders>
          </w:tcPr>
          <w:p w:rsidR="00000000" w:rsidRDefault="00F37340">
            <w:pPr>
              <w:spacing w:line="360" w:lineRule="auto"/>
              <w:rPr>
                <w:rFonts w:cs="David"/>
                <w:sz w:val="26"/>
                <w:szCs w:val="26"/>
              </w:rPr>
            </w:pPr>
          </w:p>
        </w:tc>
        <w:tc>
          <w:tcPr>
            <w:tcW w:w="540" w:type="dxa"/>
            <w:gridSpan w:val="4"/>
            <w:tcBorders>
              <w:top w:val="nil"/>
              <w:left w:val="nil"/>
              <w:bottom w:val="nil"/>
              <w:right w:val="nil"/>
            </w:tcBorders>
          </w:tcPr>
          <w:p w:rsidR="00000000" w:rsidRDefault="00F37340">
            <w:pPr>
              <w:spacing w:line="360" w:lineRule="auto"/>
              <w:rPr>
                <w:rFonts w:cs="David"/>
                <w:sz w:val="26"/>
                <w:szCs w:val="26"/>
              </w:rPr>
            </w:pPr>
          </w:p>
        </w:tc>
        <w:tc>
          <w:tcPr>
            <w:tcW w:w="720" w:type="dxa"/>
            <w:gridSpan w:val="3"/>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(א)</w:t>
            </w:r>
          </w:p>
        </w:tc>
        <w:tc>
          <w:tcPr>
            <w:tcW w:w="5396" w:type="dxa"/>
            <w:gridSpan w:val="5"/>
            <w:tcBorders>
              <w:top w:val="nil"/>
              <w:left w:val="nil"/>
              <w:bottom w:val="nil"/>
              <w:right w:val="nil"/>
            </w:tcBorders>
          </w:tcPr>
          <w:p w:rsidR="00000000" w:rsidRDefault="00F37340">
            <w:pPr>
              <w:spacing w:line="360" w:lineRule="auto"/>
              <w:jc w:val="both"/>
              <w:rPr>
                <w:rFonts w:cs="David"/>
                <w:sz w:val="26"/>
                <w:szCs w:val="26"/>
              </w:rPr>
            </w:pPr>
            <w:r>
              <w:rPr>
                <w:rFonts w:cs="David"/>
                <w:sz w:val="26"/>
                <w:szCs w:val="26"/>
                <w:rtl/>
              </w:rPr>
              <w:t>הניסוי מיועד להיערך רק עם משתתפים המצויים במצב חירום רפואי כהגדרתו בסעיף 2 לחוק זכויות החולה;</w:t>
            </w: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722" w:type="dxa"/>
            <w:gridSpan w:val="3"/>
            <w:tcBorders>
              <w:top w:val="nil"/>
              <w:left w:val="nil"/>
              <w:bottom w:val="nil"/>
              <w:right w:val="nil"/>
            </w:tcBorders>
          </w:tcPr>
          <w:p w:rsidR="00000000" w:rsidRDefault="00F37340">
            <w:pPr>
              <w:rPr>
                <w:rFonts w:cs="David"/>
                <w:b/>
                <w:bCs/>
                <w:sz w:val="26"/>
                <w:szCs w:val="26"/>
              </w:rPr>
            </w:pPr>
          </w:p>
        </w:tc>
        <w:tc>
          <w:tcPr>
            <w:tcW w:w="659" w:type="dxa"/>
            <w:gridSpan w:val="6"/>
            <w:tcBorders>
              <w:top w:val="nil"/>
              <w:left w:val="nil"/>
              <w:bottom w:val="nil"/>
              <w:right w:val="nil"/>
            </w:tcBorders>
          </w:tcPr>
          <w:p w:rsidR="00000000" w:rsidRDefault="00F37340">
            <w:pPr>
              <w:spacing w:line="360" w:lineRule="auto"/>
              <w:rPr>
                <w:rFonts w:cs="David"/>
                <w:sz w:val="26"/>
                <w:szCs w:val="26"/>
              </w:rPr>
            </w:pPr>
          </w:p>
        </w:tc>
        <w:tc>
          <w:tcPr>
            <w:tcW w:w="540" w:type="dxa"/>
            <w:gridSpan w:val="4"/>
            <w:tcBorders>
              <w:top w:val="nil"/>
              <w:left w:val="nil"/>
              <w:bottom w:val="nil"/>
              <w:right w:val="nil"/>
            </w:tcBorders>
          </w:tcPr>
          <w:p w:rsidR="00000000" w:rsidRDefault="00F37340">
            <w:pPr>
              <w:spacing w:line="360" w:lineRule="auto"/>
              <w:rPr>
                <w:rFonts w:cs="David"/>
                <w:sz w:val="26"/>
                <w:szCs w:val="26"/>
              </w:rPr>
            </w:pPr>
          </w:p>
        </w:tc>
        <w:tc>
          <w:tcPr>
            <w:tcW w:w="720" w:type="dxa"/>
            <w:gridSpan w:val="3"/>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(ב)</w:t>
            </w:r>
          </w:p>
        </w:tc>
        <w:tc>
          <w:tcPr>
            <w:tcW w:w="5396" w:type="dxa"/>
            <w:gridSpan w:val="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לא ניתן לקבל הסכמה מדעת של המשתתף עקב מצבו הגופני או הנפשי, או עקב נסיבות החירום כאמור;</w:t>
            </w: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722" w:type="dxa"/>
            <w:gridSpan w:val="3"/>
            <w:tcBorders>
              <w:top w:val="nil"/>
              <w:left w:val="nil"/>
              <w:bottom w:val="nil"/>
              <w:right w:val="nil"/>
            </w:tcBorders>
          </w:tcPr>
          <w:p w:rsidR="00000000" w:rsidRDefault="00F37340">
            <w:pPr>
              <w:rPr>
                <w:rFonts w:cs="David"/>
                <w:b/>
                <w:bCs/>
                <w:sz w:val="26"/>
                <w:szCs w:val="26"/>
              </w:rPr>
            </w:pPr>
          </w:p>
        </w:tc>
        <w:tc>
          <w:tcPr>
            <w:tcW w:w="659" w:type="dxa"/>
            <w:gridSpan w:val="6"/>
            <w:tcBorders>
              <w:top w:val="nil"/>
              <w:left w:val="nil"/>
              <w:bottom w:val="nil"/>
              <w:right w:val="nil"/>
            </w:tcBorders>
          </w:tcPr>
          <w:p w:rsidR="00000000" w:rsidRDefault="00F37340">
            <w:pPr>
              <w:spacing w:line="360" w:lineRule="auto"/>
              <w:rPr>
                <w:rFonts w:cs="David"/>
                <w:sz w:val="26"/>
                <w:szCs w:val="26"/>
              </w:rPr>
            </w:pPr>
          </w:p>
        </w:tc>
        <w:tc>
          <w:tcPr>
            <w:tcW w:w="540" w:type="dxa"/>
            <w:gridSpan w:val="4"/>
            <w:tcBorders>
              <w:top w:val="nil"/>
              <w:left w:val="nil"/>
              <w:bottom w:val="nil"/>
              <w:right w:val="nil"/>
            </w:tcBorders>
          </w:tcPr>
          <w:p w:rsidR="00000000" w:rsidRDefault="00F37340">
            <w:pPr>
              <w:spacing w:line="360" w:lineRule="auto"/>
              <w:rPr>
                <w:rFonts w:cs="David"/>
                <w:sz w:val="26"/>
                <w:szCs w:val="26"/>
              </w:rPr>
            </w:pPr>
          </w:p>
        </w:tc>
        <w:tc>
          <w:tcPr>
            <w:tcW w:w="720" w:type="dxa"/>
            <w:gridSpan w:val="3"/>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(ג)</w:t>
            </w:r>
          </w:p>
        </w:tc>
        <w:tc>
          <w:tcPr>
            <w:tcW w:w="5396" w:type="dxa"/>
            <w:gridSpan w:val="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יש יסוד סביר לצפות כי ההשתתפות ב</w:t>
            </w:r>
            <w:r>
              <w:rPr>
                <w:rFonts w:cs="David"/>
                <w:sz w:val="26"/>
                <w:szCs w:val="26"/>
                <w:rtl/>
              </w:rPr>
              <w:t>ניסוי תביא לשיפור ניכר במצבו הרפואי של המשתתף, בסבירות גבוהה יותר מאשר טיפול מקובל, או שלא קיים טיפול מקובל;</w:t>
            </w: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Pr>
            </w:pPr>
          </w:p>
        </w:tc>
        <w:tc>
          <w:tcPr>
            <w:tcW w:w="722" w:type="dxa"/>
            <w:gridSpan w:val="3"/>
            <w:tcBorders>
              <w:top w:val="nil"/>
              <w:left w:val="nil"/>
              <w:bottom w:val="nil"/>
              <w:right w:val="nil"/>
            </w:tcBorders>
          </w:tcPr>
          <w:p w:rsidR="00000000" w:rsidRDefault="00F37340">
            <w:pPr>
              <w:rPr>
                <w:rFonts w:cs="David"/>
                <w:b/>
                <w:bCs/>
                <w:sz w:val="26"/>
                <w:szCs w:val="26"/>
              </w:rPr>
            </w:pPr>
          </w:p>
        </w:tc>
        <w:tc>
          <w:tcPr>
            <w:tcW w:w="659" w:type="dxa"/>
            <w:gridSpan w:val="6"/>
            <w:tcBorders>
              <w:top w:val="nil"/>
              <w:left w:val="nil"/>
              <w:bottom w:val="nil"/>
              <w:right w:val="nil"/>
            </w:tcBorders>
          </w:tcPr>
          <w:p w:rsidR="00000000" w:rsidRDefault="00F37340">
            <w:pPr>
              <w:spacing w:line="360" w:lineRule="auto"/>
              <w:rPr>
                <w:rFonts w:cs="David"/>
                <w:sz w:val="26"/>
                <w:szCs w:val="26"/>
              </w:rPr>
            </w:pPr>
          </w:p>
        </w:tc>
        <w:tc>
          <w:tcPr>
            <w:tcW w:w="540" w:type="dxa"/>
            <w:gridSpan w:val="4"/>
            <w:tcBorders>
              <w:top w:val="nil"/>
              <w:left w:val="nil"/>
              <w:bottom w:val="nil"/>
              <w:right w:val="nil"/>
            </w:tcBorders>
          </w:tcPr>
          <w:p w:rsidR="00000000" w:rsidRDefault="00F37340">
            <w:pPr>
              <w:spacing w:line="360" w:lineRule="auto"/>
              <w:rPr>
                <w:rFonts w:cs="David"/>
                <w:sz w:val="26"/>
                <w:szCs w:val="26"/>
              </w:rPr>
            </w:pPr>
          </w:p>
        </w:tc>
        <w:tc>
          <w:tcPr>
            <w:tcW w:w="720" w:type="dxa"/>
            <w:gridSpan w:val="3"/>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(ד)</w:t>
            </w:r>
          </w:p>
        </w:tc>
        <w:tc>
          <w:tcPr>
            <w:tcW w:w="5396" w:type="dxa"/>
            <w:gridSpan w:val="5"/>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לא ידוע על התנגדותו של המשתתף או נציגו –</w:t>
            </w:r>
          </w:p>
        </w:tc>
      </w:tr>
      <w:tr w:rsidR="00000000">
        <w:tblPrEx>
          <w:tblCellMar>
            <w:top w:w="0" w:type="dxa"/>
            <w:bottom w:w="0" w:type="dxa"/>
          </w:tblCellMar>
        </w:tblPrEx>
        <w:trPr>
          <w:cantSplit/>
        </w:trPr>
        <w:tc>
          <w:tcPr>
            <w:tcW w:w="1147" w:type="dxa"/>
            <w:gridSpan w:val="2"/>
            <w:tcBorders>
              <w:top w:val="nil"/>
              <w:left w:val="nil"/>
              <w:bottom w:val="nil"/>
              <w:right w:val="nil"/>
            </w:tcBorders>
          </w:tcPr>
          <w:p w:rsidR="00000000" w:rsidRDefault="00F37340">
            <w:pPr>
              <w:rPr>
                <w:rFonts w:cs="David"/>
                <w:b/>
                <w:bCs/>
                <w:sz w:val="26"/>
                <w:szCs w:val="26"/>
                <w:rtl/>
              </w:rPr>
            </w:pPr>
          </w:p>
        </w:tc>
        <w:tc>
          <w:tcPr>
            <w:tcW w:w="722" w:type="dxa"/>
            <w:gridSpan w:val="3"/>
            <w:tcBorders>
              <w:top w:val="nil"/>
              <w:left w:val="nil"/>
              <w:bottom w:val="nil"/>
              <w:right w:val="nil"/>
            </w:tcBorders>
          </w:tcPr>
          <w:p w:rsidR="00000000" w:rsidRDefault="00F37340">
            <w:pPr>
              <w:rPr>
                <w:rFonts w:cs="David"/>
                <w:b/>
                <w:bCs/>
                <w:sz w:val="26"/>
                <w:szCs w:val="26"/>
                <w:rtl/>
              </w:rPr>
            </w:pPr>
          </w:p>
        </w:tc>
        <w:tc>
          <w:tcPr>
            <w:tcW w:w="659" w:type="dxa"/>
            <w:gridSpan w:val="6"/>
            <w:tcBorders>
              <w:top w:val="nil"/>
              <w:left w:val="nil"/>
              <w:bottom w:val="nil"/>
              <w:right w:val="nil"/>
            </w:tcBorders>
          </w:tcPr>
          <w:p w:rsidR="00000000" w:rsidRDefault="00F37340">
            <w:pPr>
              <w:spacing w:line="360" w:lineRule="auto"/>
              <w:rPr>
                <w:rFonts w:cs="David"/>
                <w:sz w:val="26"/>
                <w:szCs w:val="26"/>
                <w:rtl/>
              </w:rPr>
            </w:pPr>
          </w:p>
        </w:tc>
        <w:tc>
          <w:tcPr>
            <w:tcW w:w="540" w:type="dxa"/>
            <w:gridSpan w:val="4"/>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(2)</w:t>
            </w:r>
          </w:p>
        </w:tc>
        <w:tc>
          <w:tcPr>
            <w:tcW w:w="6116" w:type="dxa"/>
            <w:gridSpan w:val="8"/>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בוצע ניסוי במשתתף ללא קבלת הסכמה כאמור בפסקה (1), יודיע החוקר הראשי למשתתף על כך מיד לאחר</w:t>
            </w:r>
            <w:r>
              <w:rPr>
                <w:rFonts w:cs="David"/>
                <w:sz w:val="26"/>
                <w:szCs w:val="26"/>
                <w:rtl/>
              </w:rPr>
              <w:t xml:space="preserve"> שניתן למסור למשתתף הודעה כאמור, וימסור לו מידע על הניסוי, כמפורט בפרק זה; נפטר המשתתף, תימסר הודעה כאמור לבן משפחה אשר נמסרה לו  הודעה על הפטירה.</w:t>
            </w:r>
          </w:p>
          <w:p w:rsidR="00000000" w:rsidRDefault="00F37340">
            <w:pPr>
              <w:jc w:val="both"/>
              <w:rPr>
                <w:rFonts w:cs="David"/>
                <w:sz w:val="26"/>
                <w:szCs w:val="26"/>
                <w:rtl/>
              </w:rPr>
            </w:pPr>
          </w:p>
        </w:tc>
      </w:tr>
      <w:tr w:rsidR="00000000">
        <w:tblPrEx>
          <w:tblCellMar>
            <w:top w:w="0" w:type="dxa"/>
            <w:bottom w:w="0" w:type="dxa"/>
          </w:tblCellMar>
        </w:tblPrEx>
        <w:trPr>
          <w:cantSplit/>
        </w:trPr>
        <w:tc>
          <w:tcPr>
            <w:tcW w:w="9184" w:type="dxa"/>
            <w:gridSpan w:val="23"/>
            <w:tcBorders>
              <w:top w:val="nil"/>
              <w:left w:val="nil"/>
              <w:bottom w:val="nil"/>
              <w:right w:val="nil"/>
            </w:tcBorders>
          </w:tcPr>
          <w:p w:rsidR="00000000" w:rsidRDefault="00F37340">
            <w:pPr>
              <w:jc w:val="center"/>
              <w:rPr>
                <w:rFonts w:cs="David"/>
                <w:sz w:val="26"/>
                <w:szCs w:val="26"/>
                <w:rtl/>
              </w:rPr>
            </w:pPr>
            <w:r>
              <w:rPr>
                <w:rFonts w:cs="David"/>
                <w:b/>
                <w:bCs/>
                <w:sz w:val="26"/>
                <w:szCs w:val="26"/>
                <w:rtl/>
              </w:rPr>
              <w:t>פרק ז': שונות</w:t>
            </w:r>
          </w:p>
          <w:p w:rsidR="00000000" w:rsidRDefault="00F37340">
            <w:pPr>
              <w:jc w:val="center"/>
              <w:rPr>
                <w:rFonts w:cs="David"/>
                <w:sz w:val="26"/>
                <w:szCs w:val="26"/>
              </w:rPr>
            </w:pP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sz w:val="26"/>
                <w:szCs w:val="26"/>
                <w:rtl/>
              </w:rPr>
            </w:pPr>
            <w:r>
              <w:rPr>
                <w:rFonts w:cs="David"/>
                <w:sz w:val="26"/>
                <w:szCs w:val="26"/>
                <w:rtl/>
              </w:rPr>
              <w:t>ביצוע ותקנות</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32.</w:t>
            </w:r>
          </w:p>
        </w:tc>
        <w:tc>
          <w:tcPr>
            <w:tcW w:w="7019" w:type="dxa"/>
            <w:gridSpan w:val="1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השר ממונה על ביצוע חוק זה והוא רשאי, באישור ועדת המדע והטכנולוגיה, להתקין </w:t>
            </w:r>
            <w:r>
              <w:rPr>
                <w:rFonts w:cs="David"/>
                <w:sz w:val="26"/>
                <w:szCs w:val="26"/>
                <w:rtl/>
              </w:rPr>
              <w:t>תקנות בכל הנוגע לביצועו, לרבות בענינים אלה:</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jc w:val="both"/>
              <w:rPr>
                <w:rFonts w:cs="David"/>
                <w:b/>
                <w:bCs/>
                <w:sz w:val="26"/>
                <w:szCs w:val="26"/>
                <w:rtl/>
              </w:rPr>
            </w:pPr>
          </w:p>
        </w:tc>
        <w:tc>
          <w:tcPr>
            <w:tcW w:w="720" w:type="dxa"/>
            <w:gridSpan w:val="4"/>
            <w:tcBorders>
              <w:top w:val="nil"/>
              <w:left w:val="nil"/>
              <w:bottom w:val="nil"/>
              <w:right w:val="nil"/>
            </w:tcBorders>
          </w:tcPr>
          <w:p w:rsidR="00000000" w:rsidRDefault="00F37340">
            <w:pPr>
              <w:jc w:val="both"/>
              <w:rPr>
                <w:rFonts w:cs="David"/>
                <w:sz w:val="26"/>
                <w:szCs w:val="26"/>
                <w:rtl/>
              </w:rPr>
            </w:pPr>
          </w:p>
        </w:tc>
        <w:tc>
          <w:tcPr>
            <w:tcW w:w="771" w:type="dxa"/>
            <w:gridSpan w:val="6"/>
            <w:tcBorders>
              <w:top w:val="nil"/>
              <w:left w:val="nil"/>
              <w:bottom w:val="nil"/>
              <w:right w:val="nil"/>
            </w:tcBorders>
          </w:tcPr>
          <w:p w:rsidR="00000000" w:rsidRDefault="00F37340">
            <w:pPr>
              <w:jc w:val="both"/>
              <w:rPr>
                <w:rFonts w:cs="David"/>
                <w:sz w:val="26"/>
                <w:szCs w:val="26"/>
                <w:rtl/>
              </w:rPr>
            </w:pPr>
            <w:r>
              <w:rPr>
                <w:rFonts w:cs="David"/>
                <w:sz w:val="26"/>
                <w:szCs w:val="26"/>
                <w:rtl/>
              </w:rPr>
              <w:t>(1)</w:t>
            </w:r>
          </w:p>
        </w:tc>
        <w:tc>
          <w:tcPr>
            <w:tcW w:w="6248"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כללים לעריכת ניסויים רפואיים בבני אדם לפי הליכים קליניים נאותים;</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(2)</w:t>
            </w:r>
          </w:p>
        </w:tc>
        <w:tc>
          <w:tcPr>
            <w:tcW w:w="6248" w:type="dxa"/>
            <w:gridSpan w:val="10"/>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כללים להגשת בקשות לוועדת ניסויי אנוש מוסדית ולוועדת ניסויי אנוש מרכזית;</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(3)</w:t>
            </w:r>
          </w:p>
        </w:tc>
        <w:tc>
          <w:tcPr>
            <w:tcW w:w="6248" w:type="dxa"/>
            <w:gridSpan w:val="10"/>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כללים לעבודת ועדות ניסויי אנוש;</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(4)</w:t>
            </w:r>
          </w:p>
        </w:tc>
        <w:tc>
          <w:tcPr>
            <w:tcW w:w="6248" w:type="dxa"/>
            <w:gridSpan w:val="10"/>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כללים לגיוס ולת</w:t>
            </w:r>
            <w:r>
              <w:rPr>
                <w:rFonts w:cs="David"/>
                <w:sz w:val="26"/>
                <w:szCs w:val="26"/>
                <w:rtl/>
              </w:rPr>
              <w:t>גמול משתתפים;</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(5)</w:t>
            </w:r>
          </w:p>
        </w:tc>
        <w:tc>
          <w:tcPr>
            <w:tcW w:w="6248"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כללים בדבר פרסומת ופרסום מידע אודות ניסויים רפואיים, עריכתם, מהלכם ותוצאותיהם;</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(6)</w:t>
            </w:r>
          </w:p>
        </w:tc>
        <w:tc>
          <w:tcPr>
            <w:tcW w:w="6248" w:type="dxa"/>
            <w:gridSpan w:val="10"/>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כללים לשמירת מידע במהלך ניסוי ולאחריו;</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(7)</w:t>
            </w:r>
          </w:p>
        </w:tc>
        <w:tc>
          <w:tcPr>
            <w:tcW w:w="6248"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כללים לעניין בקרה ודיווח על אישור ועל מהלך ניסוי רפואי בבני אדם ועל תוצאותיו;</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(8)</w:t>
            </w:r>
          </w:p>
        </w:tc>
        <w:tc>
          <w:tcPr>
            <w:tcW w:w="6248" w:type="dxa"/>
            <w:gridSpan w:val="10"/>
            <w:tcBorders>
              <w:top w:val="nil"/>
              <w:left w:val="nil"/>
              <w:bottom w:val="nil"/>
              <w:right w:val="nil"/>
            </w:tcBorders>
          </w:tcPr>
          <w:p w:rsidR="00000000" w:rsidRDefault="00F37340">
            <w:pPr>
              <w:pStyle w:val="21"/>
              <w:spacing w:line="360" w:lineRule="auto"/>
              <w:rPr>
                <w:rFonts w:cs="David"/>
                <w:spacing w:val="20"/>
                <w:sz w:val="26"/>
                <w:szCs w:val="26"/>
                <w:rtl/>
              </w:rPr>
            </w:pPr>
            <w:r>
              <w:rPr>
                <w:rFonts w:cs="David"/>
                <w:sz w:val="26"/>
                <w:szCs w:val="26"/>
                <w:rtl/>
              </w:rPr>
              <w:t>אגרות ודמי טיפול ש</w:t>
            </w:r>
            <w:r>
              <w:rPr>
                <w:rFonts w:cs="David"/>
                <w:sz w:val="26"/>
                <w:szCs w:val="26"/>
                <w:rtl/>
              </w:rPr>
              <w:t>יש לשלמם בעד ביצוע פעולות לפי חוק זה לרבות בעד הגשת בקשות ובדיקתן, הכרה במוסד, מתן אישור לביצוע ניסויים וכל היתר אחר;</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(9)</w:t>
            </w:r>
          </w:p>
        </w:tc>
        <w:tc>
          <w:tcPr>
            <w:tcW w:w="6248"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הוראות בדבר תנאים מחייבים בחוזה לביטוח ניסוי רפואי בבני אדם, לאחר התייעצות עם שר האוצר;</w:t>
            </w:r>
          </w:p>
        </w:tc>
      </w:tr>
      <w:tr w:rsidR="00000000">
        <w:tblPrEx>
          <w:tblCellMar>
            <w:top w:w="0" w:type="dxa"/>
            <w:bottom w:w="0" w:type="dxa"/>
          </w:tblCellMar>
        </w:tblPrEx>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rPr>
                <w:rFonts w:cs="David"/>
                <w:sz w:val="26"/>
                <w:szCs w:val="26"/>
                <w:rtl/>
              </w:rPr>
            </w:pPr>
            <w:r>
              <w:rPr>
                <w:rFonts w:cs="David"/>
                <w:sz w:val="26"/>
                <w:szCs w:val="26"/>
                <w:rtl/>
              </w:rPr>
              <w:t>(10)</w:t>
            </w:r>
          </w:p>
        </w:tc>
        <w:tc>
          <w:tcPr>
            <w:tcW w:w="6248"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כללים להתקשרות בין מוסד מחקר או מוס</w:t>
            </w:r>
            <w:r>
              <w:rPr>
                <w:rFonts w:cs="David"/>
                <w:sz w:val="26"/>
                <w:szCs w:val="26"/>
                <w:rtl/>
              </w:rPr>
              <w:t>ד רפואי לבין חברה מסחרית או תאגיד למטרות רווח, לשם ביצוע ניסויים רפואיים בבני אדם.</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vMerge w:val="restart"/>
            <w:tcBorders>
              <w:top w:val="nil"/>
              <w:left w:val="nil"/>
              <w:bottom w:val="nil"/>
              <w:right w:val="nil"/>
            </w:tcBorders>
          </w:tcPr>
          <w:p w:rsidR="00000000" w:rsidRDefault="00F37340">
            <w:pPr>
              <w:rPr>
                <w:rFonts w:cs="David"/>
                <w:sz w:val="26"/>
                <w:szCs w:val="26"/>
                <w:rtl/>
              </w:rPr>
            </w:pPr>
            <w:r>
              <w:rPr>
                <w:rFonts w:cs="David"/>
                <w:sz w:val="26"/>
                <w:szCs w:val="26"/>
                <w:rtl/>
              </w:rPr>
              <w:t xml:space="preserve">תחולה על </w:t>
            </w:r>
          </w:p>
          <w:p w:rsidR="00000000" w:rsidRDefault="00F37340">
            <w:pPr>
              <w:rPr>
                <w:rFonts w:cs="David"/>
                <w:sz w:val="26"/>
                <w:szCs w:val="26"/>
                <w:rtl/>
              </w:rPr>
            </w:pPr>
            <w:r>
              <w:rPr>
                <w:rFonts w:cs="David"/>
                <w:sz w:val="26"/>
                <w:szCs w:val="26"/>
                <w:rtl/>
              </w:rPr>
              <w:t>המדינה</w:t>
            </w:r>
          </w:p>
          <w:p w:rsidR="00000000" w:rsidRDefault="00F37340">
            <w:pPr>
              <w:rPr>
                <w:rFonts w:cs="David"/>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33.</w:t>
            </w: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248" w:type="dxa"/>
            <w:gridSpan w:val="10"/>
            <w:tcBorders>
              <w:top w:val="nil"/>
              <w:left w:val="nil"/>
              <w:bottom w:val="nil"/>
              <w:right w:val="nil"/>
            </w:tcBorders>
          </w:tcPr>
          <w:p w:rsidR="00000000" w:rsidRDefault="00F37340">
            <w:pPr>
              <w:pStyle w:val="31"/>
              <w:spacing w:line="360" w:lineRule="auto"/>
              <w:rPr>
                <w:rFonts w:cs="David"/>
                <w:rtl/>
              </w:rPr>
            </w:pPr>
            <w:r>
              <w:rPr>
                <w:rFonts w:cs="David"/>
                <w:rtl/>
              </w:rPr>
              <w:t>חוק זה יחול גם על המדינה, בכפוף להוראות סעיף קטן (ב).</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vMerge/>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248" w:type="dxa"/>
            <w:gridSpan w:val="10"/>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הוראות חוק זה יחולו על צבא ההגנה לישראל, על משטרת ישראל ועל שירות בתי הסוהר בהתאמות</w:t>
            </w:r>
            <w:r>
              <w:rPr>
                <w:rFonts w:cs="David"/>
                <w:sz w:val="26"/>
                <w:szCs w:val="26"/>
                <w:rtl/>
              </w:rPr>
              <w:t xml:space="preserve"> הבאות:</w:t>
            </w: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p>
        </w:tc>
        <w:tc>
          <w:tcPr>
            <w:tcW w:w="492"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(1)</w:t>
            </w:r>
          </w:p>
        </w:tc>
        <w:tc>
          <w:tcPr>
            <w:tcW w:w="5756"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 xml:space="preserve">מבלי לגרוע מהוראות סעיף 6, יראו את חיל הרפואה של צבא ההגנה לישראל, את מערך הרפואה של משטרת ישראל, ואת מחלקת הרפואה של שירות בתי הסוהר, כמוסד רפואי לענין חוק זה. </w:t>
            </w: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p>
        </w:tc>
        <w:tc>
          <w:tcPr>
            <w:tcW w:w="492"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(2)</w:t>
            </w:r>
          </w:p>
        </w:tc>
        <w:tc>
          <w:tcPr>
            <w:tcW w:w="5756"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לקציני הרפואה הראשיים של צבא הגנה לישראל, של משטרת ישראל ושל שירות בתי</w:t>
            </w:r>
            <w:r>
              <w:rPr>
                <w:rFonts w:cs="David"/>
                <w:sz w:val="26"/>
                <w:szCs w:val="26"/>
                <w:rtl/>
              </w:rPr>
              <w:t xml:space="preserve"> הסוהר, יהיו נתונים הסמכויות והתפקידים של מנהל מוסד רפואי לפי חוק זה;</w:t>
            </w: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p>
        </w:tc>
        <w:tc>
          <w:tcPr>
            <w:tcW w:w="492"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(3)</w:t>
            </w:r>
          </w:p>
        </w:tc>
        <w:tc>
          <w:tcPr>
            <w:tcW w:w="5756"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על אף האמור בפסקה (2), ניסוי רפואי בדרגת סיכון גבוהה או ניסוי גנטי במסגרת צבא הגנה לישראל, משטרת ישראל או שירות בתי הסוהר, טעון, בנוסף לכל אישור אחר, גם אישור ועדת ניסויי אנוש מר</w:t>
            </w:r>
            <w:r>
              <w:rPr>
                <w:rFonts w:cs="David"/>
                <w:sz w:val="26"/>
                <w:szCs w:val="26"/>
                <w:rtl/>
              </w:rPr>
              <w:t>כזית  מיוחדת שתמונה לעניין זה על ידי המנהל;</w:t>
            </w: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p>
        </w:tc>
        <w:tc>
          <w:tcPr>
            <w:tcW w:w="492"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(4)</w:t>
            </w:r>
          </w:p>
        </w:tc>
        <w:tc>
          <w:tcPr>
            <w:tcW w:w="5756" w:type="dxa"/>
            <w:gridSpan w:val="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בפקודות הצבא, כהגדרתן בחוק השיפוט הצבאי,       התשט"ו–1955</w:t>
            </w:r>
            <w:r>
              <w:rPr>
                <w:rStyle w:val="aa"/>
                <w:rFonts w:cs="David"/>
                <w:sz w:val="26"/>
                <w:szCs w:val="26"/>
              </w:rPr>
              <w:footnoteReference w:id="5"/>
            </w:r>
            <w:r>
              <w:rPr>
                <w:rFonts w:cs="David"/>
                <w:sz w:val="26"/>
                <w:szCs w:val="26"/>
                <w:rtl/>
              </w:rPr>
              <w:t>, בפקודות משטרת ישראל, כהגדרתן בפקודת המשטרה [נוסח חדש] התשל"א–1971</w:t>
            </w:r>
            <w:r>
              <w:rPr>
                <w:rStyle w:val="aa"/>
                <w:rFonts w:cs="David"/>
                <w:sz w:val="26"/>
                <w:szCs w:val="26"/>
              </w:rPr>
              <w:footnoteReference w:id="6"/>
            </w:r>
            <w:r>
              <w:rPr>
                <w:rFonts w:cs="David"/>
                <w:sz w:val="26"/>
                <w:szCs w:val="26"/>
                <w:rtl/>
              </w:rPr>
              <w:t xml:space="preserve"> ובפקודות הש</w:t>
            </w:r>
            <w:r>
              <w:rPr>
                <w:rFonts w:cs="David"/>
                <w:sz w:val="26"/>
                <w:szCs w:val="26"/>
                <w:rtl/>
              </w:rPr>
              <w:t>ירות, כהגדרתן בפקודת בתי הסוהר [נוסח חדש] התשל"ב–1971</w:t>
            </w:r>
            <w:r>
              <w:rPr>
                <w:rStyle w:val="aa"/>
                <w:rFonts w:cs="David"/>
                <w:sz w:val="26"/>
                <w:szCs w:val="26"/>
              </w:rPr>
              <w:footnoteReference w:id="7"/>
            </w:r>
            <w:r>
              <w:rPr>
                <w:rFonts w:cs="David"/>
                <w:sz w:val="26"/>
                <w:szCs w:val="26"/>
                <w:rtl/>
              </w:rPr>
              <w:t>, ניתן לקבוע –</w:t>
            </w: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p>
        </w:tc>
        <w:tc>
          <w:tcPr>
            <w:tcW w:w="400" w:type="dxa"/>
            <w:gridSpan w:val="3"/>
            <w:tcBorders>
              <w:top w:val="nil"/>
              <w:left w:val="nil"/>
              <w:bottom w:val="nil"/>
              <w:right w:val="nil"/>
            </w:tcBorders>
          </w:tcPr>
          <w:p w:rsidR="00000000" w:rsidRDefault="00F37340">
            <w:pPr>
              <w:spacing w:line="360" w:lineRule="auto"/>
              <w:jc w:val="both"/>
              <w:rPr>
                <w:rFonts w:cs="David"/>
                <w:sz w:val="26"/>
                <w:szCs w:val="26"/>
                <w:rtl/>
              </w:rPr>
            </w:pPr>
          </w:p>
        </w:tc>
        <w:tc>
          <w:tcPr>
            <w:tcW w:w="686" w:type="dxa"/>
            <w:gridSpan w:val="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(א)</w:t>
            </w:r>
          </w:p>
        </w:tc>
        <w:tc>
          <w:tcPr>
            <w:tcW w:w="5162"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הוראות בדבר עריכת ניסויים רפואיים במשתתפים שהם חיילים, שוטרים או נמצאים במשמורת, ובלבד שלא יגרעו מהוראות חוק זה;</w:t>
            </w: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71" w:type="dxa"/>
            <w:gridSpan w:val="6"/>
            <w:tcBorders>
              <w:top w:val="nil"/>
              <w:left w:val="nil"/>
              <w:bottom w:val="nil"/>
              <w:right w:val="nil"/>
            </w:tcBorders>
          </w:tcPr>
          <w:p w:rsidR="00000000" w:rsidRDefault="00F37340">
            <w:pPr>
              <w:spacing w:line="360" w:lineRule="auto"/>
              <w:rPr>
                <w:rFonts w:cs="David"/>
                <w:sz w:val="26"/>
                <w:szCs w:val="26"/>
                <w:rtl/>
              </w:rPr>
            </w:pPr>
          </w:p>
        </w:tc>
        <w:tc>
          <w:tcPr>
            <w:tcW w:w="400" w:type="dxa"/>
            <w:gridSpan w:val="3"/>
            <w:tcBorders>
              <w:top w:val="nil"/>
              <w:left w:val="nil"/>
              <w:bottom w:val="nil"/>
              <w:right w:val="nil"/>
            </w:tcBorders>
          </w:tcPr>
          <w:p w:rsidR="00000000" w:rsidRDefault="00F37340">
            <w:pPr>
              <w:spacing w:line="360" w:lineRule="auto"/>
              <w:jc w:val="both"/>
              <w:rPr>
                <w:rFonts w:cs="David"/>
                <w:sz w:val="26"/>
                <w:szCs w:val="26"/>
                <w:rtl/>
              </w:rPr>
            </w:pPr>
          </w:p>
        </w:tc>
        <w:tc>
          <w:tcPr>
            <w:tcW w:w="686" w:type="dxa"/>
            <w:gridSpan w:val="3"/>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w:t>
            </w:r>
          </w:p>
        </w:tc>
        <w:tc>
          <w:tcPr>
            <w:tcW w:w="5162" w:type="dxa"/>
            <w:gridSpan w:val="4"/>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הוראות בדבר סי</w:t>
            </w:r>
            <w:r>
              <w:rPr>
                <w:rFonts w:cs="David"/>
                <w:sz w:val="26"/>
                <w:szCs w:val="26"/>
                <w:rtl/>
              </w:rPr>
              <w:t>ווג סודיות של ניסוי רפואי, או קיום דיון בוועדת ניסויי אנוש בהרכב מצומצם מהקבוע בחוק, וזאת לשם שמירה על בטחון המדינה, ובלבד שיימסר למשתתף מידע שחובה למסרו לפי חוק זה לשם קבלת הסכמה מדעת.</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sz w:val="26"/>
                <w:szCs w:val="26"/>
                <w:rtl/>
              </w:rPr>
            </w:pPr>
            <w:r>
              <w:rPr>
                <w:rFonts w:cs="David"/>
                <w:sz w:val="26"/>
                <w:szCs w:val="26"/>
                <w:rtl/>
              </w:rPr>
              <w:t>עונשין</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34.</w:t>
            </w:r>
          </w:p>
        </w:tc>
        <w:tc>
          <w:tcPr>
            <w:tcW w:w="723"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(א)</w:t>
            </w:r>
          </w:p>
        </w:tc>
        <w:tc>
          <w:tcPr>
            <w:tcW w:w="6296" w:type="dxa"/>
            <w:gridSpan w:val="11"/>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היוזם, העורך או המתיר לערוך ניסוי רפואי בבני אדם בניג</w:t>
            </w:r>
            <w:r>
              <w:rPr>
                <w:rFonts w:cs="David"/>
                <w:sz w:val="26"/>
                <w:szCs w:val="26"/>
                <w:rtl/>
              </w:rPr>
              <w:t>וד להוראות חוק זה, דינו – מאסר שנה או קנס כאמור בסעיף 61(א)(3) לחוק העונשין, התשל"ז–1977</w:t>
            </w:r>
            <w:r>
              <w:rPr>
                <w:rStyle w:val="aa"/>
                <w:rFonts w:cs="David"/>
                <w:sz w:val="26"/>
                <w:szCs w:val="26"/>
                <w:rtl/>
              </w:rPr>
              <w:footnoteReference w:id="8"/>
            </w:r>
            <w:r>
              <w:rPr>
                <w:rFonts w:cs="David"/>
                <w:sz w:val="26"/>
                <w:szCs w:val="26"/>
                <w:rtl/>
              </w:rPr>
              <w:t xml:space="preserve"> (בחוק זה – חוק העונשין). </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23"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(ב)</w:t>
            </w:r>
          </w:p>
        </w:tc>
        <w:tc>
          <w:tcPr>
            <w:tcW w:w="6296" w:type="dxa"/>
            <w:gridSpan w:val="11"/>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נערך הניסוי כאמור בהשתתפות אוכלוסייה רגישה, או היה הניסוי בדרגת סיכון גבוהה, דינו – מאסר שלוש שנים; היה היוזם</w:t>
            </w:r>
            <w:r>
              <w:rPr>
                <w:rFonts w:cs="David"/>
                <w:sz w:val="26"/>
                <w:szCs w:val="26"/>
                <w:rtl/>
              </w:rPr>
              <w:t xml:space="preserve"> תאגיד, דינו – כפל הקנס האמור בסעיף 61(א)(4) לחוק העונשין.</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b/>
                <w:bCs/>
                <w:sz w:val="26"/>
                <w:szCs w:val="26"/>
                <w:rtl/>
              </w:rPr>
            </w:pPr>
          </w:p>
        </w:tc>
        <w:tc>
          <w:tcPr>
            <w:tcW w:w="720" w:type="dxa"/>
            <w:gridSpan w:val="4"/>
            <w:tcBorders>
              <w:top w:val="nil"/>
              <w:left w:val="nil"/>
              <w:bottom w:val="nil"/>
              <w:right w:val="nil"/>
            </w:tcBorders>
          </w:tcPr>
          <w:p w:rsidR="00000000" w:rsidRDefault="00F37340">
            <w:pPr>
              <w:rPr>
                <w:rFonts w:cs="David"/>
                <w:sz w:val="26"/>
                <w:szCs w:val="26"/>
                <w:rtl/>
              </w:rPr>
            </w:pPr>
          </w:p>
        </w:tc>
        <w:tc>
          <w:tcPr>
            <w:tcW w:w="723" w:type="dxa"/>
            <w:gridSpan w:val="5"/>
            <w:tcBorders>
              <w:top w:val="nil"/>
              <w:left w:val="nil"/>
              <w:bottom w:val="nil"/>
              <w:right w:val="nil"/>
            </w:tcBorders>
          </w:tcPr>
          <w:p w:rsidR="00000000" w:rsidRDefault="00F37340">
            <w:pPr>
              <w:spacing w:line="360" w:lineRule="auto"/>
              <w:rPr>
                <w:rFonts w:cs="David"/>
                <w:sz w:val="26"/>
                <w:szCs w:val="26"/>
                <w:rtl/>
              </w:rPr>
            </w:pPr>
            <w:r>
              <w:rPr>
                <w:rFonts w:cs="David"/>
                <w:sz w:val="26"/>
                <w:szCs w:val="26"/>
                <w:rtl/>
              </w:rPr>
              <w:t>(ג)</w:t>
            </w:r>
          </w:p>
        </w:tc>
        <w:tc>
          <w:tcPr>
            <w:tcW w:w="6296" w:type="dxa"/>
            <w:gridSpan w:val="11"/>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מי שהורה לו המנהל על הפסקה מיידית של ביצוע ניסוי ולא עשה כן, דינו – מאסר שנה או קנס כאמור בסעיף קטן (א),  וקנס נוסף כאמור בסעיף 61(ג) לחוק העונשין לכל יום שבו נמשכת העבירה.</w:t>
            </w:r>
          </w:p>
          <w:p w:rsidR="00000000" w:rsidRDefault="00F37340">
            <w:pPr>
              <w:spacing w:line="360" w:lineRule="auto"/>
              <w:jc w:val="both"/>
              <w:rPr>
                <w:rFonts w:cs="David"/>
                <w:sz w:val="26"/>
                <w:szCs w:val="26"/>
                <w:rtl/>
              </w:rPr>
            </w:pPr>
          </w:p>
          <w:p w:rsidR="00000000" w:rsidRDefault="00F37340">
            <w:pPr>
              <w:spacing w:line="360" w:lineRule="auto"/>
              <w:jc w:val="both"/>
              <w:rPr>
                <w:rFonts w:cs="David"/>
                <w:sz w:val="26"/>
                <w:szCs w:val="26"/>
                <w:rtl/>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sz w:val="26"/>
                <w:szCs w:val="26"/>
                <w:rtl/>
              </w:rPr>
            </w:pPr>
            <w:r>
              <w:rPr>
                <w:rFonts w:cs="David"/>
                <w:sz w:val="26"/>
                <w:szCs w:val="26"/>
                <w:rtl/>
              </w:rPr>
              <w:t>דין וחשבון</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35.</w:t>
            </w:r>
          </w:p>
        </w:tc>
        <w:tc>
          <w:tcPr>
            <w:tcW w:w="7019" w:type="dxa"/>
            <w:gridSpan w:val="1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השר יגיש מדי שנה לוועדת המדע והטכנולוגיה דין וחשבון בדבר יישומו של חוק זה, שיכלול פרטים בדבר הניסויים שאושרו לפיו.</w:t>
            </w:r>
          </w:p>
          <w:p w:rsidR="00000000" w:rsidRDefault="00F37340">
            <w:pPr>
              <w:jc w:val="both"/>
              <w:rPr>
                <w:rFonts w:cs="David"/>
                <w:sz w:val="26"/>
                <w:szCs w:val="26"/>
                <w:rtl/>
              </w:rPr>
            </w:pPr>
            <w:r>
              <w:rPr>
                <w:rFonts w:cs="David"/>
                <w:sz w:val="26"/>
                <w:szCs w:val="26"/>
                <w:rtl/>
              </w:rPr>
              <w:t xml:space="preserve"> </w:t>
            </w:r>
          </w:p>
        </w:tc>
      </w:tr>
      <w:tr w:rsidR="00000000">
        <w:tblPrEx>
          <w:tblCellMar>
            <w:top w:w="0" w:type="dxa"/>
            <w:bottom w:w="0" w:type="dxa"/>
          </w:tblCellMar>
        </w:tblPrEx>
        <w:trPr>
          <w:cantSplit/>
        </w:trPr>
        <w:tc>
          <w:tcPr>
            <w:tcW w:w="1445" w:type="dxa"/>
            <w:gridSpan w:val="3"/>
            <w:vMerge w:val="restart"/>
            <w:tcBorders>
              <w:top w:val="nil"/>
              <w:left w:val="nil"/>
              <w:bottom w:val="nil"/>
              <w:right w:val="nil"/>
            </w:tcBorders>
          </w:tcPr>
          <w:p w:rsidR="00000000" w:rsidRDefault="00F37340">
            <w:pPr>
              <w:rPr>
                <w:rFonts w:cs="David"/>
                <w:sz w:val="26"/>
                <w:szCs w:val="26"/>
                <w:rtl/>
              </w:rPr>
            </w:pPr>
            <w:r>
              <w:rPr>
                <w:rFonts w:cs="David"/>
                <w:sz w:val="26"/>
                <w:szCs w:val="26"/>
                <w:rtl/>
              </w:rPr>
              <w:t>תיקון פקודת הרופאים</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36.</w:t>
            </w:r>
          </w:p>
        </w:tc>
        <w:tc>
          <w:tcPr>
            <w:tcW w:w="7019" w:type="dxa"/>
            <w:gridSpan w:val="1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בפקודת הרופאים [נוסח חדש], התשל"ז–1976</w:t>
            </w:r>
            <w:r>
              <w:rPr>
                <w:rStyle w:val="aa"/>
                <w:rFonts w:cs="David"/>
                <w:sz w:val="26"/>
                <w:szCs w:val="26"/>
              </w:rPr>
              <w:footnoteReference w:id="9"/>
            </w:r>
            <w:r>
              <w:rPr>
                <w:rFonts w:cs="David"/>
                <w:sz w:val="26"/>
                <w:szCs w:val="26"/>
                <w:rtl/>
              </w:rPr>
              <w:t>, בסעיף 41, בסופו יבוא:</w:t>
            </w:r>
          </w:p>
          <w:p w:rsidR="00000000" w:rsidRDefault="00F37340">
            <w:pPr>
              <w:ind w:left="567" w:hanging="567"/>
              <w:jc w:val="both"/>
              <w:rPr>
                <w:rFonts w:cs="David"/>
                <w:sz w:val="26"/>
                <w:szCs w:val="26"/>
                <w:rtl/>
              </w:rPr>
            </w:pPr>
          </w:p>
        </w:tc>
      </w:tr>
      <w:tr w:rsidR="00000000">
        <w:tblPrEx>
          <w:tblCellMar>
            <w:top w:w="0" w:type="dxa"/>
            <w:bottom w:w="0" w:type="dxa"/>
          </w:tblCellMar>
        </w:tblPrEx>
        <w:trPr>
          <w:cantSplit/>
        </w:trPr>
        <w:tc>
          <w:tcPr>
            <w:tcW w:w="1445" w:type="dxa"/>
            <w:gridSpan w:val="3"/>
            <w:vMerge/>
            <w:tcBorders>
              <w:top w:val="nil"/>
              <w:left w:val="nil"/>
              <w:bottom w:val="nil"/>
              <w:right w:val="nil"/>
            </w:tcBorders>
          </w:tcPr>
          <w:p w:rsidR="00000000" w:rsidRDefault="00F37340">
            <w:pPr>
              <w:rPr>
                <w:rFonts w:cs="David"/>
                <w:sz w:val="26"/>
                <w:szCs w:val="26"/>
              </w:rPr>
            </w:pPr>
          </w:p>
        </w:tc>
        <w:tc>
          <w:tcPr>
            <w:tcW w:w="720" w:type="dxa"/>
            <w:gridSpan w:val="4"/>
            <w:tcBorders>
              <w:top w:val="nil"/>
              <w:left w:val="nil"/>
              <w:bottom w:val="nil"/>
              <w:right w:val="nil"/>
            </w:tcBorders>
          </w:tcPr>
          <w:p w:rsidR="00000000" w:rsidRDefault="00F37340">
            <w:pPr>
              <w:rPr>
                <w:rFonts w:cs="David"/>
                <w:sz w:val="26"/>
                <w:szCs w:val="26"/>
              </w:rPr>
            </w:pPr>
          </w:p>
        </w:tc>
        <w:tc>
          <w:tcPr>
            <w:tcW w:w="723" w:type="dxa"/>
            <w:gridSpan w:val="5"/>
            <w:tcBorders>
              <w:top w:val="nil"/>
              <w:left w:val="nil"/>
              <w:bottom w:val="nil"/>
              <w:right w:val="nil"/>
            </w:tcBorders>
          </w:tcPr>
          <w:p w:rsidR="00000000" w:rsidRDefault="00F37340">
            <w:pPr>
              <w:spacing w:line="360" w:lineRule="auto"/>
              <w:rPr>
                <w:rFonts w:cs="David"/>
                <w:sz w:val="26"/>
                <w:szCs w:val="26"/>
              </w:rPr>
            </w:pPr>
            <w:r>
              <w:rPr>
                <w:rFonts w:cs="David"/>
                <w:sz w:val="26"/>
                <w:szCs w:val="26"/>
                <w:rtl/>
              </w:rPr>
              <w:t>"(8)</w:t>
            </w:r>
          </w:p>
        </w:tc>
        <w:tc>
          <w:tcPr>
            <w:tcW w:w="6296" w:type="dxa"/>
            <w:gridSpan w:val="11"/>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הפר הוראה מהוראות חוק ניסויים רפואיים בבני אדם            התשס"ו-2006."</w:t>
            </w:r>
          </w:p>
          <w:p w:rsidR="00000000" w:rsidRDefault="00F37340">
            <w:pPr>
              <w:jc w:val="both"/>
              <w:rPr>
                <w:rFonts w:cs="David"/>
                <w:sz w:val="26"/>
                <w:szCs w:val="26"/>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sz w:val="26"/>
                <w:szCs w:val="26"/>
                <w:rtl/>
              </w:rPr>
            </w:pPr>
            <w:r>
              <w:rPr>
                <w:rFonts w:cs="David"/>
                <w:sz w:val="26"/>
                <w:szCs w:val="26"/>
                <w:rtl/>
              </w:rPr>
              <w:t>תיקון חוק הפסיכולוגים</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37.</w:t>
            </w:r>
          </w:p>
        </w:tc>
        <w:tc>
          <w:tcPr>
            <w:tcW w:w="7019" w:type="dxa"/>
            <w:gridSpan w:val="1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בחוק הפסיכולוגים, התשל"ז–1977</w:t>
            </w:r>
            <w:r>
              <w:rPr>
                <w:rStyle w:val="aa"/>
                <w:rFonts w:cs="David"/>
                <w:sz w:val="26"/>
                <w:szCs w:val="26"/>
              </w:rPr>
              <w:footnoteReference w:id="10"/>
            </w:r>
            <w:r>
              <w:rPr>
                <w:rFonts w:cs="David"/>
                <w:sz w:val="26"/>
                <w:szCs w:val="26"/>
                <w:rtl/>
              </w:rPr>
              <w:t>, בסעיף 33, בסופו יבוא:</w:t>
            </w:r>
          </w:p>
          <w:p w:rsidR="00000000" w:rsidRDefault="00F37340">
            <w:pPr>
              <w:spacing w:line="360" w:lineRule="auto"/>
              <w:ind w:left="667" w:hanging="567"/>
              <w:jc w:val="both"/>
              <w:rPr>
                <w:rFonts w:cs="David"/>
                <w:sz w:val="26"/>
                <w:szCs w:val="26"/>
                <w:rtl/>
              </w:rPr>
            </w:pPr>
            <w:r>
              <w:rPr>
                <w:rFonts w:cs="David"/>
                <w:sz w:val="26"/>
                <w:szCs w:val="26"/>
                <w:rtl/>
              </w:rPr>
              <w:t>"(8)  הפר הוראה מהוראות חוק ניסויים רפואיים בבני אדם התשס"ו-2006."</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sz w:val="26"/>
                <w:szCs w:val="26"/>
                <w:rtl/>
              </w:rPr>
            </w:pPr>
            <w:r>
              <w:rPr>
                <w:rFonts w:cs="David"/>
                <w:sz w:val="26"/>
                <w:szCs w:val="26"/>
                <w:rtl/>
              </w:rPr>
              <w:t>הוראו</w:t>
            </w:r>
            <w:r>
              <w:rPr>
                <w:rFonts w:cs="David"/>
                <w:sz w:val="26"/>
                <w:szCs w:val="26"/>
                <w:rtl/>
              </w:rPr>
              <w:t>ת מעבר</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38.</w:t>
            </w:r>
          </w:p>
        </w:tc>
        <w:tc>
          <w:tcPr>
            <w:tcW w:w="7019" w:type="dxa"/>
            <w:gridSpan w:val="1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השר, באישור ועדת המדע והטכנולוגיה, רשאי לקבוע בתקנות הוראות בדבר ניסויים רפואיים שניתן להם אישור או שהחלו להיערך לפני תחילתו של  חוק זה או לפני פרסומו.</w:t>
            </w:r>
          </w:p>
          <w:p w:rsidR="00000000" w:rsidRDefault="00F37340">
            <w:pPr>
              <w:jc w:val="both"/>
              <w:rPr>
                <w:rFonts w:cs="David"/>
                <w:sz w:val="26"/>
                <w:szCs w:val="26"/>
                <w:rtl/>
              </w:rPr>
            </w:pPr>
          </w:p>
        </w:tc>
      </w:tr>
      <w:tr w:rsidR="00000000">
        <w:tblPrEx>
          <w:tblCellMar>
            <w:top w:w="0" w:type="dxa"/>
            <w:bottom w:w="0" w:type="dxa"/>
          </w:tblCellMar>
        </w:tblPrEx>
        <w:trPr>
          <w:cantSplit/>
        </w:trPr>
        <w:tc>
          <w:tcPr>
            <w:tcW w:w="1445" w:type="dxa"/>
            <w:gridSpan w:val="3"/>
            <w:tcBorders>
              <w:top w:val="nil"/>
              <w:left w:val="nil"/>
              <w:bottom w:val="nil"/>
              <w:right w:val="nil"/>
            </w:tcBorders>
          </w:tcPr>
          <w:p w:rsidR="00000000" w:rsidRDefault="00F37340">
            <w:pPr>
              <w:rPr>
                <w:rFonts w:cs="David"/>
                <w:sz w:val="26"/>
                <w:szCs w:val="26"/>
                <w:rtl/>
              </w:rPr>
            </w:pPr>
            <w:r>
              <w:rPr>
                <w:rFonts w:cs="David"/>
                <w:sz w:val="26"/>
                <w:szCs w:val="26"/>
                <w:rtl/>
              </w:rPr>
              <w:t>תחילה</w:t>
            </w:r>
          </w:p>
        </w:tc>
        <w:tc>
          <w:tcPr>
            <w:tcW w:w="720" w:type="dxa"/>
            <w:gridSpan w:val="4"/>
            <w:tcBorders>
              <w:top w:val="nil"/>
              <w:left w:val="nil"/>
              <w:bottom w:val="nil"/>
              <w:right w:val="nil"/>
            </w:tcBorders>
          </w:tcPr>
          <w:p w:rsidR="00000000" w:rsidRDefault="00F37340">
            <w:pPr>
              <w:rPr>
                <w:rFonts w:cs="David"/>
                <w:sz w:val="26"/>
                <w:szCs w:val="26"/>
                <w:rtl/>
              </w:rPr>
            </w:pPr>
            <w:r>
              <w:rPr>
                <w:rFonts w:cs="David"/>
                <w:sz w:val="26"/>
                <w:szCs w:val="26"/>
                <w:rtl/>
              </w:rPr>
              <w:t>39.</w:t>
            </w:r>
          </w:p>
        </w:tc>
        <w:tc>
          <w:tcPr>
            <w:tcW w:w="7019" w:type="dxa"/>
            <w:gridSpan w:val="16"/>
            <w:tcBorders>
              <w:top w:val="nil"/>
              <w:left w:val="nil"/>
              <w:bottom w:val="nil"/>
              <w:right w:val="nil"/>
            </w:tcBorders>
          </w:tcPr>
          <w:p w:rsidR="00000000" w:rsidRDefault="00F37340">
            <w:pPr>
              <w:spacing w:line="360" w:lineRule="auto"/>
              <w:jc w:val="both"/>
              <w:rPr>
                <w:rFonts w:cs="David"/>
                <w:sz w:val="26"/>
                <w:szCs w:val="26"/>
                <w:rtl/>
              </w:rPr>
            </w:pPr>
            <w:r>
              <w:rPr>
                <w:rFonts w:cs="David"/>
                <w:sz w:val="26"/>
                <w:szCs w:val="26"/>
                <w:rtl/>
              </w:rPr>
              <w:t>תחילתו של חוק זה בתום שנה מיום פרסומו.</w:t>
            </w:r>
          </w:p>
          <w:p w:rsidR="00000000" w:rsidRDefault="00F37340">
            <w:pPr>
              <w:jc w:val="both"/>
              <w:rPr>
                <w:rFonts w:cs="David"/>
                <w:sz w:val="26"/>
                <w:szCs w:val="26"/>
                <w:rtl/>
              </w:rPr>
            </w:pPr>
          </w:p>
          <w:p w:rsidR="00000000" w:rsidRDefault="00F37340">
            <w:pPr>
              <w:jc w:val="both"/>
              <w:rPr>
                <w:rFonts w:cs="David"/>
                <w:sz w:val="26"/>
                <w:szCs w:val="26"/>
                <w:rtl/>
              </w:rPr>
            </w:pPr>
          </w:p>
        </w:tc>
      </w:tr>
    </w:tbl>
    <w:p w:rsidR="00000000" w:rsidRDefault="00F37340">
      <w:pPr>
        <w:rPr>
          <w:rtl/>
        </w:rPr>
      </w:pPr>
    </w:p>
    <w:p w:rsidR="00000000" w:rsidRDefault="00F37340">
      <w:pPr>
        <w:jc w:val="both"/>
        <w:rPr>
          <w:rFonts w:cs="David"/>
          <w:sz w:val="26"/>
          <w:szCs w:val="26"/>
          <w:rtl/>
        </w:rPr>
      </w:pPr>
    </w:p>
    <w:p w:rsidR="00000000" w:rsidRDefault="00F37340">
      <w:pPr>
        <w:jc w:val="center"/>
        <w:rPr>
          <w:rFonts w:cs="David"/>
          <w:sz w:val="26"/>
          <w:szCs w:val="26"/>
          <w:rtl/>
        </w:rPr>
      </w:pPr>
      <w:r>
        <w:rPr>
          <w:rFonts w:cs="David"/>
          <w:b/>
          <w:bCs/>
          <w:sz w:val="28"/>
          <w:szCs w:val="28"/>
          <w:u w:val="single"/>
          <w:rtl/>
        </w:rPr>
        <w:t>דברי - הסבר</w:t>
      </w:r>
    </w:p>
    <w:p w:rsidR="00000000" w:rsidRDefault="00F37340">
      <w:pPr>
        <w:jc w:val="both"/>
        <w:rPr>
          <w:rFonts w:cs="David"/>
          <w:sz w:val="26"/>
          <w:szCs w:val="26"/>
          <w:rtl/>
        </w:rPr>
      </w:pPr>
    </w:p>
    <w:p w:rsidR="00000000" w:rsidRDefault="00F37340">
      <w:pPr>
        <w:pStyle w:val="2"/>
        <w:spacing w:line="360" w:lineRule="auto"/>
        <w:rPr>
          <w:rFonts w:cs="David"/>
          <w:rtl/>
        </w:rPr>
      </w:pPr>
      <w:r>
        <w:rPr>
          <w:rFonts w:cs="David"/>
          <w:rtl/>
        </w:rPr>
        <w:t>כללי</w:t>
      </w:r>
    </w:p>
    <w:p w:rsidR="00000000" w:rsidRDefault="00F37340">
      <w:pPr>
        <w:spacing w:line="360" w:lineRule="auto"/>
        <w:jc w:val="both"/>
        <w:rPr>
          <w:rFonts w:cs="David"/>
          <w:sz w:val="26"/>
          <w:szCs w:val="26"/>
          <w:rtl/>
        </w:rPr>
      </w:pPr>
    </w:p>
    <w:p w:rsidR="00000000" w:rsidRDefault="00F37340">
      <w:pPr>
        <w:spacing w:line="360" w:lineRule="auto"/>
        <w:jc w:val="both"/>
        <w:rPr>
          <w:rFonts w:cs="David"/>
          <w:sz w:val="26"/>
          <w:szCs w:val="26"/>
          <w:rtl/>
        </w:rPr>
      </w:pPr>
      <w:r>
        <w:rPr>
          <w:rFonts w:cs="David"/>
          <w:sz w:val="26"/>
          <w:szCs w:val="26"/>
          <w:rtl/>
        </w:rPr>
        <w:t>הנושא של עריכת ניס</w:t>
      </w:r>
      <w:r>
        <w:rPr>
          <w:rFonts w:cs="David"/>
          <w:sz w:val="26"/>
          <w:szCs w:val="26"/>
          <w:rtl/>
        </w:rPr>
        <w:t>ויים רפואיים בבני אדם מוסדר כיום באמצעות תקנות בריאות העם (ניסויים רפואיים בבני אדם), התשמ"א–1980 (להלן – התקנות) והצהרת הלסינקי, המתייחסת להמלצות המנחות רופאים במחקרים ביו–רפואיים שכרוכים בהם בני אדם – כפי שאומצו בעצרת הרפואית העולמית ה–18 שנערכה בהלסינקי</w:t>
      </w:r>
      <w:r>
        <w:rPr>
          <w:rFonts w:cs="David"/>
          <w:sz w:val="26"/>
          <w:szCs w:val="26"/>
          <w:rtl/>
        </w:rPr>
        <w:t>, פינלנד בשנת 1964 ותוקנו בעצרת הרפואית העולמית ה–29 שנערכה בטוקיו, יפן בשנת 1975.</w:t>
      </w:r>
    </w:p>
    <w:p w:rsidR="00000000" w:rsidRDefault="00F37340">
      <w:pPr>
        <w:spacing w:line="360" w:lineRule="auto"/>
        <w:jc w:val="both"/>
        <w:rPr>
          <w:rFonts w:cs="David"/>
          <w:sz w:val="26"/>
          <w:szCs w:val="26"/>
          <w:rtl/>
        </w:rPr>
      </w:pPr>
      <w:r>
        <w:rPr>
          <w:rFonts w:cs="David"/>
          <w:sz w:val="26"/>
          <w:szCs w:val="26"/>
          <w:rtl/>
        </w:rPr>
        <w:t>מאז הותקנו התקנות, חוקקו בישראל מספר חוקים ונקבעו נוהלים על ידי משרד הבריאות, שלהם השלכה ישירה ועקיפה על התחום של עריכת ניסויים רפואיים בבני אדם, כגון חוק יסוד: כבוד האדם וח</w:t>
      </w:r>
      <w:r>
        <w:rPr>
          <w:rFonts w:cs="David"/>
          <w:sz w:val="26"/>
          <w:szCs w:val="26"/>
          <w:rtl/>
        </w:rPr>
        <w:t>ירותו, חוק זכויות החולה, התשנ"ו–1996 (להלן – חוק זכויות החולה), חוק מידע גנטי, התשס"א–2000 (להלן – חוק מידע גנטי), נוהל לניסויים רפואיים בבני אדם של אגף הרוקחות במשרד הבריאות מנובמבר 1999 ונוהל המנהל הכללי של משרד הבריאות מנובמבר 1998 לגבי התקשרות של מוסדו</w:t>
      </w:r>
      <w:r>
        <w:rPr>
          <w:rFonts w:cs="David"/>
          <w:sz w:val="26"/>
          <w:szCs w:val="26"/>
          <w:rtl/>
        </w:rPr>
        <w:t>ת רפואיים עם חברות מסחריות לשם עריכת ניסויים קליניים.</w:t>
      </w:r>
    </w:p>
    <w:p w:rsidR="00000000" w:rsidRDefault="00F37340">
      <w:pPr>
        <w:spacing w:line="360" w:lineRule="auto"/>
        <w:jc w:val="both"/>
        <w:rPr>
          <w:rFonts w:cs="David"/>
          <w:sz w:val="26"/>
          <w:szCs w:val="26"/>
          <w:rtl/>
        </w:rPr>
      </w:pPr>
      <w:r>
        <w:rPr>
          <w:rFonts w:cs="David"/>
          <w:sz w:val="26"/>
          <w:szCs w:val="26"/>
          <w:rtl/>
        </w:rPr>
        <w:t xml:space="preserve">בנוסף, התפתחות המחקר הרפואי והפיכת העולם ל"כפר גלובלי" הביאה לכך שעל יסוד הצהרת הלסינקי, גובשו אמות מידה אתיות ומדעיות בינלאומיות לתכנון, ביצוע ותיעוד של ניסויים רפואיים בבני אדם, וכן לדיווח על ניסויים </w:t>
      </w:r>
      <w:r>
        <w:rPr>
          <w:rFonts w:cs="David"/>
          <w:sz w:val="26"/>
          <w:szCs w:val="26"/>
          <w:rtl/>
        </w:rPr>
        <w:t xml:space="preserve">כאמור, הידועות                           כ– </w:t>
      </w:r>
      <w:r>
        <w:rPr>
          <w:rFonts w:cs="David"/>
          <w:sz w:val="26"/>
          <w:szCs w:val="26"/>
        </w:rPr>
        <w:t>GCP</w:t>
      </w:r>
      <w:r>
        <w:rPr>
          <w:rFonts w:cs="David"/>
          <w:sz w:val="26"/>
          <w:szCs w:val="26"/>
          <w:rtl/>
        </w:rPr>
        <w:t xml:space="preserve"> ("</w:t>
      </w:r>
      <w:r>
        <w:rPr>
          <w:rFonts w:cs="David"/>
          <w:sz w:val="26"/>
          <w:szCs w:val="26"/>
        </w:rPr>
        <w:t>Good Clinical Practice</w:t>
      </w:r>
      <w:r>
        <w:rPr>
          <w:rFonts w:cs="David"/>
          <w:sz w:val="26"/>
          <w:szCs w:val="26"/>
          <w:rtl/>
        </w:rPr>
        <w:t>"</w:t>
      </w:r>
      <w:r>
        <w:rPr>
          <w:rFonts w:cs="David"/>
          <w:sz w:val="26"/>
          <w:szCs w:val="26"/>
        </w:rPr>
        <w:t xml:space="preserve"> (</w:t>
      </w:r>
      <w:r>
        <w:rPr>
          <w:rFonts w:cs="David"/>
          <w:sz w:val="26"/>
          <w:szCs w:val="26"/>
          <w:rtl/>
        </w:rPr>
        <w:t>המיועדות להבטיח שהנתונים והתוצאות המדווחות של הניסויים הקליניים הם אמינים ומדויקים וכי הזכויות, כבוד האדם וסודיות הזהות של משתתפי הניסוי נשמרים. העמידה ביעדים אלו היא בעלת חשיבות ית</w:t>
      </w:r>
      <w:r>
        <w:rPr>
          <w:rFonts w:cs="David"/>
          <w:sz w:val="26"/>
          <w:szCs w:val="26"/>
          <w:rtl/>
        </w:rPr>
        <w:t xml:space="preserve">רה הן לקהילה הרפואית והן לחולים. מאחר שבמקרים רבים נערך ניסוי רפואי בבני אדם במקביל במרכזים רפואיים שונים ברחבי העולם, לרבות בישראל, יש להבטיח כי נוהלי העבודה והמתודולוגיה שעל פיהם נערך הניסוי יהיו תואמים לאלה המעוגנים ב– </w:t>
      </w:r>
      <w:r>
        <w:rPr>
          <w:rFonts w:cs="David"/>
          <w:sz w:val="26"/>
          <w:szCs w:val="26"/>
        </w:rPr>
        <w:t>GCP</w:t>
      </w:r>
      <w:r>
        <w:rPr>
          <w:rFonts w:cs="David"/>
          <w:sz w:val="26"/>
          <w:szCs w:val="26"/>
          <w:rtl/>
        </w:rPr>
        <w:t>, על מנת לוודא שממצאי המחקר ביש</w:t>
      </w:r>
      <w:r>
        <w:rPr>
          <w:rFonts w:cs="David"/>
          <w:sz w:val="26"/>
          <w:szCs w:val="26"/>
          <w:rtl/>
        </w:rPr>
        <w:t>ראל יוכלו לשמש לצורכי רישום של תכשירים פרמצבטיים באירופה ובארצות הברית.</w:t>
      </w:r>
    </w:p>
    <w:p w:rsidR="00000000" w:rsidRDefault="00F37340">
      <w:pPr>
        <w:spacing w:line="360" w:lineRule="auto"/>
        <w:jc w:val="both"/>
        <w:rPr>
          <w:rFonts w:cs="David"/>
          <w:sz w:val="26"/>
          <w:szCs w:val="26"/>
          <w:rtl/>
        </w:rPr>
      </w:pPr>
      <w:r>
        <w:rPr>
          <w:rFonts w:cs="David"/>
          <w:sz w:val="26"/>
          <w:szCs w:val="26"/>
          <w:rtl/>
        </w:rPr>
        <w:t xml:space="preserve">כל אלו מחייבים את הסדרת הנושא של עריכת ניסויים רפואיים בבני אדם במסגרת חקיקה ראשית, התואמת את זמננו. </w:t>
      </w:r>
    </w:p>
    <w:p w:rsidR="00000000" w:rsidRDefault="00F37340">
      <w:pPr>
        <w:spacing w:line="360" w:lineRule="auto"/>
        <w:jc w:val="both"/>
        <w:rPr>
          <w:rFonts w:cs="David"/>
          <w:sz w:val="26"/>
          <w:szCs w:val="26"/>
          <w:rtl/>
        </w:rPr>
      </w:pPr>
    </w:p>
    <w:p w:rsidR="00000000" w:rsidRDefault="00F37340">
      <w:pPr>
        <w:pStyle w:val="2"/>
        <w:spacing w:line="360" w:lineRule="auto"/>
        <w:rPr>
          <w:rFonts w:cs="David"/>
          <w:rtl/>
        </w:rPr>
      </w:pPr>
      <w:r>
        <w:rPr>
          <w:rFonts w:cs="David"/>
          <w:rtl/>
        </w:rPr>
        <w:t>סעיף 1</w:t>
      </w:r>
    </w:p>
    <w:p w:rsidR="00000000" w:rsidRDefault="00F37340">
      <w:pPr>
        <w:spacing w:line="360" w:lineRule="auto"/>
        <w:jc w:val="both"/>
        <w:rPr>
          <w:rFonts w:cs="David"/>
          <w:sz w:val="26"/>
          <w:szCs w:val="26"/>
          <w:rtl/>
        </w:rPr>
      </w:pPr>
      <w:r>
        <w:rPr>
          <w:rFonts w:cs="David"/>
          <w:sz w:val="26"/>
          <w:szCs w:val="26"/>
          <w:rtl/>
        </w:rPr>
        <w:t>מוצע לקבוע בהצעת חוק זו עקרונות ברורים שעל פיהם ייערכו ניסויים רפואיים בבנ</w:t>
      </w:r>
      <w:r>
        <w:rPr>
          <w:rFonts w:cs="David"/>
          <w:sz w:val="26"/>
          <w:szCs w:val="26"/>
          <w:rtl/>
        </w:rPr>
        <w:t xml:space="preserve">י אדם וכן להגדיר את חובותיהם וזכויותיהם של כל המעורבים בניסויים אלו – מטופלים המשתתפים בניסוי, רופאים, יזמים ומוסדות. </w:t>
      </w:r>
    </w:p>
    <w:p w:rsidR="00000000" w:rsidRDefault="00F37340">
      <w:pPr>
        <w:spacing w:line="360" w:lineRule="auto"/>
        <w:jc w:val="both"/>
        <w:rPr>
          <w:rFonts w:cs="David"/>
          <w:sz w:val="26"/>
          <w:szCs w:val="26"/>
          <w:rtl/>
        </w:rPr>
      </w:pPr>
    </w:p>
    <w:p w:rsidR="00000000" w:rsidRDefault="00F37340">
      <w:pPr>
        <w:pStyle w:val="2"/>
        <w:spacing w:line="360" w:lineRule="auto"/>
        <w:rPr>
          <w:rFonts w:cs="David"/>
          <w:rtl/>
        </w:rPr>
      </w:pPr>
      <w:r>
        <w:rPr>
          <w:rFonts w:cs="David"/>
          <w:rtl/>
        </w:rPr>
        <w:t>סעיף 2</w:t>
      </w:r>
    </w:p>
    <w:p w:rsidR="00000000" w:rsidRDefault="00F37340">
      <w:pPr>
        <w:spacing w:line="360" w:lineRule="auto"/>
        <w:jc w:val="both"/>
        <w:rPr>
          <w:rFonts w:cs="David"/>
          <w:sz w:val="26"/>
          <w:szCs w:val="26"/>
          <w:rtl/>
        </w:rPr>
      </w:pPr>
      <w:r>
        <w:rPr>
          <w:rFonts w:cs="David"/>
          <w:sz w:val="26"/>
          <w:szCs w:val="26"/>
          <w:rtl/>
        </w:rPr>
        <w:t>להגדרה "אוכלוסיה רגישה" – הגדרה זו באה להחליף את המונח "אוכלוסיה מיוחדת" אשר נכללה בתוספת הרביעית לתקנות.</w:t>
      </w:r>
    </w:p>
    <w:p w:rsidR="00000000" w:rsidRDefault="00F37340">
      <w:pPr>
        <w:spacing w:line="360" w:lineRule="auto"/>
        <w:jc w:val="both"/>
        <w:rPr>
          <w:rFonts w:cs="David"/>
          <w:sz w:val="26"/>
          <w:szCs w:val="26"/>
          <w:rtl/>
        </w:rPr>
      </w:pPr>
      <w:r>
        <w:rPr>
          <w:rFonts w:cs="David"/>
          <w:sz w:val="26"/>
          <w:szCs w:val="26"/>
          <w:rtl/>
        </w:rPr>
        <w:t xml:space="preserve">להגדרה "הליכים קליניים </w:t>
      </w:r>
      <w:r>
        <w:rPr>
          <w:rFonts w:cs="David"/>
          <w:sz w:val="26"/>
          <w:szCs w:val="26"/>
          <w:rtl/>
        </w:rPr>
        <w:t xml:space="preserve">נאותים"  – הגדרה זו הינה התרגום לעברית של המונח </w:t>
      </w:r>
      <w:r>
        <w:rPr>
          <w:rFonts w:cs="David"/>
          <w:sz w:val="26"/>
          <w:szCs w:val="26"/>
        </w:rPr>
        <w:t>GCP</w:t>
      </w:r>
      <w:r>
        <w:rPr>
          <w:rFonts w:cs="David"/>
          <w:sz w:val="26"/>
          <w:szCs w:val="26"/>
          <w:rtl/>
        </w:rPr>
        <w:t xml:space="preserve">, הנזכר לעיל.   </w:t>
      </w:r>
    </w:p>
    <w:p w:rsidR="00000000" w:rsidRDefault="00F37340">
      <w:pPr>
        <w:spacing w:line="360" w:lineRule="auto"/>
        <w:jc w:val="both"/>
        <w:rPr>
          <w:rFonts w:cs="David"/>
          <w:sz w:val="26"/>
          <w:szCs w:val="26"/>
          <w:rtl/>
        </w:rPr>
      </w:pPr>
      <w:r>
        <w:rPr>
          <w:rFonts w:cs="David"/>
          <w:sz w:val="26"/>
          <w:szCs w:val="26"/>
          <w:rtl/>
        </w:rPr>
        <w:t>להגדרה "הצהרת הלסינקי" – מאז פורסמה הצהרת הלסינקי בשנת 1964, מוכנסים בה, מעת לעת, שינויים שונים אשר טעונים אישור של רשויות הבריאות במדינות השונות, לרבות בארצות הברית ובמדינות האיחוד האירופ</w:t>
      </w:r>
      <w:r>
        <w:rPr>
          <w:rFonts w:cs="David"/>
          <w:sz w:val="26"/>
          <w:szCs w:val="26"/>
          <w:rtl/>
        </w:rPr>
        <w:t>י. לפיכך, מוצע כי התיקונים והשינויים שנעשו וייעשו בהצהרה ואשר יאומצו בישראל, יפורסמו על ידי שר הבריאות בהודעה ברשומות.</w:t>
      </w:r>
    </w:p>
    <w:p w:rsidR="00000000" w:rsidRDefault="00F37340">
      <w:pPr>
        <w:spacing w:line="360" w:lineRule="auto"/>
        <w:jc w:val="both"/>
        <w:rPr>
          <w:rFonts w:cs="David"/>
          <w:sz w:val="26"/>
          <w:szCs w:val="26"/>
          <w:rtl/>
        </w:rPr>
      </w:pPr>
      <w:r>
        <w:rPr>
          <w:rFonts w:cs="David"/>
          <w:sz w:val="26"/>
          <w:szCs w:val="26"/>
          <w:rtl/>
        </w:rPr>
        <w:t>להגדרה "וועדת ניסויי אנוש" – הגדרה זו באה להחליף את המונח הקודם שהיה נהוג – "וועדת הלסינקי".</w:t>
      </w:r>
    </w:p>
    <w:p w:rsidR="00000000" w:rsidRDefault="00F37340">
      <w:pPr>
        <w:spacing w:line="360" w:lineRule="auto"/>
        <w:jc w:val="both"/>
        <w:rPr>
          <w:rFonts w:cs="David"/>
          <w:sz w:val="26"/>
          <w:szCs w:val="26"/>
          <w:rtl/>
        </w:rPr>
      </w:pPr>
      <w:r>
        <w:rPr>
          <w:rFonts w:cs="David"/>
          <w:sz w:val="26"/>
          <w:szCs w:val="26"/>
          <w:rtl/>
        </w:rPr>
        <w:t>להגדרה "יוזם" – התייחסות ליוזם של ניסוי קיימ</w:t>
      </w:r>
      <w:r>
        <w:rPr>
          <w:rFonts w:cs="David"/>
          <w:sz w:val="26"/>
          <w:szCs w:val="26"/>
          <w:rtl/>
        </w:rPr>
        <w:t>ת רק בנוהל האמור של משרד הבריאות. לפיכך, מוצע להוסיף הגדרה זו הקובעת מהם התנאים הנדרשים על מנת להיחשב יוזם במסגרת החוק המוצע.</w:t>
      </w:r>
    </w:p>
    <w:p w:rsidR="00000000" w:rsidRDefault="00F37340">
      <w:pPr>
        <w:spacing w:line="360" w:lineRule="auto"/>
        <w:jc w:val="both"/>
        <w:rPr>
          <w:rFonts w:cs="David"/>
          <w:sz w:val="26"/>
          <w:szCs w:val="26"/>
          <w:rtl/>
        </w:rPr>
      </w:pPr>
      <w:r>
        <w:rPr>
          <w:rFonts w:cs="David"/>
          <w:sz w:val="26"/>
          <w:szCs w:val="26"/>
          <w:rtl/>
        </w:rPr>
        <w:t>להגדרה "מוסד מחקר" – מוצע להרחיב את האפשרות לעריכת ניסויים רפואיים בבני אדם גם למוסדות מחקר ולפיכך, מוצע להוסיף הגדרה זו; הסמכות ל</w:t>
      </w:r>
      <w:r>
        <w:rPr>
          <w:rFonts w:cs="David"/>
          <w:sz w:val="26"/>
          <w:szCs w:val="26"/>
          <w:rtl/>
        </w:rPr>
        <w:t>הכיר במוסדות מחקר שאינם מוסדות רפואיים הוקנתה למנהל הכללי של משרד הבריאות (להלן – המנהל), בהתאם לכללים שיקבע.</w:t>
      </w:r>
    </w:p>
    <w:p w:rsidR="00000000" w:rsidRDefault="00F37340">
      <w:pPr>
        <w:spacing w:line="360" w:lineRule="auto"/>
        <w:jc w:val="both"/>
        <w:rPr>
          <w:rFonts w:cs="David"/>
          <w:sz w:val="26"/>
          <w:szCs w:val="26"/>
          <w:rtl/>
        </w:rPr>
      </w:pPr>
      <w:r>
        <w:rPr>
          <w:rFonts w:cs="David"/>
          <w:sz w:val="26"/>
          <w:szCs w:val="26"/>
          <w:rtl/>
        </w:rPr>
        <w:t>להגדרה "מוסד רפואי"  – מוצע להרחיב את ההגדרה שבפקודת בריאות העם, 1940 (להלן – הפקודה) ולכלול בה גם מרפאות שאינן חייבות ברישוי לפי הפקודה, לרבות לש</w:t>
      </w:r>
      <w:r>
        <w:rPr>
          <w:rFonts w:cs="David"/>
          <w:sz w:val="26"/>
          <w:szCs w:val="26"/>
          <w:rtl/>
        </w:rPr>
        <w:t>כה פרטית של רופא או רופא שיניים.</w:t>
      </w:r>
    </w:p>
    <w:p w:rsidR="00000000" w:rsidRDefault="00F37340">
      <w:pPr>
        <w:spacing w:line="360" w:lineRule="auto"/>
        <w:jc w:val="both"/>
        <w:rPr>
          <w:rFonts w:cs="David"/>
          <w:sz w:val="26"/>
          <w:szCs w:val="26"/>
          <w:rtl/>
        </w:rPr>
      </w:pPr>
      <w:r>
        <w:rPr>
          <w:rFonts w:cs="David"/>
          <w:sz w:val="26"/>
          <w:szCs w:val="26"/>
          <w:rtl/>
        </w:rPr>
        <w:t xml:space="preserve">להגדרה "מחקר שמעורבים בו בני אדם" – מוצע להבהיר, כי החוק המוצע אינו חל על איסוף מידע בלתי מזוהה, סקר דעת קהל וסקר שביעות רצון. </w:t>
      </w:r>
    </w:p>
    <w:p w:rsidR="00000000" w:rsidRDefault="00F37340">
      <w:pPr>
        <w:spacing w:line="360" w:lineRule="auto"/>
        <w:jc w:val="both"/>
        <w:rPr>
          <w:rFonts w:cs="David"/>
          <w:sz w:val="26"/>
          <w:szCs w:val="26"/>
          <w:rtl/>
        </w:rPr>
      </w:pPr>
      <w:r>
        <w:rPr>
          <w:rFonts w:cs="David"/>
          <w:sz w:val="26"/>
          <w:szCs w:val="26"/>
          <w:rtl/>
        </w:rPr>
        <w:t>להגדרה "נזק משמעותי" – מוצע להוסיף הגדרה זו, המהווה אחד מהמאפיינים של ניסויים בדרגת סיכון גבוהה</w:t>
      </w:r>
      <w:r>
        <w:rPr>
          <w:rFonts w:cs="David"/>
          <w:sz w:val="26"/>
          <w:szCs w:val="26"/>
          <w:rtl/>
        </w:rPr>
        <w:t>, המחייבים הליך של אישור מיוחד בהתאם להוראות פרק ה' לחוק המוצע.</w:t>
      </w:r>
    </w:p>
    <w:p w:rsidR="00000000" w:rsidRDefault="00F37340">
      <w:pPr>
        <w:spacing w:line="360" w:lineRule="auto"/>
        <w:jc w:val="both"/>
        <w:rPr>
          <w:rFonts w:cs="David"/>
          <w:sz w:val="26"/>
          <w:szCs w:val="26"/>
          <w:rtl/>
        </w:rPr>
      </w:pPr>
      <w:r>
        <w:rPr>
          <w:rFonts w:cs="David"/>
          <w:sz w:val="26"/>
          <w:szCs w:val="26"/>
          <w:rtl/>
        </w:rPr>
        <w:t>להגדרה "ניסוי בדרגת סיכון גבוהה" – מוצע להוסיף הגדרה זו הכוללת רשימה של מאפיינים של ניסוי רפואי, ההופכים אותו לניסוי בדרגת סיכון גבוהה; מוצע כי ניסוי כאמור יחייב גם אישור מוקדם של המנהל לאחר ה</w:t>
      </w:r>
      <w:r>
        <w:rPr>
          <w:rFonts w:cs="David"/>
          <w:sz w:val="26"/>
          <w:szCs w:val="26"/>
          <w:rtl/>
        </w:rPr>
        <w:t xml:space="preserve">מלצת ועדת ניסויי אנוש מרכזית. </w:t>
      </w:r>
    </w:p>
    <w:p w:rsidR="00000000" w:rsidRDefault="00F37340">
      <w:pPr>
        <w:spacing w:line="360" w:lineRule="auto"/>
        <w:jc w:val="both"/>
        <w:rPr>
          <w:rFonts w:cs="David"/>
          <w:sz w:val="26"/>
          <w:szCs w:val="26"/>
          <w:rtl/>
        </w:rPr>
      </w:pPr>
      <w:r>
        <w:rPr>
          <w:rFonts w:cs="David"/>
          <w:sz w:val="26"/>
          <w:szCs w:val="26"/>
          <w:rtl/>
        </w:rPr>
        <w:t>להגדרה "ניסוי גנטי בבני אדם" – ניסוי גנטי בבני אדם נכלל בתקנות בהגדרה "ניסוי רפואי בבני אדם" וכאחד מהתחומים שלגביהם נדרש אישור הוועדה העליונה כהגדרתה בתקנות. לאור חשיבותו ורגישותו של תחום זה, ולאור חקיקתו של חוק מידע גנטי, מו</w:t>
      </w:r>
      <w:r>
        <w:rPr>
          <w:rFonts w:cs="David"/>
          <w:sz w:val="26"/>
          <w:szCs w:val="26"/>
          <w:rtl/>
        </w:rPr>
        <w:t>צע לייחד למונח זה הגדרה נפרדת ומפורטת יותר.</w:t>
      </w:r>
    </w:p>
    <w:p w:rsidR="00000000" w:rsidRDefault="00F37340">
      <w:pPr>
        <w:spacing w:line="360" w:lineRule="auto"/>
        <w:jc w:val="both"/>
        <w:rPr>
          <w:rFonts w:cs="David"/>
          <w:sz w:val="26"/>
          <w:szCs w:val="26"/>
          <w:rtl/>
        </w:rPr>
      </w:pPr>
      <w:r>
        <w:rPr>
          <w:rFonts w:cs="David"/>
          <w:sz w:val="26"/>
          <w:szCs w:val="26"/>
          <w:rtl/>
        </w:rPr>
        <w:t xml:space="preserve">להגדרה "ניסוי רפואי בבני אדם"  – מוצע להוסיף להגדרה גם עשיית שימוש במכשיר או אבזר רפואי, אשר ההתייחסות אליהם מוסדרת היום במסגרת התוספת הרביעית לתקנות. </w:t>
      </w:r>
    </w:p>
    <w:p w:rsidR="00000000" w:rsidRDefault="00F37340">
      <w:pPr>
        <w:spacing w:line="360" w:lineRule="auto"/>
        <w:jc w:val="both"/>
        <w:rPr>
          <w:rFonts w:cs="David"/>
          <w:sz w:val="26"/>
          <w:szCs w:val="26"/>
          <w:rtl/>
        </w:rPr>
      </w:pPr>
      <w:r>
        <w:rPr>
          <w:rFonts w:cs="David"/>
          <w:sz w:val="26"/>
          <w:szCs w:val="26"/>
          <w:rtl/>
        </w:rPr>
        <w:t>להגדרה "ניסוי שלב 1 (</w:t>
      </w:r>
      <w:r>
        <w:rPr>
          <w:rFonts w:cs="David"/>
          <w:sz w:val="26"/>
          <w:szCs w:val="26"/>
        </w:rPr>
        <w:t>Phase 1</w:t>
      </w:r>
      <w:r>
        <w:rPr>
          <w:rFonts w:cs="David"/>
          <w:sz w:val="26"/>
          <w:szCs w:val="26"/>
          <w:rtl/>
        </w:rPr>
        <w:t xml:space="preserve">)" – מטרת ניסוי שלב 1 היא לבדוק </w:t>
      </w:r>
      <w:r>
        <w:rPr>
          <w:rFonts w:cs="David"/>
          <w:sz w:val="26"/>
          <w:szCs w:val="26"/>
          <w:rtl/>
        </w:rPr>
        <w:t xml:space="preserve">כיצד הגוף מגיב לחומר שאותו מנסים. עריכת ניסוי רפואי בבני אדם בחומר אשר טרם נוסה בבני אדם או בסוג מסוים של בני אדם, כגון קטינים, היא בדרגת סיכון גבוהה יותר לבריאותו של המשתתף בניסוי ולפיכך, מחייבת נקיטת נוהלים מחמירים.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 xml:space="preserve">סעיף 3 </w:t>
      </w:r>
    </w:p>
    <w:p w:rsidR="00000000" w:rsidRDefault="00F37340">
      <w:pPr>
        <w:spacing w:line="360" w:lineRule="auto"/>
        <w:jc w:val="both"/>
        <w:rPr>
          <w:rFonts w:cs="David"/>
          <w:sz w:val="26"/>
          <w:szCs w:val="26"/>
          <w:rtl/>
        </w:rPr>
      </w:pPr>
      <w:r>
        <w:rPr>
          <w:rFonts w:cs="David"/>
          <w:sz w:val="26"/>
          <w:szCs w:val="26"/>
          <w:rtl/>
        </w:rPr>
        <w:t xml:space="preserve">השמירה על כבוד האדם, חירותו </w:t>
      </w:r>
      <w:r>
        <w:rPr>
          <w:rFonts w:cs="David"/>
          <w:sz w:val="26"/>
          <w:szCs w:val="26"/>
          <w:rtl/>
        </w:rPr>
        <w:t xml:space="preserve">וזכויותיו על פי כל דין, היא הנר שעל המבצעים ניסויים רפואיים בבני אדם לשים לרגליהם. עקרון זה עוגן בשורה של חוקים, ביניהם חוק יסוד: כבוד האדם וחירותו, חוק זכויות החולה, התשנ"ו-1996 וחוק מידע גנטי.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סעיפים 4 ו-5</w:t>
      </w:r>
    </w:p>
    <w:p w:rsidR="00000000" w:rsidRDefault="00F37340">
      <w:pPr>
        <w:spacing w:line="360" w:lineRule="auto"/>
        <w:jc w:val="both"/>
        <w:rPr>
          <w:rFonts w:cs="David"/>
          <w:sz w:val="26"/>
          <w:szCs w:val="26"/>
          <w:rtl/>
        </w:rPr>
      </w:pPr>
      <w:r>
        <w:rPr>
          <w:rFonts w:cs="David"/>
          <w:sz w:val="26"/>
          <w:szCs w:val="26"/>
          <w:rtl/>
        </w:rPr>
        <w:t>מוצע לעגן את העיקרון שנקבע בסעיף 2(ב) לתקנות</w:t>
      </w:r>
      <w:r>
        <w:rPr>
          <w:rFonts w:cs="David"/>
          <w:sz w:val="26"/>
          <w:szCs w:val="26"/>
          <w:rtl/>
        </w:rPr>
        <w:t xml:space="preserve">, אשר בא להבטיח את שלום המשתתף במחקר ואת עריכתם של ניסויים קליניים ברוח הצהרת הלסינקי ובהתאם להליכים קליניים נאותים, כמקובל במדינות המפותחות.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סעיף 6</w:t>
      </w:r>
    </w:p>
    <w:p w:rsidR="00000000" w:rsidRDefault="00F37340">
      <w:pPr>
        <w:spacing w:line="360" w:lineRule="auto"/>
        <w:jc w:val="both"/>
        <w:rPr>
          <w:rFonts w:cs="David"/>
          <w:sz w:val="26"/>
          <w:szCs w:val="26"/>
          <w:rtl/>
        </w:rPr>
      </w:pPr>
      <w:r>
        <w:rPr>
          <w:rFonts w:cs="David"/>
          <w:sz w:val="26"/>
          <w:szCs w:val="26"/>
          <w:rtl/>
        </w:rPr>
        <w:t>מוצע כי פרט למוסדות רפואיים אשר יוכרו על ידי המנהל לצורך עריכת ניסויים רפואיים בבני אדם, תורחב האפשרות לע</w:t>
      </w:r>
      <w:r>
        <w:rPr>
          <w:rFonts w:cs="David"/>
          <w:sz w:val="26"/>
          <w:szCs w:val="26"/>
          <w:rtl/>
        </w:rPr>
        <w:t>רוך ניסוי רפואי בבני אדם גם למוסדות מחקר, אשר המנהל הכיר בהם ואשר מונתה ופועלת לגביהם ועדת ניסויי אנוש מוסדית. היכולת המקצועית של מוסד רפואי או מוסד מחקר היא גורם חשוב בשמירה על בריאותו של המטופל וביכולת להבטיח עמידה בהליכים קליניים נאותים במהלך הניסוי. לפ</w:t>
      </w:r>
      <w:r>
        <w:rPr>
          <w:rFonts w:cs="David"/>
          <w:sz w:val="26"/>
          <w:szCs w:val="26"/>
          <w:rtl/>
        </w:rPr>
        <w:t>יכך, מוצע לקבוע קריטריון זה כקריטריון אשר המנהל יתחשב בו בבואו לשקול מתן הכרה למוסד מחקר לערוך ניסויים רפואיים בבני אדם. בנוסף, מוצע לאפשר למנהל להתחשב בתנאי רישומו של מוסד רפואי לפי הפקודה והתקנות לפיה, ככל שיש לאלו השפעה על יכולתו של המוסד הרפואי לערוך נ</w:t>
      </w:r>
      <w:r>
        <w:rPr>
          <w:rFonts w:cs="David"/>
          <w:sz w:val="26"/>
          <w:szCs w:val="26"/>
          <w:rtl/>
        </w:rPr>
        <w:t xml:space="preserve">יסויים רפואיים בבני אדם.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סעיף 7</w:t>
      </w:r>
    </w:p>
    <w:p w:rsidR="00000000" w:rsidRDefault="00F37340">
      <w:pPr>
        <w:spacing w:line="360" w:lineRule="auto"/>
        <w:jc w:val="both"/>
        <w:rPr>
          <w:rFonts w:cs="David"/>
          <w:sz w:val="26"/>
          <w:szCs w:val="26"/>
          <w:rtl/>
        </w:rPr>
      </w:pPr>
      <w:r>
        <w:rPr>
          <w:rFonts w:cs="David"/>
          <w:sz w:val="26"/>
          <w:szCs w:val="26"/>
          <w:rtl/>
        </w:rPr>
        <w:t xml:space="preserve">הסעיף המוצע בא לעגן את הוראות סעיף 2 ו-3ב לתקנות. כן מוצע בו כי הרופא הראשי בניסוי יהיה מועסק באותו מוסד שבו אמור להיערך הניסוי, על מנת לתת בידי ועדת ניסויי אנוש של אותו מוסד כלים טובים יותר להעריך את היכולת המקצועית לבצע </w:t>
      </w:r>
      <w:r>
        <w:rPr>
          <w:rFonts w:cs="David"/>
          <w:sz w:val="26"/>
          <w:szCs w:val="26"/>
          <w:rtl/>
        </w:rPr>
        <w:t xml:space="preserve">את הניסוי ועל מנת לתת למנהל המוסד את היכולת לפקח על הניסוי ועל החוקר.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 xml:space="preserve">סעיף 8 </w:t>
      </w:r>
    </w:p>
    <w:p w:rsidR="00000000" w:rsidRDefault="00F37340">
      <w:pPr>
        <w:spacing w:line="360" w:lineRule="auto"/>
        <w:jc w:val="both"/>
        <w:rPr>
          <w:rFonts w:cs="David"/>
          <w:sz w:val="26"/>
          <w:szCs w:val="26"/>
          <w:rtl/>
        </w:rPr>
      </w:pPr>
      <w:r>
        <w:rPr>
          <w:rFonts w:cs="David"/>
          <w:sz w:val="26"/>
          <w:szCs w:val="26"/>
          <w:rtl/>
        </w:rPr>
        <w:t>מוצע להחליף את תקנה 3 לתקנות, לענין התנאים לאישור ניסוי רפואי על ידי המנהל. מוצע לעגן את הנוהל הקיים ולחייב את היזם לדאוג לכיסוי ביטוחי הולם למשתתפים, על פי כללים שיקבע המנהל (</w:t>
      </w:r>
      <w:r>
        <w:rPr>
          <w:rFonts w:cs="David"/>
          <w:sz w:val="26"/>
          <w:szCs w:val="26"/>
          <w:rtl/>
        </w:rPr>
        <w:t>פסקה (9)). עוד מוצע להגביר את הוודאות שהניסוי הרפואי בבני אדם יבוצע ויושלם, ולוודא שמנהל המוסד וכן וועדת ניסויי אנוש, יביאו במכלול שיקוליהם גם את יכולתם של המעורבים בניסוי לבצעו במלואו ובאופן נאות. דבר זה נעשה, בין היתר, על ידי הפיכת המוסד לצד לניסוי באמצע</w:t>
      </w:r>
      <w:r>
        <w:rPr>
          <w:rFonts w:cs="David"/>
          <w:sz w:val="26"/>
          <w:szCs w:val="26"/>
          <w:rtl/>
        </w:rPr>
        <w:t>ות התחייבותו, ביחד עם היוזם והחוקר הראשי, להקצות את המשאבים הנדרשים לביצוע נאות של הניסוי (פסקה             (10)). מאחר שאינטרסים עסקיים מעורבים דרך קבע בניסויים רפואיים הנערכים בבני אדם, יש להבטיח כי אין בכך כדי לפגוע בביצוע הולם של הניסוי, או בזכויות המש</w:t>
      </w:r>
      <w:r>
        <w:rPr>
          <w:rFonts w:cs="David"/>
          <w:sz w:val="26"/>
          <w:szCs w:val="26"/>
          <w:rtl/>
        </w:rPr>
        <w:t>תתפים בניסוי (פסקה (11)). כן מוצע לעגן את העיקרון שנקבע בסעיף א10 להצהרת הלסינקי בדבר חשיפה של אנשים ללחץ או השפעה בלתי הוגנים להשתתף בניסוי (פסקה (12)).</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סעיפים 9 ו-10</w:t>
      </w:r>
    </w:p>
    <w:p w:rsidR="00000000" w:rsidRDefault="00F37340">
      <w:pPr>
        <w:spacing w:line="360" w:lineRule="auto"/>
        <w:jc w:val="both"/>
        <w:rPr>
          <w:rFonts w:cs="David"/>
          <w:sz w:val="26"/>
          <w:szCs w:val="26"/>
          <w:rtl/>
        </w:rPr>
      </w:pPr>
      <w:r>
        <w:rPr>
          <w:rFonts w:cs="David"/>
          <w:sz w:val="26"/>
          <w:szCs w:val="26"/>
          <w:rtl/>
        </w:rPr>
        <w:t xml:space="preserve">מוצע לעגן את עקרון היסוד השני והשלישי של הצהרת הלסינקי.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סעיף 11</w:t>
      </w:r>
    </w:p>
    <w:p w:rsidR="00000000" w:rsidRDefault="00F37340">
      <w:pPr>
        <w:spacing w:line="360" w:lineRule="auto"/>
        <w:jc w:val="both"/>
        <w:rPr>
          <w:rFonts w:cs="David"/>
          <w:sz w:val="26"/>
          <w:szCs w:val="26"/>
          <w:rtl/>
        </w:rPr>
      </w:pPr>
      <w:r>
        <w:rPr>
          <w:rFonts w:cs="David"/>
          <w:sz w:val="26"/>
          <w:szCs w:val="26"/>
          <w:rtl/>
        </w:rPr>
        <w:t>כדי שהנתונים והתוצאות</w:t>
      </w:r>
      <w:r>
        <w:rPr>
          <w:rFonts w:cs="David"/>
          <w:sz w:val="26"/>
          <w:szCs w:val="26"/>
          <w:rtl/>
        </w:rPr>
        <w:t xml:space="preserve"> של הניסוי יתקבלו על ידי הרשויות המוסמכות במדינות השונות, יש להבטיח רישום, טיפול, שמירה ואחסון נאותים של המידע הנוגע לניסוי הרפואי לתקופה מתאימה, וכן נגישות לכל המידע אשר דרוש למנטר הניסוי כדי לאפשר ניטור מלא, במועד ובהתאם להליכים הקליניים הנאותים. הוראות </w:t>
      </w:r>
      <w:r>
        <w:rPr>
          <w:rFonts w:cs="David"/>
          <w:sz w:val="26"/>
          <w:szCs w:val="26"/>
          <w:rtl/>
        </w:rPr>
        <w:t xml:space="preserve">אלו אף מצאו את ביטוין ב– </w:t>
      </w:r>
      <w:r>
        <w:rPr>
          <w:rFonts w:cs="David"/>
          <w:sz w:val="26"/>
          <w:szCs w:val="26"/>
        </w:rPr>
        <w:t>GCP</w:t>
      </w:r>
      <w:r>
        <w:rPr>
          <w:rFonts w:cs="David"/>
          <w:sz w:val="26"/>
          <w:szCs w:val="26"/>
          <w:rtl/>
        </w:rPr>
        <w:t>.</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 xml:space="preserve">סעיף 12 </w:t>
      </w:r>
    </w:p>
    <w:p w:rsidR="00000000" w:rsidRDefault="00F37340">
      <w:pPr>
        <w:spacing w:line="360" w:lineRule="auto"/>
        <w:jc w:val="both"/>
        <w:rPr>
          <w:rFonts w:cs="David"/>
          <w:sz w:val="26"/>
          <w:szCs w:val="26"/>
          <w:rtl/>
        </w:rPr>
      </w:pPr>
      <w:r>
        <w:rPr>
          <w:rFonts w:cs="David"/>
          <w:sz w:val="26"/>
          <w:szCs w:val="26"/>
          <w:rtl/>
        </w:rPr>
        <w:t xml:space="preserve">סודיות המידע הנוגע לזהותם או למצבם הרפואי של משתתפי הניסוי היא עקרון יסודי המעוגן, בין היתר, בסעיף א6 להצהרת הלסינקי, בחוק זכויות החולה ובחוק מידע גנטי. </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 xml:space="preserve">סעיף 13 </w:t>
      </w:r>
    </w:p>
    <w:p w:rsidR="00000000" w:rsidRDefault="00F37340">
      <w:pPr>
        <w:spacing w:line="360" w:lineRule="auto"/>
        <w:jc w:val="both"/>
        <w:rPr>
          <w:rFonts w:cs="David"/>
          <w:sz w:val="26"/>
          <w:szCs w:val="26"/>
          <w:rtl/>
        </w:rPr>
      </w:pPr>
      <w:r>
        <w:rPr>
          <w:rFonts w:cs="David"/>
          <w:sz w:val="26"/>
          <w:szCs w:val="26"/>
          <w:rtl/>
        </w:rPr>
        <w:t>השאלה אם הליך, פעולה או בדיקה הם מקובלים אם לאו, עומ</w:t>
      </w:r>
      <w:r>
        <w:rPr>
          <w:rFonts w:cs="David"/>
          <w:sz w:val="26"/>
          <w:szCs w:val="26"/>
          <w:rtl/>
        </w:rPr>
        <w:t xml:space="preserve">דת ביסוד ההבחנה האם מדובר בניסוי רפואי בבני אדם. ככל שהדבר נוגע למערך הגנטי של בני אדם אשר הרגישות לגביו גבוהה במיוחד, עצם קיומו של ספק בדבר היותה הפעולה מקובלת בישראל, די בו כדי שנושא ביצוע הפעולה יובא ראשית לבדיקת ועדת ניסויי אנוש מוסדית, אשר תכריע כיצד </w:t>
      </w:r>
      <w:r>
        <w:rPr>
          <w:rFonts w:cs="David"/>
          <w:sz w:val="26"/>
          <w:szCs w:val="26"/>
          <w:rtl/>
        </w:rPr>
        <w:t>יש לנהוג ביחס לפעולה כאמור, ולאחר מכן יובא בפני ועדת ניסויי אנוש המרכזית לגנטיקה, אם יוחלט כי מדובר בניסוי גנטי.</w:t>
      </w:r>
    </w:p>
    <w:p w:rsidR="00000000" w:rsidRDefault="00F37340">
      <w:pPr>
        <w:pStyle w:val="2"/>
        <w:spacing w:line="360" w:lineRule="auto"/>
        <w:rPr>
          <w:rFonts w:cs="David"/>
          <w:rtl/>
        </w:rPr>
      </w:pPr>
    </w:p>
    <w:p w:rsidR="00000000" w:rsidRDefault="00F37340">
      <w:pPr>
        <w:pStyle w:val="2"/>
        <w:spacing w:line="360" w:lineRule="auto"/>
        <w:rPr>
          <w:rFonts w:cs="David"/>
          <w:rtl/>
        </w:rPr>
      </w:pPr>
      <w:r>
        <w:rPr>
          <w:rFonts w:cs="David"/>
          <w:rtl/>
        </w:rPr>
        <w:t>סעיף 14</w:t>
      </w:r>
    </w:p>
    <w:p w:rsidR="00000000" w:rsidRDefault="00F37340">
      <w:pPr>
        <w:spacing w:line="360" w:lineRule="auto"/>
        <w:jc w:val="both"/>
        <w:rPr>
          <w:rFonts w:cs="David"/>
          <w:sz w:val="26"/>
          <w:szCs w:val="26"/>
          <w:rtl/>
        </w:rPr>
      </w:pPr>
      <w:r>
        <w:rPr>
          <w:rFonts w:cs="David"/>
          <w:sz w:val="26"/>
          <w:szCs w:val="26"/>
          <w:rtl/>
        </w:rPr>
        <w:t>על פי הדין הקיים ניתן לבצע מחקרים רפואיים בבני אדם בבתי חולים בלבד. מוצע להרחיב את האפשרות לערוך ניסויים רפואיים בבני אדם גם למוסדות מ</w:t>
      </w:r>
      <w:r>
        <w:rPr>
          <w:rFonts w:cs="David"/>
          <w:sz w:val="26"/>
          <w:szCs w:val="26"/>
          <w:rtl/>
        </w:rPr>
        <w:t>חקר, בהתאם לתנאים המפורטים בסעיף זה. כמו כן, על מנת להגביר את הפיקוח והבקרה של ועדות ניסויי אנוש המוסדיות, מוצע לקבוע חובת דיווח על החלטות ועדת ניסויי אנוש מוסדית לועדה המרכזית המתאימה.</w:t>
      </w:r>
    </w:p>
    <w:p w:rsidR="00000000" w:rsidRDefault="00F37340">
      <w:pPr>
        <w:spacing w:line="360" w:lineRule="auto"/>
        <w:jc w:val="both"/>
        <w:rPr>
          <w:rFonts w:cs="David"/>
          <w:b/>
          <w:bCs/>
          <w:sz w:val="26"/>
          <w:szCs w:val="26"/>
          <w:u w:val="single"/>
          <w:rtl/>
        </w:rPr>
      </w:pPr>
    </w:p>
    <w:p w:rsidR="00000000" w:rsidRDefault="00F37340">
      <w:pPr>
        <w:pStyle w:val="2"/>
        <w:spacing w:line="360" w:lineRule="auto"/>
        <w:rPr>
          <w:rFonts w:cs="David"/>
          <w:b w:val="0"/>
          <w:bCs w:val="0"/>
          <w:u w:val="single"/>
          <w:rtl/>
        </w:rPr>
      </w:pPr>
      <w:r>
        <w:rPr>
          <w:rFonts w:cs="David"/>
          <w:rtl/>
        </w:rPr>
        <w:t>סעיפים 15 עד 24</w:t>
      </w:r>
    </w:p>
    <w:p w:rsidR="00000000" w:rsidRDefault="00F37340">
      <w:pPr>
        <w:spacing w:line="360" w:lineRule="auto"/>
        <w:jc w:val="both"/>
        <w:rPr>
          <w:rFonts w:cs="David"/>
          <w:sz w:val="26"/>
          <w:szCs w:val="26"/>
          <w:rtl/>
        </w:rPr>
      </w:pPr>
      <w:r>
        <w:rPr>
          <w:rFonts w:cs="David"/>
          <w:sz w:val="26"/>
          <w:szCs w:val="26"/>
          <w:rtl/>
        </w:rPr>
        <w:t>בפרק ה' להצעת החוק, מוצע להסדיר את סוגיית הרכב הוועדו</w:t>
      </w:r>
      <w:r>
        <w:rPr>
          <w:rFonts w:cs="David"/>
          <w:sz w:val="26"/>
          <w:szCs w:val="26"/>
          <w:rtl/>
        </w:rPr>
        <w:t xml:space="preserve">ת המאשרות עריכת ניסויים בבני אדם. על פי הדין הקיים, ניסוי רפואי בבני אדם מובא לאישורה של ועדת הלסינקי של בית החולים המתכוון לערוך את הניסוי, כאשר במקרים מסוימים נדרש גם אישורה של הועדה העליונה. </w:t>
      </w:r>
    </w:p>
    <w:p w:rsidR="00000000" w:rsidRDefault="00F37340">
      <w:pPr>
        <w:spacing w:line="360" w:lineRule="auto"/>
        <w:jc w:val="both"/>
        <w:rPr>
          <w:rFonts w:cs="David"/>
          <w:sz w:val="26"/>
          <w:szCs w:val="26"/>
          <w:rtl/>
        </w:rPr>
      </w:pPr>
      <w:r>
        <w:rPr>
          <w:rFonts w:cs="David"/>
          <w:sz w:val="26"/>
          <w:szCs w:val="26"/>
          <w:rtl/>
        </w:rPr>
        <w:t>במסגרת הצעת חוק זו, מוצע לשנות את ההרכב הקיים של הוועדות כד ל</w:t>
      </w:r>
      <w:r>
        <w:rPr>
          <w:rFonts w:cs="David"/>
          <w:sz w:val="26"/>
          <w:szCs w:val="26"/>
          <w:rtl/>
        </w:rPr>
        <w:t>הבטיח יכולת מקצועית גבוהה בבחינת הניסוי הרפואי המובא לאישור הוועדה, ולמנוע במידת האפשר ניגוד ענינים של חברי הועדה ביחס לניסוי הרפואי המובא לאישורה. עוד מוצע לכלול הוראה מפורשת המחייבת כי בוועדה יהיו חברים הן נשים והן גברים. עוד מוצע ליצור מערך של ועדות, הכ</w:t>
      </w:r>
      <w:r>
        <w:rPr>
          <w:rFonts w:cs="David"/>
          <w:sz w:val="26"/>
          <w:szCs w:val="26"/>
          <w:rtl/>
        </w:rPr>
        <w:t xml:space="preserve">ולל ועדות ניסויי אנוש מוסדיות, ועדות ניסויי אנוש מרכזיות קבועות, שיחליפו את הועדה העליונה לפי הדין הקיים, בתחומי אחריות מוגדרים כגון תרופות, גנטיקה ואביזרים ומכשירים רפואיים, וועדות ניסויי אנוש זמניות או לענין מסוים, וכן ועדת פיקוח ובקרה מרכזית, אשר תקיים </w:t>
      </w:r>
      <w:r>
        <w:rPr>
          <w:rFonts w:cs="David"/>
          <w:sz w:val="26"/>
          <w:szCs w:val="26"/>
          <w:rtl/>
        </w:rPr>
        <w:t>ביקורת קבועה ושיטתית על אופן פעולתן של וועדות ניסויי אנוש מוסדיות, תפקח על עריכת ניסויים רפואיים שאושרו על ידן ותמליץ למנהל על אמצעים שיש לנקוט בעקבות ממצאי ביקורת.</w:t>
      </w:r>
    </w:p>
    <w:p w:rsidR="00000000" w:rsidRDefault="00F37340">
      <w:pPr>
        <w:spacing w:line="360" w:lineRule="auto"/>
        <w:jc w:val="both"/>
        <w:rPr>
          <w:rFonts w:cs="David"/>
          <w:sz w:val="26"/>
          <w:szCs w:val="26"/>
          <w:rtl/>
        </w:rPr>
      </w:pPr>
      <w:r>
        <w:rPr>
          <w:rFonts w:cs="David"/>
          <w:sz w:val="26"/>
          <w:szCs w:val="26"/>
          <w:rtl/>
        </w:rPr>
        <w:t>כמו כן נקבע מנגנון ערעור על החלטת ועדת ניסויי אנוש מוסדית בפני ועדת ניסויי אנוש מרכזית.</w:t>
      </w:r>
    </w:p>
    <w:p w:rsidR="00000000" w:rsidRDefault="00F37340">
      <w:pPr>
        <w:spacing w:line="360" w:lineRule="auto"/>
        <w:jc w:val="both"/>
        <w:rPr>
          <w:rFonts w:cs="David"/>
          <w:b/>
          <w:bCs/>
          <w:sz w:val="26"/>
          <w:szCs w:val="26"/>
          <w:u w:val="single"/>
          <w:rtl/>
        </w:rPr>
      </w:pPr>
    </w:p>
    <w:p w:rsidR="00000000" w:rsidRDefault="00F37340">
      <w:pPr>
        <w:spacing w:line="360" w:lineRule="auto"/>
        <w:jc w:val="both"/>
        <w:rPr>
          <w:rFonts w:cs="David"/>
          <w:b/>
          <w:bCs/>
          <w:sz w:val="26"/>
          <w:szCs w:val="26"/>
          <w:u w:val="single"/>
          <w:rtl/>
        </w:rPr>
      </w:pPr>
    </w:p>
    <w:p w:rsidR="00000000" w:rsidRDefault="00F37340">
      <w:pPr>
        <w:pStyle w:val="2"/>
        <w:spacing w:line="360" w:lineRule="auto"/>
        <w:rPr>
          <w:rFonts w:cs="David"/>
          <w:rtl/>
        </w:rPr>
      </w:pPr>
      <w:r>
        <w:rPr>
          <w:rFonts w:cs="David"/>
          <w:rtl/>
        </w:rPr>
        <w:t>ס</w:t>
      </w:r>
      <w:r>
        <w:rPr>
          <w:rFonts w:cs="David"/>
          <w:rtl/>
        </w:rPr>
        <w:t>עיפים 25 עד 31</w:t>
      </w:r>
    </w:p>
    <w:p w:rsidR="00000000" w:rsidRDefault="00F37340">
      <w:pPr>
        <w:spacing w:line="360" w:lineRule="auto"/>
        <w:jc w:val="both"/>
        <w:rPr>
          <w:rFonts w:cs="David"/>
          <w:sz w:val="26"/>
          <w:szCs w:val="26"/>
          <w:rtl/>
        </w:rPr>
      </w:pPr>
      <w:r>
        <w:rPr>
          <w:rFonts w:cs="David"/>
          <w:sz w:val="26"/>
          <w:szCs w:val="26"/>
          <w:rtl/>
        </w:rPr>
        <w:t>פרק ו' המוצע בא לעגן את העיקרון הקבוע בסעיף א9 להצהרת הלסינקי, בדבר קבלת הסכמה מדעת להשתתפות בניסוי רפואי בבני אדם.</w:t>
      </w:r>
    </w:p>
    <w:p w:rsidR="00000000" w:rsidRDefault="00F37340">
      <w:pPr>
        <w:spacing w:line="360" w:lineRule="auto"/>
        <w:jc w:val="both"/>
        <w:rPr>
          <w:rFonts w:cs="David"/>
          <w:sz w:val="26"/>
          <w:szCs w:val="26"/>
          <w:rtl/>
        </w:rPr>
      </w:pPr>
      <w:r>
        <w:rPr>
          <w:rFonts w:cs="David"/>
          <w:sz w:val="26"/>
          <w:szCs w:val="26"/>
          <w:rtl/>
        </w:rPr>
        <w:t>מוצע לעגן את החריג לדרישת ההסכמה מדעת, הקבוע בסעיף א11 להצהרת הלסינקי ולקבוע כי בניסוי בדרגת סיכון גבוהה תהא הסכמת נציגו של ה</w:t>
      </w:r>
      <w:r>
        <w:rPr>
          <w:rFonts w:cs="David"/>
          <w:sz w:val="26"/>
          <w:szCs w:val="26"/>
          <w:rtl/>
        </w:rPr>
        <w:t>משתתף טעונה אישור בית משפט. יחד עם זאת, מקום שהניסוי מתוכנן מראש לאוכלוסיה רגישה, כהגדרתה בהצעת חוק זו, יש מקום לאפשר פטור מאישור בית המשפט (סעיף 26).</w:t>
      </w:r>
    </w:p>
    <w:p w:rsidR="00000000" w:rsidRDefault="00F37340">
      <w:pPr>
        <w:spacing w:line="360" w:lineRule="auto"/>
        <w:jc w:val="both"/>
        <w:rPr>
          <w:rFonts w:cs="David"/>
          <w:sz w:val="26"/>
          <w:szCs w:val="26"/>
          <w:rtl/>
        </w:rPr>
      </w:pPr>
      <w:r>
        <w:rPr>
          <w:rFonts w:cs="David"/>
          <w:sz w:val="26"/>
          <w:szCs w:val="26"/>
          <w:rtl/>
        </w:rPr>
        <w:t>החובה לשמור על כבוד האדם, חירותו וזכויותיו, על עריכת ניסויים רפואיים בבני אדם ברוח הצהרת הלסינקי ועל פעול</w:t>
      </w:r>
      <w:r>
        <w:rPr>
          <w:rFonts w:cs="David"/>
          <w:sz w:val="26"/>
          <w:szCs w:val="26"/>
          <w:rtl/>
        </w:rPr>
        <w:t>ה בהתאם להליכים קליניים נאותים ולפי הוראות החוק המוצע והתקנות שיותקנו לפיו, מחייבת מתן מעמד קוגנטי להוראות החוק (סעיף 27).</w:t>
      </w:r>
    </w:p>
    <w:p w:rsidR="00000000" w:rsidRDefault="00F37340">
      <w:pPr>
        <w:spacing w:line="360" w:lineRule="auto"/>
        <w:jc w:val="both"/>
        <w:rPr>
          <w:rFonts w:cs="David"/>
          <w:sz w:val="26"/>
          <w:szCs w:val="26"/>
          <w:rtl/>
        </w:rPr>
      </w:pPr>
      <w:r>
        <w:rPr>
          <w:rFonts w:cs="David"/>
          <w:sz w:val="26"/>
          <w:szCs w:val="26"/>
          <w:rtl/>
        </w:rPr>
        <w:t>לשם קבלת הסכמה מדעת להשתתפות בניסוי רפואי בבני אדם, יש להבטיח בהתאם להוראות סעיף א9 להצהרת הלסינקי, שבידי המשתתף יהיה כל המידע והנתונ</w:t>
      </w:r>
      <w:r>
        <w:rPr>
          <w:rFonts w:cs="David"/>
          <w:sz w:val="26"/>
          <w:szCs w:val="26"/>
          <w:rtl/>
        </w:rPr>
        <w:t>ים הדרושים לקבלת החלטה. כמו כן יש להבטיח כי יובהר למשתתף שהוא לא יינזק כלכלית ולא יפגעו זכויות הרפואיות או זכויות אחרות שלו, אם יסרב להשתתף בניסוי או יחליט להפסיק השתתפותו בו (סעיף 28).</w:t>
      </w:r>
    </w:p>
    <w:p w:rsidR="00000000" w:rsidRDefault="00F37340">
      <w:pPr>
        <w:spacing w:line="360" w:lineRule="auto"/>
        <w:jc w:val="both"/>
        <w:rPr>
          <w:rFonts w:cs="David"/>
          <w:sz w:val="26"/>
          <w:szCs w:val="26"/>
          <w:rtl/>
        </w:rPr>
      </w:pPr>
      <w:r>
        <w:rPr>
          <w:rFonts w:cs="David"/>
          <w:sz w:val="26"/>
          <w:szCs w:val="26"/>
          <w:rtl/>
        </w:rPr>
        <w:t>בנוסף למידע שעל החוקר למסור בהתאם לאמור בסעיף 28 המוצע, מוצע לקבוע פיר</w:t>
      </w:r>
      <w:r>
        <w:rPr>
          <w:rFonts w:cs="David"/>
          <w:sz w:val="26"/>
          <w:szCs w:val="26"/>
          <w:rtl/>
        </w:rPr>
        <w:t xml:space="preserve">וט נוסף של מידע אשר יימסר למשתתף, לפי הענין (סעיף 29). </w:t>
      </w:r>
    </w:p>
    <w:p w:rsidR="00000000" w:rsidRDefault="00F37340">
      <w:pPr>
        <w:spacing w:line="360" w:lineRule="auto"/>
        <w:jc w:val="both"/>
        <w:rPr>
          <w:rFonts w:cs="David"/>
          <w:sz w:val="26"/>
          <w:szCs w:val="26"/>
          <w:rtl/>
        </w:rPr>
      </w:pPr>
      <w:r>
        <w:rPr>
          <w:rFonts w:cs="David"/>
          <w:sz w:val="26"/>
          <w:szCs w:val="26"/>
          <w:rtl/>
        </w:rPr>
        <w:t>כדי לוודא כי ההסכמה אכן ניתנה מדעת, מוצע כי ההסכמה תהיה בכתב, תכלול את פרטי המשתתף ותאריך החתימה וכן את תמצית המידע על הניסוי, אשר יש חובה למסור אותו למשתתף. על ניסויים גנטיים חלות, בין היתר, גם הוראו</w:t>
      </w:r>
      <w:r>
        <w:rPr>
          <w:rFonts w:cs="David"/>
          <w:sz w:val="26"/>
          <w:szCs w:val="26"/>
          <w:rtl/>
        </w:rPr>
        <w:t>ת חוק מידע גנטי. לפיכך, מוצע לקבוע שהסכמה לגבי השתתפות בניסוי גנטי, תינתן גם בהתאם להוראות חוק מידע גנטי (סעיף 30).</w:t>
      </w:r>
    </w:p>
    <w:p w:rsidR="00000000" w:rsidRDefault="00F37340">
      <w:pPr>
        <w:spacing w:line="360" w:lineRule="auto"/>
        <w:jc w:val="both"/>
        <w:rPr>
          <w:rFonts w:cs="David"/>
          <w:sz w:val="26"/>
          <w:szCs w:val="26"/>
          <w:rtl/>
        </w:rPr>
      </w:pPr>
      <w:r>
        <w:rPr>
          <w:rFonts w:cs="David"/>
          <w:sz w:val="26"/>
          <w:szCs w:val="26"/>
          <w:rtl/>
        </w:rPr>
        <w:t>מוצע להגביל את המקרים שבהם ניתן לאשר כי ההסכמה מדעת לא תינתן בכתב למקרים אשר מפורטים בסעיף 31 המוצע, ולקבוע כי הסמכות לאשר חריגים כאמור תהיה</w:t>
      </w:r>
      <w:r>
        <w:rPr>
          <w:rFonts w:cs="David"/>
          <w:sz w:val="26"/>
          <w:szCs w:val="26"/>
          <w:rtl/>
        </w:rPr>
        <w:t xml:space="preserve"> בידי ועדת ניסויי אנוש מרכזית.</w:t>
      </w:r>
    </w:p>
    <w:p w:rsidR="00000000" w:rsidRDefault="00F37340">
      <w:pPr>
        <w:pStyle w:val="2"/>
        <w:spacing w:line="360" w:lineRule="auto"/>
        <w:rPr>
          <w:rFonts w:cs="David"/>
          <w:rtl/>
        </w:rPr>
      </w:pPr>
    </w:p>
    <w:p w:rsidR="00000000" w:rsidRDefault="00F37340">
      <w:pPr>
        <w:pStyle w:val="2"/>
        <w:spacing w:line="360" w:lineRule="auto"/>
        <w:rPr>
          <w:rFonts w:cs="David"/>
          <w:rtl/>
        </w:rPr>
      </w:pPr>
      <w:r>
        <w:rPr>
          <w:rFonts w:cs="David"/>
          <w:rtl/>
        </w:rPr>
        <w:t>סעיף 32</w:t>
      </w:r>
    </w:p>
    <w:p w:rsidR="00000000" w:rsidRDefault="00F37340">
      <w:pPr>
        <w:spacing w:line="360" w:lineRule="auto"/>
        <w:jc w:val="both"/>
        <w:rPr>
          <w:rFonts w:cs="David"/>
          <w:sz w:val="26"/>
          <w:szCs w:val="26"/>
          <w:rtl/>
        </w:rPr>
      </w:pPr>
      <w:r>
        <w:rPr>
          <w:rFonts w:cs="David"/>
          <w:sz w:val="26"/>
          <w:szCs w:val="26"/>
          <w:rtl/>
        </w:rPr>
        <w:t>כדי לאפשר ביצוע יעיל של החוק, מוצע להסמיך את שר הבריאות, באישור ועדת המדע והטכנולוגיה של הכנסת, להתקין תקנות בשורה של תחומים ונושאים המפורטים בסעיף.</w:t>
      </w:r>
    </w:p>
    <w:p w:rsidR="00000000" w:rsidRDefault="00F37340">
      <w:pPr>
        <w:pStyle w:val="2"/>
        <w:spacing w:line="360" w:lineRule="auto"/>
        <w:rPr>
          <w:rFonts w:cs="David"/>
          <w:rtl/>
        </w:rPr>
      </w:pPr>
    </w:p>
    <w:p w:rsidR="00000000" w:rsidRDefault="00F37340">
      <w:pPr>
        <w:pStyle w:val="2"/>
        <w:spacing w:line="360" w:lineRule="auto"/>
        <w:rPr>
          <w:rFonts w:cs="David"/>
          <w:rtl/>
        </w:rPr>
      </w:pPr>
      <w:r>
        <w:rPr>
          <w:rFonts w:cs="David"/>
          <w:rtl/>
        </w:rPr>
        <w:t>סעיף 33</w:t>
      </w:r>
    </w:p>
    <w:p w:rsidR="00000000" w:rsidRDefault="00F37340">
      <w:pPr>
        <w:spacing w:line="360" w:lineRule="auto"/>
        <w:jc w:val="both"/>
        <w:rPr>
          <w:rFonts w:cs="David"/>
          <w:sz w:val="26"/>
          <w:szCs w:val="26"/>
          <w:rtl/>
        </w:rPr>
      </w:pPr>
      <w:r>
        <w:rPr>
          <w:rFonts w:cs="David"/>
          <w:sz w:val="26"/>
          <w:szCs w:val="26"/>
          <w:rtl/>
        </w:rPr>
        <w:t>מוצע כי החוק יחול על המדינה ובכלל זה על צבא הגנה לישראל, ע</w:t>
      </w:r>
      <w:r>
        <w:rPr>
          <w:rFonts w:cs="David"/>
          <w:sz w:val="26"/>
          <w:szCs w:val="26"/>
          <w:rtl/>
        </w:rPr>
        <w:t>ל משטרת ישראל ועל שירות בתי הסוהר, וזאת בהתאמות המפורטות בסעיף המוצע.</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סעיף 34</w:t>
      </w:r>
    </w:p>
    <w:p w:rsidR="00000000" w:rsidRDefault="00F37340">
      <w:pPr>
        <w:spacing w:line="360" w:lineRule="auto"/>
        <w:jc w:val="both"/>
        <w:rPr>
          <w:rFonts w:cs="David"/>
          <w:sz w:val="26"/>
          <w:szCs w:val="26"/>
          <w:rtl/>
        </w:rPr>
      </w:pPr>
      <w:r>
        <w:rPr>
          <w:rFonts w:cs="David"/>
          <w:sz w:val="26"/>
          <w:szCs w:val="26"/>
          <w:rtl/>
        </w:rPr>
        <w:t>מוצע לקבוע הוראות עונשיות לגבי עריכת ניסויים בניגוד לחוק המוצע. מי שיוזם, עורך או מתיר לערוך ניסוי כאמור, יהיה צפוי לשנת מאסר או לקנס העומד כיום על סך של 67,300 שקלים חדשים (סעי</w:t>
      </w:r>
      <w:r>
        <w:rPr>
          <w:rFonts w:cs="David"/>
          <w:sz w:val="26"/>
          <w:szCs w:val="26"/>
          <w:rtl/>
        </w:rPr>
        <w:t>ף קטן (א)). על ניסוי כאמור שיבוצע באוכלוסיה רגישה או שהוא ניסוי בדרגת סיכון גבוהה, מוצע לקבוע עונש חמור יותר של שלוש שנות מאסר ואם היה היוזם תאגיד, מוצע כי עונשו יהיה קנס העומד כיום על סך של 404,000 שקלים חדשים (סעיף קטן (ב)). על מנת לתת משנה תוקף להוראה ש</w:t>
      </w:r>
      <w:r>
        <w:rPr>
          <w:rFonts w:cs="David"/>
          <w:sz w:val="26"/>
          <w:szCs w:val="26"/>
          <w:rtl/>
        </w:rPr>
        <w:t xml:space="preserve">ל המנהל על הפסקה מיידית של ביצוע ניסוי, מוצע לקבוע לענין הפרת הוראה כאמור עונש של שנת מאסר או קנס העומד כיום על סך של 67,300 שקלים חדשים, וכן קנס בסכום העומד על 1,300 שקלים חדשים לכל יום שבו נמשכת העבירה (סעיף קטן (ג)). </w:t>
      </w:r>
    </w:p>
    <w:p w:rsidR="00000000" w:rsidRDefault="00F37340">
      <w:pPr>
        <w:pStyle w:val="2"/>
        <w:spacing w:line="360" w:lineRule="auto"/>
        <w:rPr>
          <w:rFonts w:cs="David"/>
          <w:rtl/>
        </w:rPr>
      </w:pPr>
    </w:p>
    <w:p w:rsidR="00000000" w:rsidRDefault="00F37340">
      <w:pPr>
        <w:pStyle w:val="2"/>
        <w:spacing w:line="360" w:lineRule="auto"/>
        <w:rPr>
          <w:rFonts w:cs="David"/>
          <w:rtl/>
        </w:rPr>
      </w:pPr>
      <w:r>
        <w:rPr>
          <w:rFonts w:cs="David"/>
          <w:rtl/>
        </w:rPr>
        <w:t>סעיף 35</w:t>
      </w:r>
    </w:p>
    <w:p w:rsidR="00000000" w:rsidRDefault="00F37340">
      <w:pPr>
        <w:spacing w:line="360" w:lineRule="auto"/>
        <w:jc w:val="both"/>
        <w:rPr>
          <w:rFonts w:cs="David"/>
          <w:sz w:val="26"/>
          <w:szCs w:val="26"/>
          <w:rtl/>
        </w:rPr>
      </w:pPr>
      <w:r>
        <w:rPr>
          <w:rFonts w:cs="David"/>
          <w:sz w:val="26"/>
          <w:szCs w:val="26"/>
          <w:rtl/>
        </w:rPr>
        <w:t>כדי להגביר את הפיקוח והשקי</w:t>
      </w:r>
      <w:r>
        <w:rPr>
          <w:rFonts w:cs="David"/>
          <w:sz w:val="26"/>
          <w:szCs w:val="26"/>
          <w:rtl/>
        </w:rPr>
        <w:t xml:space="preserve">פות הציבורית בנושא, מוצע ששר הבריאות יגיש, מדי שנה, לוועדת המדע והטכנולוגיה של הכנסת, דין וחשבון בדבר יישום החוק שיכלול פרטים בדבר הניסויים שאושרו לפיו. </w:t>
      </w:r>
    </w:p>
    <w:p w:rsidR="00000000" w:rsidRDefault="00F37340">
      <w:pPr>
        <w:pStyle w:val="2"/>
        <w:spacing w:line="360" w:lineRule="auto"/>
        <w:rPr>
          <w:rFonts w:cs="David"/>
          <w:rtl/>
        </w:rPr>
      </w:pPr>
    </w:p>
    <w:p w:rsidR="00000000" w:rsidRDefault="00F37340">
      <w:pPr>
        <w:pStyle w:val="2"/>
        <w:spacing w:line="360" w:lineRule="auto"/>
        <w:rPr>
          <w:rFonts w:cs="David"/>
          <w:b w:val="0"/>
          <w:bCs w:val="0"/>
          <w:rtl/>
        </w:rPr>
      </w:pPr>
      <w:r>
        <w:rPr>
          <w:rFonts w:cs="David"/>
          <w:rtl/>
        </w:rPr>
        <w:t>סעיף 36</w:t>
      </w:r>
    </w:p>
    <w:p w:rsidR="00000000" w:rsidRDefault="00F37340">
      <w:pPr>
        <w:spacing w:line="360" w:lineRule="auto"/>
        <w:jc w:val="both"/>
        <w:rPr>
          <w:rFonts w:cs="David"/>
          <w:sz w:val="26"/>
          <w:szCs w:val="26"/>
          <w:rtl/>
        </w:rPr>
      </w:pPr>
      <w:r>
        <w:rPr>
          <w:rFonts w:cs="David"/>
          <w:sz w:val="26"/>
          <w:szCs w:val="26"/>
          <w:rtl/>
        </w:rPr>
        <w:t xml:space="preserve">מאחר שרופאים מהווים חלק בלתי נפרד מהמערך הקשור לעריכת ניסויים רפואיים בבני אדם, מוצע כי הפרת </w:t>
      </w:r>
      <w:r>
        <w:rPr>
          <w:rFonts w:cs="David"/>
          <w:sz w:val="26"/>
          <w:szCs w:val="26"/>
          <w:rtl/>
        </w:rPr>
        <w:t>הוראות החוק המוצע תהווה גם הפרה של פקודת הרופאים [נוסח חדש], התשל"ז-1976.</w:t>
      </w:r>
    </w:p>
    <w:p w:rsidR="00000000" w:rsidRDefault="00F37340">
      <w:pPr>
        <w:spacing w:line="360" w:lineRule="auto"/>
        <w:jc w:val="both"/>
        <w:rPr>
          <w:rFonts w:cs="David"/>
          <w:b/>
          <w:bCs/>
          <w:sz w:val="26"/>
          <w:szCs w:val="26"/>
          <w:rtl/>
        </w:rPr>
      </w:pPr>
    </w:p>
    <w:p w:rsidR="00000000" w:rsidRDefault="00F37340">
      <w:pPr>
        <w:pStyle w:val="2"/>
        <w:spacing w:line="360" w:lineRule="auto"/>
        <w:rPr>
          <w:rFonts w:cs="David"/>
          <w:rtl/>
        </w:rPr>
      </w:pPr>
      <w:r>
        <w:rPr>
          <w:rFonts w:cs="David"/>
          <w:rtl/>
        </w:rPr>
        <w:t>סעיף 37</w:t>
      </w:r>
    </w:p>
    <w:p w:rsidR="00000000" w:rsidRDefault="00F37340">
      <w:pPr>
        <w:spacing w:line="360" w:lineRule="auto"/>
        <w:jc w:val="both"/>
        <w:rPr>
          <w:rFonts w:cs="David"/>
          <w:sz w:val="26"/>
          <w:szCs w:val="26"/>
          <w:rtl/>
        </w:rPr>
      </w:pPr>
      <w:r>
        <w:rPr>
          <w:rFonts w:cs="David"/>
          <w:sz w:val="26"/>
          <w:szCs w:val="26"/>
          <w:rtl/>
        </w:rPr>
        <w:t>מאחר שפסיכולוגים עשויים ליטול חלק בוועדות ניסויי אנוש, מוצע כי הפרת הוראות החוק המוצע תהווה גם הפרה של חוק הפסיכולוגים, התשל"ז-1977.</w:t>
      </w:r>
    </w:p>
    <w:p w:rsidR="00000000" w:rsidRDefault="00F37340">
      <w:pPr>
        <w:pStyle w:val="2"/>
        <w:spacing w:line="360" w:lineRule="auto"/>
        <w:rPr>
          <w:rFonts w:cs="David"/>
          <w:rtl/>
        </w:rPr>
      </w:pPr>
    </w:p>
    <w:p w:rsidR="00000000" w:rsidRDefault="00F37340">
      <w:pPr>
        <w:pStyle w:val="2"/>
        <w:spacing w:line="360" w:lineRule="auto"/>
        <w:rPr>
          <w:rFonts w:cs="David"/>
          <w:rtl/>
        </w:rPr>
      </w:pPr>
      <w:r>
        <w:rPr>
          <w:rFonts w:cs="David"/>
          <w:rtl/>
        </w:rPr>
        <w:t>סעיף 38</w:t>
      </w:r>
    </w:p>
    <w:p w:rsidR="00000000" w:rsidRDefault="00F37340">
      <w:pPr>
        <w:spacing w:line="360" w:lineRule="auto"/>
        <w:jc w:val="both"/>
        <w:rPr>
          <w:rFonts w:cs="David"/>
          <w:sz w:val="26"/>
          <w:szCs w:val="26"/>
          <w:rtl/>
        </w:rPr>
      </w:pPr>
      <w:r>
        <w:rPr>
          <w:rFonts w:cs="David"/>
          <w:sz w:val="26"/>
          <w:szCs w:val="26"/>
          <w:rtl/>
        </w:rPr>
        <w:t>מוצע להסמיך את שר הבריאות, באיש</w:t>
      </w:r>
      <w:r>
        <w:rPr>
          <w:rFonts w:cs="David"/>
          <w:sz w:val="26"/>
          <w:szCs w:val="26"/>
          <w:rtl/>
        </w:rPr>
        <w:t>ור ועדת המדע והטכנולוגיה של הכנסת, לקבוע בתקנות הוראות בנוגע לניסויים רפואיים בבני אדם שניתן להם אישור או שהחלו להיערך לפני חקיקת החוק המוצע.</w:t>
      </w:r>
    </w:p>
    <w:p w:rsidR="00000000" w:rsidRDefault="00F37340">
      <w:pPr>
        <w:pStyle w:val="2"/>
        <w:spacing w:line="360" w:lineRule="auto"/>
        <w:rPr>
          <w:rFonts w:cs="David"/>
          <w:rtl/>
        </w:rPr>
      </w:pPr>
    </w:p>
    <w:p w:rsidR="00000000" w:rsidRDefault="00F37340">
      <w:pPr>
        <w:pStyle w:val="2"/>
        <w:spacing w:line="360" w:lineRule="auto"/>
        <w:rPr>
          <w:rFonts w:cs="David"/>
          <w:rtl/>
        </w:rPr>
      </w:pPr>
    </w:p>
    <w:p w:rsidR="00000000" w:rsidRDefault="00F37340">
      <w:pPr>
        <w:pStyle w:val="2"/>
        <w:spacing w:line="360" w:lineRule="auto"/>
        <w:rPr>
          <w:rFonts w:cs="David"/>
          <w:b w:val="0"/>
          <w:bCs w:val="0"/>
          <w:rtl/>
        </w:rPr>
      </w:pPr>
      <w:r>
        <w:rPr>
          <w:rFonts w:cs="David"/>
          <w:rtl/>
        </w:rPr>
        <w:t>סעיף 39</w:t>
      </w:r>
    </w:p>
    <w:p w:rsidR="00000000" w:rsidRDefault="00F37340">
      <w:pPr>
        <w:spacing w:line="360" w:lineRule="auto"/>
        <w:jc w:val="both"/>
        <w:rPr>
          <w:rFonts w:cs="David"/>
          <w:sz w:val="26"/>
          <w:szCs w:val="26"/>
          <w:rtl/>
        </w:rPr>
      </w:pPr>
      <w:r>
        <w:rPr>
          <w:rFonts w:cs="David"/>
          <w:sz w:val="26"/>
          <w:szCs w:val="26"/>
          <w:rtl/>
        </w:rPr>
        <w:t>על מנת לאפשר היערכות מתאימה של כל המוסדות והגופים הנוגעים בענין, מוצע כי תחילתו של החוק תהא בתום שנה מיו</w:t>
      </w:r>
      <w:r>
        <w:rPr>
          <w:rFonts w:cs="David"/>
          <w:sz w:val="26"/>
          <w:szCs w:val="26"/>
          <w:rtl/>
        </w:rPr>
        <w:t>ם פרסומו.</w:t>
      </w:r>
    </w:p>
    <w:p w:rsidR="00000000" w:rsidRDefault="00F37340">
      <w:pPr>
        <w:spacing w:line="360" w:lineRule="auto"/>
        <w:jc w:val="both"/>
        <w:rPr>
          <w:rFonts w:cs="David"/>
          <w:sz w:val="26"/>
          <w:szCs w:val="26"/>
          <w:rtl/>
        </w:rPr>
      </w:pPr>
    </w:p>
    <w:p w:rsidR="00000000" w:rsidRDefault="00F37340">
      <w:pPr>
        <w:spacing w:line="360" w:lineRule="auto"/>
        <w:jc w:val="both"/>
        <w:rPr>
          <w:rFonts w:cs="David"/>
          <w:sz w:val="26"/>
          <w:szCs w:val="26"/>
          <w:rtl/>
        </w:rPr>
      </w:pPr>
      <w:r>
        <w:rPr>
          <w:rFonts w:cs="David"/>
          <w:sz w:val="26"/>
          <w:szCs w:val="26"/>
          <w:rtl/>
        </w:rPr>
        <w:t>הצעת חוק דומה בעיקרה הונחה על שולחן הכנסת השש-עשרה על-ידי חברת הכנסת מלי פולישוק-בלוך וקבוצת חברי הכנסת (פ/3241).</w:t>
      </w:r>
    </w:p>
    <w:p w:rsidR="00000000" w:rsidRDefault="00F37340">
      <w:pPr>
        <w:spacing w:line="360" w:lineRule="auto"/>
        <w:jc w:val="both"/>
        <w:rPr>
          <w:rFonts w:cs="David"/>
          <w:sz w:val="26"/>
          <w:szCs w:val="26"/>
          <w:rtl/>
        </w:rPr>
      </w:pPr>
    </w:p>
    <w:p w:rsidR="00000000" w:rsidRDefault="00F37340">
      <w:pPr>
        <w:pStyle w:val="a3"/>
        <w:jc w:val="left"/>
        <w:rPr>
          <w:rFonts w:cs="David"/>
          <w:u w:val="none"/>
          <w:rtl/>
        </w:rPr>
      </w:pPr>
    </w:p>
    <w:p w:rsidR="00000000" w:rsidRDefault="00F37340">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F37340">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F37340">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F37340">
      <w:pPr>
        <w:pStyle w:val="a3"/>
        <w:spacing w:line="360" w:lineRule="auto"/>
        <w:jc w:val="left"/>
        <w:rPr>
          <w:rFonts w:cs="David"/>
          <w:b w:val="0"/>
          <w:bCs w:val="0"/>
          <w:sz w:val="26"/>
          <w:szCs w:val="26"/>
          <w:u w:val="none"/>
        </w:rPr>
      </w:pPr>
      <w:r>
        <w:rPr>
          <w:rFonts w:cs="David"/>
          <w:b w:val="0"/>
          <w:bCs w:val="0"/>
          <w:sz w:val="26"/>
          <w:szCs w:val="26"/>
          <w:u w:val="none"/>
          <w:rtl/>
        </w:rPr>
        <w:t>כ"ג בסיוון התשס"ו - 19.6.06</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7340">
      <w:r>
        <w:separator/>
      </w:r>
    </w:p>
  </w:endnote>
  <w:endnote w:type="continuationSeparator" w:id="0">
    <w:p w:rsidR="00000000" w:rsidRDefault="00F3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iriam">
    <w:panose1 w:val="00000000000000000000"/>
    <w:charset w:val="B1"/>
    <w:family w:val="swiss"/>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7340">
      <w:r>
        <w:separator/>
      </w:r>
    </w:p>
  </w:footnote>
  <w:footnote w:type="continuationSeparator" w:id="0">
    <w:p w:rsidR="00000000" w:rsidRDefault="00F37340">
      <w:r>
        <w:continuationSeparator/>
      </w:r>
    </w:p>
  </w:footnote>
  <w:footnote w:id="1">
    <w:p w:rsidR="00000000" w:rsidRDefault="00F37340">
      <w:pPr>
        <w:pStyle w:val="a8"/>
      </w:pPr>
      <w:r>
        <w:rPr>
          <w:rStyle w:val="aa"/>
          <w:rFonts w:cs="David"/>
        </w:rPr>
        <w:footnoteRef/>
      </w:r>
      <w:r>
        <w:rPr>
          <w:rFonts w:cs="David"/>
        </w:rPr>
        <w:t xml:space="preserve"> </w:t>
      </w:r>
      <w:r>
        <w:rPr>
          <w:rFonts w:cs="David"/>
          <w:rtl/>
        </w:rPr>
        <w:t>ס"ח התשנ"ו, עמ' 327.</w:t>
      </w:r>
    </w:p>
  </w:footnote>
  <w:footnote w:id="2">
    <w:p w:rsidR="00000000" w:rsidRDefault="00F37340">
      <w:pPr>
        <w:pStyle w:val="a8"/>
      </w:pPr>
      <w:r>
        <w:rPr>
          <w:rStyle w:val="aa"/>
          <w:rFonts w:cs="David"/>
        </w:rPr>
        <w:footnoteRef/>
      </w:r>
      <w:r>
        <w:rPr>
          <w:rFonts w:cs="David"/>
        </w:rPr>
        <w:t xml:space="preserve"> </w:t>
      </w:r>
      <w:r>
        <w:rPr>
          <w:rFonts w:cs="David"/>
          <w:rtl/>
        </w:rPr>
        <w:t>ס"ח התשס"א, עמ' 62.</w:t>
      </w:r>
    </w:p>
  </w:footnote>
  <w:footnote w:id="3">
    <w:p w:rsidR="00000000" w:rsidRDefault="00F37340">
      <w:pPr>
        <w:pStyle w:val="a8"/>
      </w:pPr>
      <w:r>
        <w:rPr>
          <w:rStyle w:val="aa"/>
          <w:rFonts w:cs="David"/>
        </w:rPr>
        <w:footnoteRef/>
      </w:r>
      <w:r>
        <w:rPr>
          <w:rFonts w:cs="David"/>
        </w:rPr>
        <w:t xml:space="preserve"> </w:t>
      </w:r>
      <w:r>
        <w:rPr>
          <w:rFonts w:cs="David"/>
          <w:rtl/>
        </w:rPr>
        <w:t>ע"ר 1065, 1940, תוס' 1, עמ' (ע) 191, (א) 239.</w:t>
      </w:r>
    </w:p>
  </w:footnote>
  <w:footnote w:id="4">
    <w:p w:rsidR="00000000" w:rsidRDefault="00F37340">
      <w:pPr>
        <w:pStyle w:val="a8"/>
      </w:pPr>
      <w:r>
        <w:rPr>
          <w:rStyle w:val="aa"/>
          <w:rFonts w:cs="David"/>
        </w:rPr>
        <w:footnoteRef/>
      </w:r>
      <w:r>
        <w:rPr>
          <w:rFonts w:cs="David"/>
        </w:rPr>
        <w:t xml:space="preserve"> </w:t>
      </w:r>
      <w:r>
        <w:rPr>
          <w:rFonts w:cs="David"/>
          <w:rtl/>
        </w:rPr>
        <w:t>דיני מדינת ישראל, נוסח חדש 30, עמ' 594.</w:t>
      </w:r>
    </w:p>
  </w:footnote>
  <w:footnote w:id="5">
    <w:p w:rsidR="00000000" w:rsidRDefault="00F37340">
      <w:pPr>
        <w:pStyle w:val="a8"/>
      </w:pPr>
      <w:r>
        <w:rPr>
          <w:rStyle w:val="aa"/>
          <w:rFonts w:cs="David"/>
        </w:rPr>
        <w:footnoteRef/>
      </w:r>
      <w:r>
        <w:rPr>
          <w:rFonts w:cs="David"/>
        </w:rPr>
        <w:t xml:space="preserve"> </w:t>
      </w:r>
      <w:r>
        <w:rPr>
          <w:rFonts w:cs="David"/>
          <w:rtl/>
        </w:rPr>
        <w:t>ס"ח התשט"ו, עמ' 171.</w:t>
      </w:r>
    </w:p>
  </w:footnote>
  <w:footnote w:id="6">
    <w:p w:rsidR="00000000" w:rsidRDefault="00F37340">
      <w:pPr>
        <w:pStyle w:val="a8"/>
      </w:pPr>
      <w:r>
        <w:rPr>
          <w:rStyle w:val="aa"/>
          <w:rFonts w:cs="David"/>
        </w:rPr>
        <w:footnoteRef/>
      </w:r>
      <w:r>
        <w:rPr>
          <w:rFonts w:cs="David"/>
        </w:rPr>
        <w:t xml:space="preserve"> </w:t>
      </w:r>
      <w:r>
        <w:rPr>
          <w:rFonts w:cs="David"/>
          <w:rtl/>
        </w:rPr>
        <w:t>דיני מדינת ישראל, נוסח חדש 17, עמ' 390.</w:t>
      </w:r>
    </w:p>
  </w:footnote>
  <w:footnote w:id="7">
    <w:p w:rsidR="00000000" w:rsidRDefault="00F37340">
      <w:pPr>
        <w:pStyle w:val="a8"/>
      </w:pPr>
      <w:r>
        <w:rPr>
          <w:rStyle w:val="aa"/>
          <w:rFonts w:cs="David"/>
        </w:rPr>
        <w:footnoteRef/>
      </w:r>
      <w:r>
        <w:rPr>
          <w:rFonts w:cs="David"/>
        </w:rPr>
        <w:t xml:space="preserve"> </w:t>
      </w:r>
      <w:r>
        <w:rPr>
          <w:rFonts w:cs="David"/>
          <w:rtl/>
        </w:rPr>
        <w:t>דיני מדינת ישראל, נוסח חדש 21, עמ' 459.</w:t>
      </w:r>
    </w:p>
  </w:footnote>
  <w:footnote w:id="8">
    <w:p w:rsidR="00000000" w:rsidRDefault="00F37340">
      <w:pPr>
        <w:pStyle w:val="a8"/>
      </w:pPr>
      <w:r>
        <w:rPr>
          <w:rStyle w:val="aa"/>
          <w:rFonts w:cs="David"/>
        </w:rPr>
        <w:footnoteRef/>
      </w:r>
      <w:r>
        <w:rPr>
          <w:rFonts w:cs="David"/>
          <w:rtl/>
        </w:rPr>
        <w:t xml:space="preserve"> ס"ח התשל"ז, עמ' 226.</w:t>
      </w:r>
    </w:p>
  </w:footnote>
  <w:footnote w:id="9">
    <w:p w:rsidR="00000000" w:rsidRDefault="00F37340">
      <w:pPr>
        <w:pStyle w:val="a8"/>
      </w:pPr>
      <w:r>
        <w:rPr>
          <w:rStyle w:val="aa"/>
          <w:rFonts w:cs="David"/>
        </w:rPr>
        <w:footnoteRef/>
      </w:r>
      <w:r>
        <w:rPr>
          <w:rFonts w:cs="David"/>
        </w:rPr>
        <w:t xml:space="preserve"> </w:t>
      </w:r>
      <w:r>
        <w:rPr>
          <w:rFonts w:cs="David"/>
          <w:rtl/>
        </w:rPr>
        <w:t>דיני מדינת ישראל, נוסח חדש 30, עמ' 594.</w:t>
      </w:r>
    </w:p>
  </w:footnote>
  <w:footnote w:id="10">
    <w:p w:rsidR="00000000" w:rsidRDefault="00F37340">
      <w:pPr>
        <w:pStyle w:val="a8"/>
      </w:pPr>
      <w:r>
        <w:rPr>
          <w:rStyle w:val="aa"/>
          <w:rFonts w:cs="David"/>
        </w:rPr>
        <w:footnoteRef/>
      </w:r>
      <w:r>
        <w:rPr>
          <w:rFonts w:cs="David"/>
        </w:rPr>
        <w:t xml:space="preserve"> </w:t>
      </w:r>
      <w:r>
        <w:rPr>
          <w:rFonts w:cs="David"/>
          <w:rtl/>
        </w:rPr>
        <w:t>ס"ח התשל"ז, עמ' 158.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7340">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25</w:t>
    </w:r>
    <w:r>
      <w:rPr>
        <w:rStyle w:val="a7"/>
      </w:rPr>
      <w:fldChar w:fldCharType="end"/>
    </w:r>
  </w:p>
  <w:p w:rsidR="00000000" w:rsidRDefault="00F3734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53AFFA2"/>
    <w:lvl w:ilvl="0">
      <w:start w:val="1"/>
      <w:numFmt w:val="decimal"/>
      <w:lvlText w:val="%1."/>
      <w:lvlJc w:val="center"/>
      <w:pPr>
        <w:tabs>
          <w:tab w:val="num" w:pos="1800"/>
        </w:tabs>
        <w:ind w:left="1800" w:hanging="360"/>
      </w:pPr>
      <w:rPr>
        <w:rFonts w:cs="Times New Roman"/>
      </w:rPr>
    </w:lvl>
  </w:abstractNum>
  <w:abstractNum w:abstractNumId="1">
    <w:nsid w:val="FFFFFF7D"/>
    <w:multiLevelType w:val="singleLevel"/>
    <w:tmpl w:val="ADF40A32"/>
    <w:lvl w:ilvl="0">
      <w:start w:val="1"/>
      <w:numFmt w:val="decimal"/>
      <w:lvlText w:val="%1."/>
      <w:lvlJc w:val="center"/>
      <w:pPr>
        <w:tabs>
          <w:tab w:val="num" w:pos="1440"/>
        </w:tabs>
        <w:ind w:left="1440" w:hanging="360"/>
      </w:pPr>
      <w:rPr>
        <w:rFonts w:cs="Times New Roman"/>
      </w:rPr>
    </w:lvl>
  </w:abstractNum>
  <w:abstractNum w:abstractNumId="2">
    <w:nsid w:val="FFFFFF7E"/>
    <w:multiLevelType w:val="singleLevel"/>
    <w:tmpl w:val="D48A60F8"/>
    <w:lvl w:ilvl="0">
      <w:start w:val="1"/>
      <w:numFmt w:val="decimal"/>
      <w:lvlText w:val="%1."/>
      <w:lvlJc w:val="center"/>
      <w:pPr>
        <w:tabs>
          <w:tab w:val="num" w:pos="1080"/>
        </w:tabs>
        <w:ind w:left="1080" w:hanging="360"/>
      </w:pPr>
      <w:rPr>
        <w:rFonts w:cs="Times New Roman"/>
      </w:rPr>
    </w:lvl>
  </w:abstractNum>
  <w:abstractNum w:abstractNumId="3">
    <w:nsid w:val="FFFFFF7F"/>
    <w:multiLevelType w:val="singleLevel"/>
    <w:tmpl w:val="D5666C3A"/>
    <w:lvl w:ilvl="0">
      <w:start w:val="1"/>
      <w:numFmt w:val="decimal"/>
      <w:lvlText w:val="%1."/>
      <w:lvlJc w:val="center"/>
      <w:pPr>
        <w:tabs>
          <w:tab w:val="num" w:pos="720"/>
        </w:tabs>
        <w:ind w:left="720" w:hanging="360"/>
      </w:pPr>
      <w:rPr>
        <w:rFonts w:cs="Times New Roman"/>
      </w:rPr>
    </w:lvl>
  </w:abstractNum>
  <w:abstractNum w:abstractNumId="4">
    <w:nsid w:val="FFFFFF80"/>
    <w:multiLevelType w:val="singleLevel"/>
    <w:tmpl w:val="DDA2129C"/>
    <w:lvl w:ilvl="0">
      <w:start w:val="1"/>
      <w:numFmt w:val="chosung"/>
      <w:lvlText w:val=""/>
      <w:lvlJc w:val="center"/>
      <w:pPr>
        <w:tabs>
          <w:tab w:val="num" w:pos="1800"/>
        </w:tabs>
        <w:ind w:left="1800" w:hanging="360"/>
      </w:pPr>
      <w:rPr>
        <w:rFonts w:ascii="Symbol" w:hAnsi="Symbol" w:cs="Times New Roman" w:hint="default"/>
      </w:rPr>
    </w:lvl>
  </w:abstractNum>
  <w:abstractNum w:abstractNumId="5">
    <w:nsid w:val="FFFFFF81"/>
    <w:multiLevelType w:val="singleLevel"/>
    <w:tmpl w:val="4D7E6E3E"/>
    <w:lvl w:ilvl="0">
      <w:start w:val="1"/>
      <w:numFmt w:val="chosung"/>
      <w:lvlText w:val=""/>
      <w:lvlJc w:val="center"/>
      <w:pPr>
        <w:tabs>
          <w:tab w:val="num" w:pos="1440"/>
        </w:tabs>
        <w:ind w:left="1440" w:hanging="360"/>
      </w:pPr>
      <w:rPr>
        <w:rFonts w:ascii="Symbol" w:hAnsi="Symbol" w:cs="Times New Roman" w:hint="default"/>
      </w:rPr>
    </w:lvl>
  </w:abstractNum>
  <w:abstractNum w:abstractNumId="6">
    <w:nsid w:val="FFFFFF82"/>
    <w:multiLevelType w:val="singleLevel"/>
    <w:tmpl w:val="EF6C91D8"/>
    <w:lvl w:ilvl="0">
      <w:start w:val="1"/>
      <w:numFmt w:val="chosung"/>
      <w:lvlText w:val=""/>
      <w:lvlJc w:val="center"/>
      <w:pPr>
        <w:tabs>
          <w:tab w:val="num" w:pos="1080"/>
        </w:tabs>
        <w:ind w:left="1080" w:hanging="360"/>
      </w:pPr>
      <w:rPr>
        <w:rFonts w:ascii="Symbol" w:hAnsi="Symbol" w:cs="Times New Roman" w:hint="default"/>
      </w:rPr>
    </w:lvl>
  </w:abstractNum>
  <w:abstractNum w:abstractNumId="7">
    <w:nsid w:val="FFFFFF83"/>
    <w:multiLevelType w:val="singleLevel"/>
    <w:tmpl w:val="3EA47DC4"/>
    <w:lvl w:ilvl="0">
      <w:start w:val="1"/>
      <w:numFmt w:val="chosung"/>
      <w:lvlText w:val=""/>
      <w:lvlJc w:val="center"/>
      <w:pPr>
        <w:tabs>
          <w:tab w:val="num" w:pos="720"/>
        </w:tabs>
        <w:ind w:left="720" w:hanging="360"/>
      </w:pPr>
      <w:rPr>
        <w:rFonts w:ascii="Symbol" w:hAnsi="Symbol" w:cs="Times New Roman" w:hint="default"/>
      </w:rPr>
    </w:lvl>
  </w:abstractNum>
  <w:abstractNum w:abstractNumId="8">
    <w:nsid w:val="FFFFFF88"/>
    <w:multiLevelType w:val="singleLevel"/>
    <w:tmpl w:val="2ED02F04"/>
    <w:lvl w:ilvl="0">
      <w:start w:val="1"/>
      <w:numFmt w:val="decimal"/>
      <w:lvlText w:val="%1."/>
      <w:lvlJc w:val="center"/>
      <w:pPr>
        <w:tabs>
          <w:tab w:val="num" w:pos="360"/>
        </w:tabs>
        <w:ind w:left="360" w:hanging="360"/>
      </w:pPr>
      <w:rPr>
        <w:rFonts w:cs="Times New Roman"/>
      </w:rPr>
    </w:lvl>
  </w:abstractNum>
  <w:abstractNum w:abstractNumId="9">
    <w:nsid w:val="FFFFFF89"/>
    <w:multiLevelType w:val="singleLevel"/>
    <w:tmpl w:val="DF3A53E2"/>
    <w:lvl w:ilvl="0">
      <w:start w:val="1"/>
      <w:numFmt w:val="chosung"/>
      <w:lvlText w:val=""/>
      <w:lvlJc w:val="center"/>
      <w:pPr>
        <w:tabs>
          <w:tab w:val="num" w:pos="360"/>
        </w:tabs>
        <w:ind w:left="360" w:hanging="360"/>
      </w:pPr>
      <w:rPr>
        <w:rFonts w:ascii="Symbol" w:hAnsi="Symbol" w:cs="Times New Roman" w:hint="default"/>
      </w:rPr>
    </w:lvl>
  </w:abstractNum>
  <w:abstractNum w:abstractNumId="10">
    <w:nsid w:val="00847A30"/>
    <w:multiLevelType w:val="singleLevel"/>
    <w:tmpl w:val="22EAC4BC"/>
    <w:lvl w:ilvl="0">
      <w:start w:val="1"/>
      <w:numFmt w:val="decimal"/>
      <w:lvlText w:val="(%1)"/>
      <w:lvlJc w:val="right"/>
      <w:pPr>
        <w:tabs>
          <w:tab w:val="num" w:pos="587"/>
        </w:tabs>
        <w:ind w:firstLine="227"/>
      </w:pPr>
      <w:rPr>
        <w:rFonts w:cs="Miriam" w:hint="cs"/>
      </w:rPr>
    </w:lvl>
  </w:abstractNum>
  <w:abstractNum w:abstractNumId="11">
    <w:nsid w:val="01320A14"/>
    <w:multiLevelType w:val="singleLevel"/>
    <w:tmpl w:val="CB20393E"/>
    <w:lvl w:ilvl="0">
      <w:start w:val="1"/>
      <w:numFmt w:val="upperRoman"/>
      <w:lvlText w:val="%1."/>
      <w:lvlJc w:val="left"/>
      <w:pPr>
        <w:tabs>
          <w:tab w:val="num" w:pos="529"/>
        </w:tabs>
        <w:ind w:hanging="360"/>
      </w:pPr>
      <w:rPr>
        <w:rFonts w:cs="Miriam" w:hint="cs"/>
        <w:sz w:val="24"/>
      </w:rPr>
    </w:lvl>
  </w:abstractNum>
  <w:abstractNum w:abstractNumId="12">
    <w:nsid w:val="0B2C42C8"/>
    <w:multiLevelType w:val="singleLevel"/>
    <w:tmpl w:val="C7663DB6"/>
    <w:lvl w:ilvl="0">
      <w:start w:val="1"/>
      <w:numFmt w:val="hebrew1"/>
      <w:lvlText w:val="%1."/>
      <w:lvlJc w:val="center"/>
      <w:pPr>
        <w:tabs>
          <w:tab w:val="num" w:pos="530"/>
        </w:tabs>
        <w:ind w:firstLine="170"/>
      </w:pPr>
      <w:rPr>
        <w:rFonts w:cs="David" w:hint="cs"/>
        <w:sz w:val="24"/>
        <w:szCs w:val="24"/>
      </w:rPr>
    </w:lvl>
  </w:abstractNum>
  <w:abstractNum w:abstractNumId="13">
    <w:nsid w:val="107513BF"/>
    <w:multiLevelType w:val="multilevel"/>
    <w:tmpl w:val="5066ED8C"/>
    <w:lvl w:ilvl="0">
      <w:start w:val="1"/>
      <w:numFmt w:val="decimal"/>
      <w:lvlText w:val="%1."/>
      <w:lvlJc w:val="left"/>
      <w:pPr>
        <w:tabs>
          <w:tab w:val="num" w:pos="567"/>
        </w:tabs>
        <w:ind w:left="567" w:hanging="567"/>
      </w:pPr>
      <w:rPr>
        <w:rFonts w:cs="Courier New" w:hint="default"/>
        <w:bCs w:val="0"/>
        <w:iCs w:val="0"/>
        <w:sz w:val="22"/>
        <w:szCs w:val="22"/>
      </w:rPr>
    </w:lvl>
    <w:lvl w:ilvl="1">
      <w:start w:val="1"/>
      <w:numFmt w:val="decimal"/>
      <w:lvlText w:val="%1.%2."/>
      <w:lvlJc w:val="left"/>
      <w:pPr>
        <w:tabs>
          <w:tab w:val="num" w:pos="1418"/>
        </w:tabs>
        <w:ind w:left="1418" w:hanging="851"/>
      </w:pPr>
      <w:rPr>
        <w:rFonts w:cs="Courier New" w:hint="default"/>
        <w:bCs w:val="0"/>
        <w:iCs w:val="0"/>
        <w:sz w:val="22"/>
        <w:szCs w:val="22"/>
      </w:rPr>
    </w:lvl>
    <w:lvl w:ilvl="2">
      <w:start w:val="1"/>
      <w:numFmt w:val="decimal"/>
      <w:lvlText w:val="%1.%2.%3."/>
      <w:lvlJc w:val="left"/>
      <w:pPr>
        <w:tabs>
          <w:tab w:val="num" w:pos="2552"/>
        </w:tabs>
        <w:ind w:left="2552" w:hanging="1134"/>
      </w:pPr>
      <w:rPr>
        <w:rFonts w:cs="Courier New" w:hint="default"/>
        <w:bCs w:val="0"/>
        <w:iCs w:val="0"/>
        <w:spacing w:val="0"/>
        <w:sz w:val="22"/>
        <w:szCs w:val="22"/>
        <w:effect w:val="none"/>
      </w:rPr>
    </w:lvl>
    <w:lvl w:ilvl="3">
      <w:start w:val="1"/>
      <w:numFmt w:val="decimal"/>
      <w:lvlText w:val="%1.%2.%3.%4."/>
      <w:lvlJc w:val="left"/>
      <w:pPr>
        <w:tabs>
          <w:tab w:val="num" w:pos="3969"/>
        </w:tabs>
        <w:ind w:left="3969" w:hanging="1417"/>
      </w:pPr>
      <w:rPr>
        <w:rFonts w:cs="Courier New" w:hint="default"/>
        <w:bCs w:val="0"/>
        <w:iCs w:val="0"/>
        <w:sz w:val="22"/>
        <w:szCs w:val="22"/>
      </w:rPr>
    </w:lvl>
    <w:lvl w:ilvl="4">
      <w:start w:val="1"/>
      <w:numFmt w:val="decimal"/>
      <w:lvlText w:val="%1.%2.%3.%4.%5."/>
      <w:lvlJc w:val="left"/>
      <w:pPr>
        <w:tabs>
          <w:tab w:val="num" w:pos="5840"/>
        </w:tabs>
        <w:ind w:left="5840" w:hanging="1871"/>
      </w:pPr>
      <w:rPr>
        <w:rFonts w:cs="Courier New" w:hint="default"/>
      </w:rPr>
    </w:lvl>
    <w:lvl w:ilvl="5">
      <w:start w:val="1"/>
      <w:numFmt w:val="decimal"/>
      <w:lvlText w:val="%1.%2.%3.%4.%5.%6."/>
      <w:lvlJc w:val="center"/>
      <w:pPr>
        <w:tabs>
          <w:tab w:val="num" w:pos="2591"/>
        </w:tabs>
        <w:ind w:firstLine="1871"/>
      </w:pPr>
      <w:rPr>
        <w:rFonts w:cs="Times New Roman" w:hint="default"/>
      </w:rPr>
    </w:lvl>
    <w:lvl w:ilvl="6">
      <w:start w:val="1"/>
      <w:numFmt w:val="decimal"/>
      <w:lvlText w:val="%1.%2.%3.%4.%5.%6.%7."/>
      <w:lvlJc w:val="center"/>
      <w:pPr>
        <w:tabs>
          <w:tab w:val="num" w:pos="3240"/>
        </w:tabs>
        <w:ind w:left="3240" w:hanging="1080"/>
      </w:pPr>
      <w:rPr>
        <w:rFonts w:cs="Times New Roman" w:hint="default"/>
      </w:rPr>
    </w:lvl>
    <w:lvl w:ilvl="7">
      <w:start w:val="1"/>
      <w:numFmt w:val="decimal"/>
      <w:lvlText w:val="%1.%2.%3.%4.%5.%6.%7.%8."/>
      <w:lvlJc w:val="center"/>
      <w:pPr>
        <w:tabs>
          <w:tab w:val="num" w:pos="3744"/>
        </w:tabs>
        <w:ind w:left="3744" w:hanging="1224"/>
      </w:pPr>
      <w:rPr>
        <w:rFonts w:cs="Times New Roman" w:hint="default"/>
      </w:rPr>
    </w:lvl>
    <w:lvl w:ilvl="8">
      <w:start w:val="1"/>
      <w:numFmt w:val="decimal"/>
      <w:lvlText w:val="%1.%2.%3.%4.%5.%6.%7.%8.%9."/>
      <w:lvlJc w:val="center"/>
      <w:pPr>
        <w:tabs>
          <w:tab w:val="num" w:pos="4320"/>
        </w:tabs>
        <w:ind w:left="4320" w:hanging="1440"/>
      </w:pPr>
      <w:rPr>
        <w:rFonts w:cs="Times New Roman" w:hint="default"/>
      </w:rPr>
    </w:lvl>
  </w:abstractNum>
  <w:abstractNum w:abstractNumId="14">
    <w:nsid w:val="119A7EAA"/>
    <w:multiLevelType w:val="hybridMultilevel"/>
    <w:tmpl w:val="1F94CED0"/>
    <w:lvl w:ilvl="0" w:tplc="3B56D6C0">
      <w:start w:val="1"/>
      <w:numFmt w:val="hebrew1"/>
      <w:lvlText w:val="%1."/>
      <w:lvlJc w:val="right"/>
      <w:pPr>
        <w:tabs>
          <w:tab w:val="num" w:pos="473"/>
        </w:tabs>
        <w:ind w:firstLine="113"/>
      </w:pPr>
      <w:rPr>
        <w:rFonts w:ascii="Times New Roman" w:cs="David" w:hint="cs"/>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5">
    <w:nsid w:val="17E42CC0"/>
    <w:multiLevelType w:val="hybridMultilevel"/>
    <w:tmpl w:val="EC58B57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214C1A92"/>
    <w:multiLevelType w:val="singleLevel"/>
    <w:tmpl w:val="1CC4DDDE"/>
    <w:lvl w:ilvl="0">
      <w:start w:val="1"/>
      <w:numFmt w:val="hebrew1"/>
      <w:lvlText w:val="%1."/>
      <w:lvlJc w:val="center"/>
      <w:pPr>
        <w:tabs>
          <w:tab w:val="num" w:pos="530"/>
        </w:tabs>
        <w:ind w:firstLine="170"/>
      </w:pPr>
      <w:rPr>
        <w:rFonts w:cs="David" w:hint="cs"/>
        <w:sz w:val="24"/>
        <w:szCs w:val="24"/>
      </w:rPr>
    </w:lvl>
  </w:abstractNum>
  <w:abstractNum w:abstractNumId="17">
    <w:nsid w:val="25D46354"/>
    <w:multiLevelType w:val="singleLevel"/>
    <w:tmpl w:val="93103110"/>
    <w:lvl w:ilvl="0">
      <w:start w:val="1"/>
      <w:numFmt w:val="upperRoman"/>
      <w:lvlText w:val="%1."/>
      <w:lvlJc w:val="left"/>
      <w:pPr>
        <w:tabs>
          <w:tab w:val="num" w:pos="524"/>
        </w:tabs>
        <w:ind w:hanging="360"/>
      </w:pPr>
      <w:rPr>
        <w:rFonts w:cs="Miriam" w:hint="cs"/>
        <w:sz w:val="24"/>
      </w:rPr>
    </w:lvl>
  </w:abstractNum>
  <w:abstractNum w:abstractNumId="18">
    <w:nsid w:val="26622C85"/>
    <w:multiLevelType w:val="singleLevel"/>
    <w:tmpl w:val="44FC0A6E"/>
    <w:lvl w:ilvl="0">
      <w:start w:val="1"/>
      <w:numFmt w:val="hebrew1"/>
      <w:lvlText w:val="%1."/>
      <w:lvlJc w:val="center"/>
      <w:pPr>
        <w:tabs>
          <w:tab w:val="num" w:pos="530"/>
        </w:tabs>
        <w:ind w:firstLine="170"/>
      </w:pPr>
      <w:rPr>
        <w:rFonts w:cs="David" w:hint="cs"/>
        <w:sz w:val="24"/>
        <w:szCs w:val="24"/>
      </w:rPr>
    </w:lvl>
  </w:abstractNum>
  <w:abstractNum w:abstractNumId="19">
    <w:nsid w:val="28F2170F"/>
    <w:multiLevelType w:val="singleLevel"/>
    <w:tmpl w:val="9B766928"/>
    <w:lvl w:ilvl="0">
      <w:start w:val="1"/>
      <w:numFmt w:val="decimal"/>
      <w:lvlText w:val="(%1)"/>
      <w:legacy w:legacy="1" w:legacySpace="0" w:legacyIndent="360"/>
      <w:lvlJc w:val="center"/>
      <w:pPr>
        <w:ind w:hanging="360"/>
      </w:pPr>
      <w:rPr>
        <w:rFonts w:cs="Miriam"/>
      </w:rPr>
    </w:lvl>
  </w:abstractNum>
  <w:abstractNum w:abstractNumId="20">
    <w:nsid w:val="2968353F"/>
    <w:multiLevelType w:val="singleLevel"/>
    <w:tmpl w:val="25A8E148"/>
    <w:lvl w:ilvl="0">
      <w:start w:val="1"/>
      <w:numFmt w:val="hebrew1"/>
      <w:lvlText w:val="%1."/>
      <w:lvlJc w:val="center"/>
      <w:pPr>
        <w:tabs>
          <w:tab w:val="num" w:pos="530"/>
        </w:tabs>
        <w:ind w:firstLine="170"/>
      </w:pPr>
      <w:rPr>
        <w:rFonts w:cs="David" w:hint="cs"/>
        <w:sz w:val="24"/>
        <w:szCs w:val="24"/>
      </w:rPr>
    </w:lvl>
  </w:abstractNum>
  <w:abstractNum w:abstractNumId="21">
    <w:nsid w:val="2E7B6716"/>
    <w:multiLevelType w:val="singleLevel"/>
    <w:tmpl w:val="010C96AE"/>
    <w:lvl w:ilvl="0">
      <w:start w:val="1"/>
      <w:numFmt w:val="upperRoman"/>
      <w:lvlText w:val="( %1 )"/>
      <w:legacy w:legacy="1" w:legacySpace="0" w:legacyIndent="360"/>
      <w:lvlJc w:val="center"/>
      <w:pPr>
        <w:ind w:hanging="360"/>
      </w:pPr>
      <w:rPr>
        <w:rFonts w:cs="Miriam"/>
      </w:rPr>
    </w:lvl>
  </w:abstractNum>
  <w:abstractNum w:abstractNumId="22">
    <w:nsid w:val="30683FBB"/>
    <w:multiLevelType w:val="hybridMultilevel"/>
    <w:tmpl w:val="493E4A66"/>
    <w:lvl w:ilvl="0" w:tplc="A4445DDE">
      <w:start w:val="1"/>
      <w:numFmt w:val="hebrew1"/>
      <w:lvlText w:val="%1."/>
      <w:lvlJc w:val="right"/>
      <w:pPr>
        <w:tabs>
          <w:tab w:val="num" w:pos="530"/>
        </w:tabs>
        <w:ind w:firstLine="170"/>
      </w:pPr>
      <w:rPr>
        <w:rFonts w:ascii="Times New Roman" w:hAnsi="Times New Roman" w:cs="David" w:hint="cs"/>
        <w:bCs w:val="0"/>
        <w:iCs w:val="0"/>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3">
    <w:nsid w:val="33B44B64"/>
    <w:multiLevelType w:val="singleLevel"/>
    <w:tmpl w:val="266AFC5C"/>
    <w:lvl w:ilvl="0">
      <w:start w:val="1"/>
      <w:numFmt w:val="decimal"/>
      <w:lvlText w:val="%1."/>
      <w:legacy w:legacy="1" w:legacySpace="0" w:legacyIndent="360"/>
      <w:lvlJc w:val="center"/>
      <w:pPr>
        <w:ind w:hanging="360"/>
      </w:pPr>
      <w:rPr>
        <w:rFonts w:cs="Miriam"/>
      </w:rPr>
    </w:lvl>
  </w:abstractNum>
  <w:abstractNum w:abstractNumId="24">
    <w:nsid w:val="362A2E0A"/>
    <w:multiLevelType w:val="singleLevel"/>
    <w:tmpl w:val="85FA30F8"/>
    <w:lvl w:ilvl="0">
      <w:start w:val="1"/>
      <w:numFmt w:val="hebrew1"/>
      <w:lvlText w:val="%1."/>
      <w:lvlJc w:val="right"/>
      <w:pPr>
        <w:tabs>
          <w:tab w:val="num" w:pos="530"/>
        </w:tabs>
        <w:ind w:firstLine="170"/>
      </w:pPr>
      <w:rPr>
        <w:rFonts w:ascii="Times New Roman" w:cs="David" w:hint="cs"/>
        <w:sz w:val="24"/>
        <w:szCs w:val="24"/>
      </w:rPr>
    </w:lvl>
  </w:abstractNum>
  <w:abstractNum w:abstractNumId="25">
    <w:nsid w:val="40A65F14"/>
    <w:multiLevelType w:val="hybridMultilevel"/>
    <w:tmpl w:val="B2E46F12"/>
    <w:lvl w:ilvl="0" w:tplc="2CB47FB4">
      <w:start w:val="1"/>
      <w:numFmt w:val="hebrew1"/>
      <w:lvlText w:val="(%1)"/>
      <w:lvlJc w:val="right"/>
      <w:pPr>
        <w:tabs>
          <w:tab w:val="num" w:pos="587"/>
        </w:tabs>
        <w:ind w:firstLine="227"/>
      </w:pPr>
      <w:rPr>
        <w:rFonts w:ascii="Times New Roman" w:hAnsi="Times New Roman" w:cs="David" w:hint="cs"/>
        <w:bCs w:val="0"/>
        <w:iCs w:val="0"/>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6">
    <w:nsid w:val="41B8616D"/>
    <w:multiLevelType w:val="multilevel"/>
    <w:tmpl w:val="CE80A48C"/>
    <w:lvl w:ilvl="0">
      <w:start w:val="1"/>
      <w:numFmt w:val="decimal"/>
      <w:lvlText w:val="%1."/>
      <w:lvlJc w:val="left"/>
      <w:pPr>
        <w:tabs>
          <w:tab w:val="num" w:pos="567"/>
        </w:tabs>
        <w:ind w:left="567" w:hanging="567"/>
      </w:pPr>
      <w:rPr>
        <w:rFonts w:cs="Times New Roman" w:hint="default"/>
      </w:rPr>
    </w:lvl>
    <w:lvl w:ilvl="1">
      <w:start w:val="1"/>
      <w:numFmt w:val="hebrew2"/>
      <w:lvlText w:val="%2."/>
      <w:lvlJc w:val="left"/>
      <w:pPr>
        <w:tabs>
          <w:tab w:val="num" w:pos="1134"/>
        </w:tabs>
        <w:ind w:left="1134" w:hanging="567"/>
      </w:pPr>
      <w:rPr>
        <w:rFonts w:cs="Times New Roman" w:hint="default"/>
      </w:rPr>
    </w:lvl>
    <w:lvl w:ilvl="2">
      <w:start w:val="1"/>
      <w:numFmt w:val="decimal"/>
      <w:lvlText w:val="%3)"/>
      <w:lvlJc w:val="left"/>
      <w:pPr>
        <w:tabs>
          <w:tab w:val="num" w:pos="1701"/>
        </w:tabs>
        <w:ind w:left="1701" w:hanging="567"/>
      </w:pPr>
      <w:rPr>
        <w:rFonts w:cs="Times New Roman" w:hint="default"/>
      </w:rPr>
    </w:lvl>
    <w:lvl w:ilvl="3">
      <w:start w:val="1"/>
      <w:numFmt w:val="hebrew2"/>
      <w:lvlText w:val="(%4)"/>
      <w:lvlJc w:val="left"/>
      <w:pPr>
        <w:tabs>
          <w:tab w:val="num" w:pos="2268"/>
        </w:tabs>
        <w:ind w:left="2268" w:hanging="567"/>
      </w:pPr>
      <w:rPr>
        <w:rFonts w:cs="Times New Roman" w:hint="default"/>
      </w:rPr>
    </w:lvl>
    <w:lvl w:ilvl="4">
      <w:start w:val="1"/>
      <w:numFmt w:val="decimal"/>
      <w:lvlText w:val="(%5)"/>
      <w:lvlJc w:val="left"/>
      <w:pPr>
        <w:tabs>
          <w:tab w:val="num" w:pos="2835"/>
        </w:tabs>
        <w:ind w:left="2835" w:hanging="567"/>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nsid w:val="45354BB9"/>
    <w:multiLevelType w:val="singleLevel"/>
    <w:tmpl w:val="6D0A834A"/>
    <w:lvl w:ilvl="0">
      <w:start w:val="1"/>
      <w:numFmt w:val="decimal"/>
      <w:lvlText w:val="(%1)"/>
      <w:lvlJc w:val="right"/>
      <w:pPr>
        <w:tabs>
          <w:tab w:val="num" w:pos="648"/>
        </w:tabs>
        <w:ind w:firstLine="288"/>
      </w:pPr>
      <w:rPr>
        <w:rFonts w:cs="Miriam" w:hint="cs"/>
      </w:rPr>
    </w:lvl>
  </w:abstractNum>
  <w:abstractNum w:abstractNumId="28">
    <w:nsid w:val="457C6EA9"/>
    <w:multiLevelType w:val="singleLevel"/>
    <w:tmpl w:val="040D000F"/>
    <w:lvl w:ilvl="0">
      <w:start w:val="1"/>
      <w:numFmt w:val="decimal"/>
      <w:lvlText w:val="%1."/>
      <w:lvlJc w:val="center"/>
      <w:pPr>
        <w:tabs>
          <w:tab w:val="num" w:pos="648"/>
        </w:tabs>
        <w:ind w:left="360" w:hanging="72"/>
      </w:pPr>
      <w:rPr>
        <w:rFonts w:cs="Times New Roman"/>
      </w:rPr>
    </w:lvl>
  </w:abstractNum>
  <w:abstractNum w:abstractNumId="29">
    <w:nsid w:val="48883B00"/>
    <w:multiLevelType w:val="hybridMultilevel"/>
    <w:tmpl w:val="46AC916C"/>
    <w:lvl w:ilvl="0" w:tplc="3B56D6C0">
      <w:start w:val="1"/>
      <w:numFmt w:val="hebrew1"/>
      <w:lvlText w:val="%1."/>
      <w:lvlJc w:val="right"/>
      <w:pPr>
        <w:tabs>
          <w:tab w:val="num" w:pos="473"/>
        </w:tabs>
        <w:ind w:firstLine="113"/>
      </w:pPr>
      <w:rPr>
        <w:rFonts w:ascii="Times New Roman" w:cs="David" w:hint="cs"/>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0">
    <w:nsid w:val="4AF26673"/>
    <w:multiLevelType w:val="singleLevel"/>
    <w:tmpl w:val="EF343406"/>
    <w:lvl w:ilvl="0">
      <w:start w:val="1"/>
      <w:numFmt w:val="hebrew1"/>
      <w:lvlText w:val="%1."/>
      <w:lvlJc w:val="center"/>
      <w:pPr>
        <w:tabs>
          <w:tab w:val="num" w:pos="530"/>
        </w:tabs>
        <w:ind w:firstLine="170"/>
      </w:pPr>
      <w:rPr>
        <w:rFonts w:cs="David" w:hint="cs"/>
      </w:rPr>
    </w:lvl>
  </w:abstractNum>
  <w:abstractNum w:abstractNumId="31">
    <w:nsid w:val="4C2B4F12"/>
    <w:multiLevelType w:val="singleLevel"/>
    <w:tmpl w:val="9B766928"/>
    <w:lvl w:ilvl="0">
      <w:start w:val="1"/>
      <w:numFmt w:val="decimal"/>
      <w:lvlText w:val="(%1)"/>
      <w:legacy w:legacy="1" w:legacySpace="0" w:legacyIndent="360"/>
      <w:lvlJc w:val="center"/>
      <w:pPr>
        <w:ind w:hanging="360"/>
      </w:pPr>
      <w:rPr>
        <w:rFonts w:cs="Miriam"/>
      </w:rPr>
    </w:lvl>
  </w:abstractNum>
  <w:abstractNum w:abstractNumId="32">
    <w:nsid w:val="51A72755"/>
    <w:multiLevelType w:val="hybridMultilevel"/>
    <w:tmpl w:val="292E0EE8"/>
    <w:lvl w:ilvl="0" w:tplc="8B360D2C">
      <w:start w:val="1"/>
      <w:numFmt w:val="hebrew1"/>
      <w:lvlText w:val="%1."/>
      <w:lvlJc w:val="right"/>
      <w:pPr>
        <w:tabs>
          <w:tab w:val="num" w:pos="530"/>
        </w:tabs>
        <w:ind w:firstLine="170"/>
      </w:pPr>
      <w:rPr>
        <w:rFonts w:ascii="Times New Roman" w:cs="David" w:hint="cs"/>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3">
    <w:nsid w:val="52D02CC8"/>
    <w:multiLevelType w:val="hybridMultilevel"/>
    <w:tmpl w:val="628610F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nsid w:val="54644702"/>
    <w:multiLevelType w:val="hybridMultilevel"/>
    <w:tmpl w:val="A6BAA72E"/>
    <w:lvl w:ilvl="0" w:tplc="2CB47FB4">
      <w:start w:val="1"/>
      <w:numFmt w:val="hebrew1"/>
      <w:lvlText w:val="(%1)"/>
      <w:lvlJc w:val="right"/>
      <w:pPr>
        <w:tabs>
          <w:tab w:val="num" w:pos="587"/>
        </w:tabs>
        <w:ind w:firstLine="227"/>
      </w:pPr>
      <w:rPr>
        <w:rFonts w:ascii="Times New Roman" w:hAnsi="Times New Roman" w:cs="David" w:hint="cs"/>
        <w:bCs w:val="0"/>
        <w:iCs w:val="0"/>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5">
    <w:nsid w:val="558353F4"/>
    <w:multiLevelType w:val="singleLevel"/>
    <w:tmpl w:val="559CA06E"/>
    <w:lvl w:ilvl="0">
      <w:start w:val="1"/>
      <w:numFmt w:val="decimal"/>
      <w:lvlText w:val="(%1)"/>
      <w:lvlJc w:val="right"/>
      <w:pPr>
        <w:tabs>
          <w:tab w:val="num" w:pos="587"/>
        </w:tabs>
        <w:ind w:firstLine="227"/>
      </w:pPr>
      <w:rPr>
        <w:rFonts w:cs="Miriam" w:hint="cs"/>
      </w:rPr>
    </w:lvl>
  </w:abstractNum>
  <w:abstractNum w:abstractNumId="36">
    <w:nsid w:val="5AF70590"/>
    <w:multiLevelType w:val="singleLevel"/>
    <w:tmpl w:val="18A84562"/>
    <w:lvl w:ilvl="0">
      <w:start w:val="1"/>
      <w:numFmt w:val="upperRoman"/>
      <w:lvlText w:val="%1."/>
      <w:legacy w:legacy="1" w:legacySpace="0" w:legacyIndent="360"/>
      <w:lvlJc w:val="right"/>
      <w:pPr>
        <w:ind w:hanging="360"/>
      </w:pPr>
      <w:rPr>
        <w:rFonts w:cs="David" w:hint="cs"/>
        <w:sz w:val="20"/>
      </w:rPr>
    </w:lvl>
  </w:abstractNum>
  <w:abstractNum w:abstractNumId="37">
    <w:nsid w:val="5D0845CD"/>
    <w:multiLevelType w:val="singleLevel"/>
    <w:tmpl w:val="7D16514A"/>
    <w:lvl w:ilvl="0">
      <w:start w:val="1"/>
      <w:numFmt w:val="decimal"/>
      <w:lvlText w:val="(%1)"/>
      <w:lvlJc w:val="right"/>
      <w:pPr>
        <w:tabs>
          <w:tab w:val="num" w:pos="360"/>
        </w:tabs>
        <w:ind w:hanging="72"/>
      </w:pPr>
      <w:rPr>
        <w:rFonts w:cs="Miriam"/>
      </w:rPr>
    </w:lvl>
  </w:abstractNum>
  <w:abstractNum w:abstractNumId="38">
    <w:nsid w:val="6C386526"/>
    <w:multiLevelType w:val="hybridMultilevel"/>
    <w:tmpl w:val="4A064634"/>
    <w:lvl w:ilvl="0" w:tplc="3B56D6C0">
      <w:start w:val="1"/>
      <w:numFmt w:val="hebrew1"/>
      <w:lvlText w:val="%1."/>
      <w:lvlJc w:val="right"/>
      <w:pPr>
        <w:tabs>
          <w:tab w:val="num" w:pos="473"/>
        </w:tabs>
        <w:ind w:firstLine="113"/>
      </w:pPr>
      <w:rPr>
        <w:rFonts w:ascii="Times New Roman" w:cs="David" w:hint="cs"/>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9">
    <w:nsid w:val="75353A93"/>
    <w:multiLevelType w:val="hybridMultilevel"/>
    <w:tmpl w:val="9530E340"/>
    <w:lvl w:ilvl="0" w:tplc="94EEF702">
      <w:start w:val="1"/>
      <w:numFmt w:val="decimal"/>
      <w:lvlText w:val="(%1)"/>
      <w:lvlJc w:val="right"/>
      <w:pPr>
        <w:tabs>
          <w:tab w:val="num" w:pos="720"/>
        </w:tabs>
        <w:ind w:left="720" w:hanging="49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0">
    <w:nsid w:val="768E72D8"/>
    <w:multiLevelType w:val="hybridMultilevel"/>
    <w:tmpl w:val="192613CA"/>
    <w:lvl w:ilvl="0" w:tplc="85FA30F8">
      <w:start w:val="1"/>
      <w:numFmt w:val="hebrew1"/>
      <w:lvlText w:val="%1."/>
      <w:lvlJc w:val="right"/>
      <w:pPr>
        <w:tabs>
          <w:tab w:val="num" w:pos="530"/>
        </w:tabs>
        <w:ind w:firstLine="170"/>
      </w:pPr>
      <w:rPr>
        <w:rFonts w:ascii="Times New Roman" w:cs="David" w:hint="cs"/>
        <w:sz w:val="24"/>
        <w:szCs w:val="24"/>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3"/>
  </w:num>
  <w:num w:numId="2">
    <w:abstractNumId w:val="2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36"/>
  </w:num>
  <w:num w:numId="14">
    <w:abstractNumId w:val="19"/>
  </w:num>
  <w:num w:numId="15">
    <w:abstractNumId w:val="31"/>
  </w:num>
  <w:num w:numId="16">
    <w:abstractNumId w:val="24"/>
  </w:num>
  <w:num w:numId="17">
    <w:abstractNumId w:val="16"/>
  </w:num>
  <w:num w:numId="18">
    <w:abstractNumId w:val="20"/>
  </w:num>
  <w:num w:numId="19">
    <w:abstractNumId w:val="37"/>
  </w:num>
  <w:num w:numId="20">
    <w:abstractNumId w:val="18"/>
  </w:num>
  <w:num w:numId="21">
    <w:abstractNumId w:val="12"/>
  </w:num>
  <w:num w:numId="22">
    <w:abstractNumId w:val="27"/>
  </w:num>
  <w:num w:numId="23">
    <w:abstractNumId w:val="35"/>
  </w:num>
  <w:num w:numId="24">
    <w:abstractNumId w:val="21"/>
  </w:num>
  <w:num w:numId="25">
    <w:abstractNumId w:val="10"/>
  </w:num>
  <w:num w:numId="26">
    <w:abstractNumId w:val="30"/>
  </w:num>
  <w:num w:numId="27">
    <w:abstractNumId w:val="23"/>
  </w:num>
  <w:num w:numId="28">
    <w:abstractNumId w:val="23"/>
    <w:lvlOverride w:ilvl="0">
      <w:lvl w:ilvl="0">
        <w:start w:val="1"/>
        <w:numFmt w:val="decimal"/>
        <w:lvlText w:val="%1."/>
        <w:legacy w:legacy="1" w:legacySpace="0" w:legacyIndent="360"/>
        <w:lvlJc w:val="center"/>
        <w:pPr>
          <w:ind w:hanging="360"/>
        </w:pPr>
        <w:rPr>
          <w:rFonts w:cs="Miriam"/>
        </w:rPr>
      </w:lvl>
    </w:lvlOverride>
  </w:num>
  <w:num w:numId="29">
    <w:abstractNumId w:val="11"/>
  </w:num>
  <w:num w:numId="30">
    <w:abstractNumId w:val="17"/>
  </w:num>
  <w:num w:numId="31">
    <w:abstractNumId w:val="28"/>
  </w:num>
  <w:num w:numId="32">
    <w:abstractNumId w:val="40"/>
  </w:num>
  <w:num w:numId="33">
    <w:abstractNumId w:val="39"/>
  </w:num>
  <w:num w:numId="34">
    <w:abstractNumId w:val="14"/>
  </w:num>
  <w:num w:numId="35">
    <w:abstractNumId w:val="29"/>
  </w:num>
  <w:num w:numId="36">
    <w:abstractNumId w:val="38"/>
  </w:num>
  <w:num w:numId="37">
    <w:abstractNumId w:val="32"/>
  </w:num>
  <w:num w:numId="38">
    <w:abstractNumId w:val="22"/>
  </w:num>
  <w:num w:numId="39">
    <w:abstractNumId w:val="34"/>
  </w:num>
  <w:num w:numId="40">
    <w:abstractNumId w:val="25"/>
  </w:num>
  <w:num w:numId="41">
    <w:abstractNumId w:val="15"/>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5996áøæðéõ- ðéñåééí ááðé àãí.doc"/>
    <w:docVar w:name="StartMode" w:val="2"/>
  </w:docVars>
  <w:rsids>
    <w:rsidRoot w:val="00F37340"/>
    <w:rsid w:val="00F37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paragraph" w:styleId="2">
    <w:name w:val="heading 2"/>
    <w:basedOn w:val="a"/>
    <w:next w:val="a"/>
    <w:link w:val="20"/>
    <w:uiPriority w:val="99"/>
    <w:qFormat/>
    <w:pPr>
      <w:keepNext/>
      <w:jc w:val="both"/>
      <w:outlineLvl w:val="1"/>
    </w:pPr>
    <w:rPr>
      <w:rFonts w:eastAsia="Times New Roman"/>
      <w:b/>
      <w:bCs/>
      <w:sz w:val="26"/>
      <w:szCs w:val="26"/>
    </w:rPr>
  </w:style>
  <w:style w:type="paragraph" w:styleId="3">
    <w:name w:val="heading 3"/>
    <w:basedOn w:val="a"/>
    <w:next w:val="a"/>
    <w:link w:val="30"/>
    <w:uiPriority w:val="99"/>
    <w:qFormat/>
    <w:pPr>
      <w:keepNext/>
      <w:outlineLvl w:val="2"/>
    </w:pPr>
    <w:rPr>
      <w:rFonts w:eastAsia="Times New Roman"/>
      <w:b/>
      <w:bCs/>
      <w:spacing w:val="20"/>
      <w:sz w:val="20"/>
    </w:rPr>
  </w:style>
  <w:style w:type="paragraph" w:styleId="4">
    <w:name w:val="heading 4"/>
    <w:basedOn w:val="a"/>
    <w:next w:val="a"/>
    <w:link w:val="40"/>
    <w:uiPriority w:val="99"/>
    <w:qFormat/>
    <w:pPr>
      <w:keepNext/>
      <w:jc w:val="center"/>
      <w:outlineLvl w:val="3"/>
    </w:pPr>
    <w:rPr>
      <w:rFonts w:eastAsia="Times New Roman"/>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31">
    <w:name w:val="Body Text 3"/>
    <w:basedOn w:val="a"/>
    <w:link w:val="32"/>
    <w:uiPriority w:val="99"/>
    <w:pPr>
      <w:jc w:val="both"/>
    </w:pPr>
    <w:rPr>
      <w:rFonts w:eastAsia="Times New Roman"/>
      <w:sz w:val="26"/>
      <w:szCs w:val="26"/>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ab">
    <w:name w:val="Block Text"/>
    <w:basedOn w:val="a"/>
    <w:uiPriority w:val="99"/>
    <w:pPr>
      <w:tabs>
        <w:tab w:val="left" w:pos="267"/>
      </w:tabs>
      <w:ind w:left="267" w:hanging="267"/>
      <w:jc w:val="both"/>
    </w:pPr>
    <w:rPr>
      <w:rFonts w:eastAsia="Times New Roman"/>
      <w:sz w:val="20"/>
    </w:rPr>
  </w:style>
  <w:style w:type="paragraph" w:styleId="21">
    <w:name w:val="Body Text 2"/>
    <w:basedOn w:val="ac"/>
    <w:link w:val="22"/>
    <w:uiPriority w:val="99"/>
    <w:pPr>
      <w:spacing w:line="240" w:lineRule="auto"/>
      <w:ind w:left="0" w:right="0"/>
      <w:jc w:val="both"/>
    </w:pPr>
    <w:rPr>
      <w:szCs w:val="24"/>
      <w:u w:val="none"/>
      <w:lang w:val="en-US"/>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c">
    <w:name w:val="Body Text"/>
    <w:basedOn w:val="a"/>
    <w:link w:val="ad"/>
    <w:uiPriority w:val="99"/>
    <w:pPr>
      <w:spacing w:line="533" w:lineRule="auto"/>
      <w:ind w:left="839" w:right="-119"/>
    </w:pPr>
    <w:rPr>
      <w:rFonts w:eastAsia="Times New Roman"/>
      <w:sz w:val="20"/>
      <w:szCs w:val="20"/>
      <w:u w:val="single"/>
      <w:lang w:val="en-GB"/>
    </w:r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 w:type="paragraph" w:styleId="ae">
    <w:name w:val="footer"/>
    <w:basedOn w:val="a"/>
    <w:link w:val="af"/>
    <w:uiPriority w:val="99"/>
    <w:pPr>
      <w:tabs>
        <w:tab w:val="center" w:pos="4153"/>
        <w:tab w:val="right" w:pos="8306"/>
      </w:tabs>
    </w:pPr>
  </w:style>
  <w:style w:type="character" w:customStyle="1" w:styleId="af">
    <w:name w:val="כותרת תחתונה תו"/>
    <w:basedOn w:val="a0"/>
    <w:link w:val="ae"/>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6244</Words>
  <Characters>31222</Characters>
  <Application>Microsoft Office Word</Application>
  <DocSecurity>0</DocSecurity>
  <Lines>260</Lines>
  <Paragraphs>74</Paragraphs>
  <ScaleCrop>false</ScaleCrop>
  <Company>knesset</Company>
  <LinksUpToDate>false</LinksUpToDate>
  <CharactersWithSpaces>37392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ניסויים בבני אדם, התשס"ו-2006</dc:title>
  <dc:subject/>
  <dc:creator>Knesset</dc:creator>
  <cp:keywords/>
  <dc:description/>
  <cp:lastModifiedBy>שמואל כוכב</cp:lastModifiedBy>
  <cp:revision>2</cp:revision>
  <cp:lastPrinted>2006-06-15T06:34:00Z</cp:lastPrinted>
  <dcterms:created xsi:type="dcterms:W3CDTF">2015-02-03T19:21:00Z</dcterms:created>
  <dcterms:modified xsi:type="dcterms:W3CDTF">2015-02-03T19:21:00Z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שלמה ברזניץ</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03328606</vt:lpwstr>
  </property>
  <property fmtid="{D5CDD505-2E9C-101B-9397-08002B2CF9AE}" pid="10" name="מספר הצעת חוק למיון">
    <vt:lpwstr>625</vt:lpwstr>
  </property>
  <property fmtid="{D5CDD505-2E9C-101B-9397-08002B2CF9AE}" pid="11" name="SDDocDate">
    <vt:lpwstr>2006-06-15T00:00:00Z</vt:lpwstr>
  </property>
  <property fmtid="{D5CDD505-2E9C-101B-9397-08002B2CF9AE}" pid="12" name="SDHebDate">
    <vt:lpwstr>י"ט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פ/625/17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