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16460">
      <w:pPr>
        <w:pStyle w:val="a3"/>
        <w:rPr>
          <w:rFonts w:cs="David"/>
          <w:u w:val="none"/>
          <w:rtl/>
        </w:rPr>
      </w:pPr>
      <w:bookmarkStart w:id="0" w:name="_GoBack"/>
      <w:bookmarkEnd w:id="0"/>
      <w:r>
        <w:rPr>
          <w:rFonts w:cs="David"/>
          <w:u w:val="none"/>
          <w:rtl/>
        </w:rPr>
        <w:t>הכנסת השבע-עשרה</w:t>
      </w:r>
    </w:p>
    <w:p w:rsidR="00000000" w:rsidRDefault="00016460">
      <w:pPr>
        <w:tabs>
          <w:tab w:val="left" w:pos="2734"/>
        </w:tabs>
        <w:ind w:left="-9" w:firstLine="9"/>
        <w:rPr>
          <w:rFonts w:cs="David"/>
          <w:sz w:val="26"/>
          <w:szCs w:val="26"/>
          <w:rtl/>
        </w:rPr>
      </w:pPr>
    </w:p>
    <w:p w:rsidR="00000000" w:rsidRDefault="00016460">
      <w:pPr>
        <w:tabs>
          <w:tab w:val="left" w:pos="2734"/>
        </w:tabs>
        <w:ind w:left="-9" w:firstLine="9"/>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4248"/>
      </w:tblGrid>
      <w:tr w:rsidR="00000000">
        <w:tblPrEx>
          <w:tblCellMar>
            <w:top w:w="0" w:type="dxa"/>
            <w:bottom w:w="0" w:type="dxa"/>
          </w:tblCellMar>
        </w:tblPrEx>
        <w:trPr>
          <w:cantSplit/>
        </w:trPr>
        <w:tc>
          <w:tcPr>
            <w:tcW w:w="4248" w:type="dxa"/>
            <w:tcBorders>
              <w:top w:val="nil"/>
              <w:left w:val="nil"/>
              <w:bottom w:val="single" w:sz="4" w:space="0" w:color="auto"/>
              <w:right w:val="nil"/>
            </w:tcBorders>
          </w:tcPr>
          <w:p w:rsidR="00000000" w:rsidRDefault="00016460">
            <w:pPr>
              <w:tabs>
                <w:tab w:val="left" w:pos="2770"/>
                <w:tab w:val="left" w:pos="6192"/>
              </w:tabs>
              <w:spacing w:after="120"/>
              <w:ind w:firstLine="11"/>
              <w:rPr>
                <w:rFonts w:cs="David"/>
                <w:sz w:val="26"/>
                <w:szCs w:val="26"/>
                <w:rtl/>
              </w:rPr>
            </w:pPr>
            <w:r>
              <w:rPr>
                <w:rFonts w:cs="David"/>
                <w:sz w:val="26"/>
                <w:szCs w:val="26"/>
                <w:rtl/>
              </w:rPr>
              <w:t>הצעת</w:t>
            </w:r>
            <w:r>
              <w:rPr>
                <w:rFonts w:cs="David"/>
                <w:sz w:val="26"/>
                <w:szCs w:val="26"/>
              </w:rPr>
              <w:t xml:space="preserve"> </w:t>
            </w:r>
            <w:r>
              <w:rPr>
                <w:rFonts w:cs="David"/>
                <w:sz w:val="26"/>
                <w:szCs w:val="26"/>
                <w:rtl/>
              </w:rPr>
              <w:t xml:space="preserve">חוק של </w:t>
            </w:r>
            <w:bookmarkStart w:id="1" w:name="MKsSingleOrMulti"/>
            <w:r>
              <w:rPr>
                <w:rFonts w:cs="David"/>
                <w:sz w:val="26"/>
                <w:szCs w:val="26"/>
                <w:rtl/>
              </w:rPr>
              <w:t>חברי הכנסת</w:t>
            </w:r>
            <w:bookmarkStart w:id="2" w:name="MKs"/>
            <w:bookmarkEnd w:id="1"/>
            <w:r>
              <w:rPr>
                <w:rFonts w:cs="David"/>
                <w:sz w:val="26"/>
                <w:szCs w:val="26"/>
                <w:rtl/>
              </w:rPr>
              <w:t xml:space="preserve"> </w:t>
            </w:r>
            <w:r>
              <w:rPr>
                <w:rFonts w:cs="David"/>
                <w:b/>
                <w:bCs/>
                <w:sz w:val="26"/>
                <w:szCs w:val="26"/>
                <w:rtl/>
              </w:rPr>
              <w:t>נדיה חילו</w:t>
            </w:r>
          </w:p>
          <w:p w:rsidR="00000000" w:rsidRDefault="00016460">
            <w:pPr>
              <w:tabs>
                <w:tab w:val="left" w:pos="2770"/>
                <w:tab w:val="left" w:pos="6192"/>
              </w:tabs>
              <w:spacing w:after="120"/>
              <w:ind w:left="2592" w:firstLine="11"/>
              <w:rPr>
                <w:rFonts w:cs="David"/>
                <w:sz w:val="26"/>
                <w:szCs w:val="26"/>
                <w:rtl/>
              </w:rPr>
            </w:pPr>
            <w:r>
              <w:rPr>
                <w:rFonts w:cs="David"/>
                <w:sz w:val="26"/>
                <w:szCs w:val="26"/>
                <w:rtl/>
              </w:rPr>
              <w:t>רוחמה אברהם</w:t>
            </w:r>
          </w:p>
          <w:p w:rsidR="00000000" w:rsidRDefault="00016460">
            <w:pPr>
              <w:tabs>
                <w:tab w:val="left" w:pos="2770"/>
                <w:tab w:val="left" w:pos="6192"/>
              </w:tabs>
              <w:spacing w:after="120"/>
              <w:ind w:left="2592" w:firstLine="11"/>
              <w:rPr>
                <w:rFonts w:cs="David"/>
                <w:sz w:val="26"/>
                <w:szCs w:val="26"/>
                <w:rtl/>
              </w:rPr>
            </w:pPr>
            <w:r>
              <w:rPr>
                <w:rFonts w:cs="David"/>
                <w:sz w:val="26"/>
                <w:szCs w:val="26"/>
                <w:rtl/>
              </w:rPr>
              <w:t>עמיחי אילון</w:t>
            </w:r>
          </w:p>
          <w:p w:rsidR="00000000" w:rsidRDefault="00016460">
            <w:pPr>
              <w:tabs>
                <w:tab w:val="left" w:pos="2770"/>
                <w:tab w:val="left" w:pos="6192"/>
              </w:tabs>
              <w:spacing w:after="120"/>
              <w:ind w:left="2592" w:firstLine="11"/>
              <w:rPr>
                <w:rFonts w:cs="David"/>
                <w:sz w:val="26"/>
                <w:szCs w:val="26"/>
                <w:rtl/>
              </w:rPr>
            </w:pPr>
            <w:r>
              <w:rPr>
                <w:rFonts w:cs="David"/>
                <w:sz w:val="26"/>
                <w:szCs w:val="26"/>
                <w:rtl/>
              </w:rPr>
              <w:t>טלב אלסאנע</w:t>
            </w:r>
          </w:p>
          <w:p w:rsidR="00000000" w:rsidRDefault="00016460">
            <w:pPr>
              <w:tabs>
                <w:tab w:val="left" w:pos="2770"/>
                <w:tab w:val="left" w:pos="6192"/>
              </w:tabs>
              <w:spacing w:after="120"/>
              <w:ind w:left="2592" w:firstLine="11"/>
              <w:rPr>
                <w:rFonts w:cs="David"/>
                <w:sz w:val="26"/>
                <w:szCs w:val="26"/>
                <w:rtl/>
              </w:rPr>
            </w:pPr>
            <w:r>
              <w:rPr>
                <w:rFonts w:cs="David"/>
                <w:sz w:val="26"/>
                <w:szCs w:val="26"/>
                <w:rtl/>
              </w:rPr>
              <w:t>זהבה גלאון</w:t>
            </w:r>
          </w:p>
          <w:p w:rsidR="00000000" w:rsidRDefault="00016460">
            <w:pPr>
              <w:tabs>
                <w:tab w:val="left" w:pos="2770"/>
                <w:tab w:val="left" w:pos="6192"/>
              </w:tabs>
              <w:spacing w:after="120"/>
              <w:ind w:left="2592" w:firstLine="11"/>
              <w:rPr>
                <w:rFonts w:cs="David"/>
                <w:sz w:val="26"/>
                <w:szCs w:val="26"/>
                <w:rtl/>
              </w:rPr>
            </w:pPr>
            <w:r>
              <w:rPr>
                <w:rFonts w:cs="David"/>
                <w:sz w:val="26"/>
                <w:szCs w:val="26"/>
                <w:rtl/>
              </w:rPr>
              <w:t>דב חנין</w:t>
            </w:r>
          </w:p>
          <w:p w:rsidR="00000000" w:rsidRDefault="00016460">
            <w:pPr>
              <w:tabs>
                <w:tab w:val="left" w:pos="2770"/>
                <w:tab w:val="left" w:pos="6192"/>
              </w:tabs>
              <w:spacing w:after="120"/>
              <w:ind w:left="2592" w:firstLine="11"/>
              <w:rPr>
                <w:rFonts w:cs="David"/>
                <w:sz w:val="26"/>
                <w:szCs w:val="26"/>
                <w:rtl/>
              </w:rPr>
            </w:pPr>
            <w:r>
              <w:rPr>
                <w:rFonts w:cs="David"/>
                <w:sz w:val="26"/>
                <w:szCs w:val="26"/>
                <w:rtl/>
              </w:rPr>
              <w:t>אחמד טיבי</w:t>
            </w:r>
          </w:p>
          <w:p w:rsidR="00000000" w:rsidRDefault="00016460">
            <w:pPr>
              <w:tabs>
                <w:tab w:val="left" w:pos="2770"/>
                <w:tab w:val="left" w:pos="6192"/>
              </w:tabs>
              <w:spacing w:after="120"/>
              <w:ind w:left="2592" w:firstLine="11"/>
              <w:rPr>
                <w:rFonts w:cs="David"/>
                <w:sz w:val="26"/>
                <w:szCs w:val="26"/>
                <w:rtl/>
              </w:rPr>
            </w:pPr>
            <w:r>
              <w:rPr>
                <w:rFonts w:cs="David"/>
                <w:sz w:val="26"/>
                <w:szCs w:val="26"/>
                <w:rtl/>
              </w:rPr>
              <w:t>דני יתום</w:t>
            </w:r>
          </w:p>
          <w:p w:rsidR="00000000" w:rsidRDefault="00016460">
            <w:pPr>
              <w:tabs>
                <w:tab w:val="left" w:pos="2770"/>
                <w:tab w:val="left" w:pos="6192"/>
              </w:tabs>
              <w:spacing w:after="120"/>
              <w:ind w:left="2592" w:firstLine="11"/>
              <w:rPr>
                <w:rFonts w:cs="David"/>
                <w:sz w:val="26"/>
                <w:szCs w:val="26"/>
                <w:rtl/>
              </w:rPr>
            </w:pPr>
            <w:r>
              <w:rPr>
                <w:rFonts w:cs="David"/>
                <w:sz w:val="26"/>
                <w:szCs w:val="26"/>
                <w:rtl/>
              </w:rPr>
              <w:t>יורם מרציאנו</w:t>
            </w:r>
          </w:p>
          <w:p w:rsidR="00000000" w:rsidRDefault="00016460">
            <w:pPr>
              <w:tabs>
                <w:tab w:val="left" w:pos="2770"/>
                <w:tab w:val="left" w:pos="6192"/>
              </w:tabs>
              <w:spacing w:after="120"/>
              <w:ind w:left="2592" w:firstLine="11"/>
              <w:rPr>
                <w:rFonts w:cs="David"/>
                <w:sz w:val="26"/>
                <w:szCs w:val="26"/>
                <w:rtl/>
              </w:rPr>
            </w:pPr>
            <w:r>
              <w:rPr>
                <w:rFonts w:cs="David"/>
                <w:sz w:val="26"/>
                <w:szCs w:val="26"/>
                <w:rtl/>
              </w:rPr>
              <w:t>אורית נוקד</w:t>
            </w:r>
          </w:p>
          <w:p w:rsidR="00000000" w:rsidRDefault="00016460">
            <w:pPr>
              <w:tabs>
                <w:tab w:val="left" w:pos="2770"/>
                <w:tab w:val="left" w:pos="6192"/>
              </w:tabs>
              <w:spacing w:after="120"/>
              <w:ind w:left="2592" w:firstLine="11"/>
              <w:rPr>
                <w:rFonts w:cs="David"/>
                <w:sz w:val="26"/>
                <w:szCs w:val="26"/>
                <w:rtl/>
              </w:rPr>
            </w:pPr>
            <w:r>
              <w:rPr>
                <w:rFonts w:cs="David"/>
                <w:sz w:val="26"/>
                <w:szCs w:val="26"/>
                <w:rtl/>
              </w:rPr>
              <w:t>גדעון סער</w:t>
            </w:r>
          </w:p>
          <w:p w:rsidR="00000000" w:rsidRDefault="00016460">
            <w:pPr>
              <w:tabs>
                <w:tab w:val="left" w:pos="2770"/>
                <w:tab w:val="left" w:pos="6192"/>
              </w:tabs>
              <w:spacing w:after="120"/>
              <w:ind w:left="2592" w:firstLine="11"/>
              <w:rPr>
                <w:rFonts w:cs="David"/>
                <w:sz w:val="26"/>
                <w:szCs w:val="26"/>
                <w:rtl/>
              </w:rPr>
            </w:pPr>
            <w:r>
              <w:rPr>
                <w:rFonts w:cs="David"/>
                <w:sz w:val="26"/>
                <w:szCs w:val="26"/>
                <w:rtl/>
              </w:rPr>
              <w:t>אברהים צרצור</w:t>
            </w:r>
          </w:p>
          <w:p w:rsidR="00000000" w:rsidRDefault="00016460">
            <w:pPr>
              <w:tabs>
                <w:tab w:val="left" w:pos="2770"/>
                <w:tab w:val="left" w:pos="6192"/>
              </w:tabs>
              <w:spacing w:after="120"/>
              <w:ind w:left="2592" w:firstLine="11"/>
              <w:rPr>
                <w:rFonts w:cs="David"/>
                <w:sz w:val="26"/>
                <w:szCs w:val="26"/>
              </w:rPr>
            </w:pPr>
            <w:r>
              <w:rPr>
                <w:rFonts w:cs="David"/>
                <w:sz w:val="26"/>
                <w:szCs w:val="26"/>
                <w:rtl/>
              </w:rPr>
              <w:t>רונית תירוש</w:t>
            </w:r>
            <w:bookmarkEnd w:id="2"/>
          </w:p>
        </w:tc>
      </w:tr>
    </w:tbl>
    <w:p w:rsidR="00000000" w:rsidRDefault="00016460">
      <w:pPr>
        <w:jc w:val="center"/>
        <w:rPr>
          <w:rFonts w:cs="David"/>
          <w:b/>
          <w:bCs/>
          <w:sz w:val="26"/>
          <w:szCs w:val="26"/>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b/>
          <w:bCs/>
          <w:sz w:val="26"/>
          <w:szCs w:val="26"/>
          <w:rtl/>
        </w:rPr>
        <w:t>פ/1568/17</w:t>
      </w:r>
    </w:p>
    <w:p w:rsidR="00000000" w:rsidRDefault="00016460">
      <w:pPr>
        <w:jc w:val="center"/>
        <w:rPr>
          <w:rFonts w:cs="David"/>
          <w:b/>
          <w:bCs/>
          <w:sz w:val="26"/>
          <w:szCs w:val="26"/>
          <w:rtl/>
        </w:rPr>
      </w:pPr>
    </w:p>
    <w:p w:rsidR="00000000" w:rsidRDefault="00016460">
      <w:pPr>
        <w:jc w:val="center"/>
        <w:rPr>
          <w:rFonts w:cs="David"/>
          <w:b/>
          <w:bCs/>
          <w:sz w:val="26"/>
          <w:szCs w:val="26"/>
          <w:rtl/>
        </w:rPr>
      </w:pPr>
    </w:p>
    <w:p w:rsidR="00000000" w:rsidRDefault="00016460">
      <w:pPr>
        <w:jc w:val="center"/>
        <w:rPr>
          <w:rFonts w:cs="David"/>
          <w:b/>
          <w:bCs/>
          <w:sz w:val="28"/>
          <w:szCs w:val="28"/>
          <w:rtl/>
        </w:rPr>
      </w:pPr>
      <w:r>
        <w:rPr>
          <w:rFonts w:cs="David"/>
          <w:b/>
          <w:bCs/>
          <w:sz w:val="28"/>
          <w:szCs w:val="28"/>
          <w:rtl/>
        </w:rPr>
        <w:t>הצעת חוק החברות הממשלתיות (תיקון - ייצוג הולם), התשס"ו–2006</w:t>
      </w:r>
    </w:p>
    <w:p w:rsidR="00000000" w:rsidRDefault="00016460">
      <w:pPr>
        <w:jc w:val="center"/>
        <w:rPr>
          <w:rFonts w:cs="David"/>
          <w:b/>
          <w:bCs/>
          <w:sz w:val="26"/>
          <w:szCs w:val="26"/>
          <w:rtl/>
        </w:rPr>
      </w:pPr>
    </w:p>
    <w:p w:rsidR="00000000" w:rsidRDefault="00016460">
      <w:pPr>
        <w:spacing w:line="360" w:lineRule="auto"/>
        <w:jc w:val="center"/>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61"/>
        <w:gridCol w:w="552"/>
        <w:gridCol w:w="6707"/>
      </w:tblGrid>
      <w:tr w:rsidR="00000000">
        <w:tblPrEx>
          <w:tblCellMar>
            <w:top w:w="0" w:type="dxa"/>
            <w:bottom w:w="0" w:type="dxa"/>
          </w:tblCellMar>
        </w:tblPrEx>
        <w:trPr>
          <w:cantSplit/>
        </w:trPr>
        <w:tc>
          <w:tcPr>
            <w:tcW w:w="1161" w:type="dxa"/>
            <w:tcBorders>
              <w:top w:val="nil"/>
              <w:left w:val="nil"/>
              <w:bottom w:val="nil"/>
              <w:right w:val="nil"/>
            </w:tcBorders>
          </w:tcPr>
          <w:p w:rsidR="00000000" w:rsidRDefault="00016460">
            <w:pPr>
              <w:spacing w:after="120"/>
              <w:rPr>
                <w:rFonts w:cs="David"/>
                <w:sz w:val="26"/>
                <w:szCs w:val="26"/>
              </w:rPr>
            </w:pPr>
            <w:r>
              <w:rPr>
                <w:rFonts w:cs="David"/>
                <w:sz w:val="26"/>
                <w:szCs w:val="26"/>
                <w:rtl/>
              </w:rPr>
              <w:t>תיקון סעיף 18א</w:t>
            </w:r>
          </w:p>
        </w:tc>
        <w:tc>
          <w:tcPr>
            <w:tcW w:w="552" w:type="dxa"/>
            <w:tcBorders>
              <w:top w:val="nil"/>
              <w:left w:val="nil"/>
              <w:bottom w:val="nil"/>
              <w:right w:val="nil"/>
            </w:tcBorders>
          </w:tcPr>
          <w:p w:rsidR="00000000" w:rsidRDefault="00016460">
            <w:pPr>
              <w:spacing w:after="120" w:line="360" w:lineRule="auto"/>
              <w:rPr>
                <w:rFonts w:cs="David"/>
                <w:sz w:val="26"/>
                <w:szCs w:val="26"/>
              </w:rPr>
            </w:pPr>
            <w:r>
              <w:rPr>
                <w:rFonts w:cs="David"/>
                <w:sz w:val="26"/>
                <w:szCs w:val="26"/>
                <w:rtl/>
              </w:rPr>
              <w:t>1.</w:t>
            </w:r>
          </w:p>
        </w:tc>
        <w:tc>
          <w:tcPr>
            <w:tcW w:w="6707" w:type="dxa"/>
            <w:tcBorders>
              <w:top w:val="nil"/>
              <w:left w:val="nil"/>
              <w:bottom w:val="nil"/>
              <w:right w:val="nil"/>
            </w:tcBorders>
          </w:tcPr>
          <w:p w:rsidR="00000000" w:rsidRDefault="00016460">
            <w:pPr>
              <w:spacing w:after="120" w:line="360" w:lineRule="auto"/>
              <w:rPr>
                <w:rFonts w:cs="David"/>
                <w:sz w:val="26"/>
                <w:szCs w:val="26"/>
              </w:rPr>
            </w:pPr>
            <w:r>
              <w:rPr>
                <w:rFonts w:cs="David"/>
                <w:sz w:val="26"/>
                <w:szCs w:val="26"/>
                <w:rtl/>
              </w:rPr>
              <w:t>בחוק החברות הממשלתיות, התשל"ה-1975</w:t>
            </w:r>
            <w:r>
              <w:rPr>
                <w:rStyle w:val="aa"/>
                <w:rFonts w:cs="David"/>
                <w:sz w:val="26"/>
                <w:szCs w:val="26"/>
                <w:rtl/>
              </w:rPr>
              <w:footnoteReference w:id="1"/>
            </w:r>
            <w:r>
              <w:rPr>
                <w:rFonts w:cs="David"/>
                <w:sz w:val="26"/>
                <w:szCs w:val="26"/>
                <w:rtl/>
              </w:rPr>
              <w:t>, בסעיף  18א(א), בסופו יבוא "ממגוון קבוצות האוכלוסייה".</w:t>
            </w:r>
          </w:p>
        </w:tc>
      </w:tr>
    </w:tbl>
    <w:p w:rsidR="00000000" w:rsidRDefault="00016460">
      <w:pPr>
        <w:rPr>
          <w:rFonts w:cs="David"/>
          <w:sz w:val="26"/>
          <w:szCs w:val="26"/>
          <w:rtl/>
        </w:rPr>
      </w:pPr>
    </w:p>
    <w:p w:rsidR="00000000" w:rsidRDefault="00016460">
      <w:pPr>
        <w:spacing w:line="360" w:lineRule="auto"/>
        <w:rPr>
          <w:rFonts w:cs="David"/>
          <w:sz w:val="26"/>
          <w:szCs w:val="26"/>
          <w:rtl/>
        </w:rPr>
      </w:pPr>
    </w:p>
    <w:p w:rsidR="00000000" w:rsidRDefault="00016460">
      <w:pPr>
        <w:spacing w:line="360" w:lineRule="auto"/>
        <w:jc w:val="center"/>
        <w:rPr>
          <w:rFonts w:cs="David"/>
          <w:sz w:val="28"/>
          <w:szCs w:val="28"/>
          <w:rtl/>
        </w:rPr>
      </w:pPr>
      <w:r>
        <w:rPr>
          <w:rFonts w:cs="David"/>
          <w:b/>
          <w:bCs/>
          <w:sz w:val="28"/>
          <w:szCs w:val="28"/>
          <w:u w:val="single"/>
          <w:rtl/>
        </w:rPr>
        <w:t>דברי – הסבר</w:t>
      </w:r>
    </w:p>
    <w:p w:rsidR="00000000" w:rsidRDefault="00016460">
      <w:pPr>
        <w:spacing w:line="360" w:lineRule="auto"/>
        <w:jc w:val="center"/>
        <w:rPr>
          <w:rFonts w:cs="David"/>
          <w:sz w:val="26"/>
          <w:szCs w:val="26"/>
          <w:rtl/>
        </w:rPr>
      </w:pPr>
    </w:p>
    <w:p w:rsidR="00000000" w:rsidRDefault="00016460">
      <w:pPr>
        <w:spacing w:line="360" w:lineRule="auto"/>
        <w:jc w:val="both"/>
        <w:rPr>
          <w:rFonts w:cs="David"/>
          <w:sz w:val="26"/>
          <w:szCs w:val="26"/>
          <w:rtl/>
        </w:rPr>
      </w:pPr>
      <w:r>
        <w:rPr>
          <w:rFonts w:cs="David"/>
          <w:sz w:val="26"/>
          <w:szCs w:val="26"/>
          <w:rtl/>
        </w:rPr>
        <w:t>סעיף 18א(א) לחוק החברות הממשלתיות</w:t>
      </w:r>
      <w:r>
        <w:rPr>
          <w:rFonts w:cs="David"/>
          <w:sz w:val="26"/>
          <w:szCs w:val="26"/>
          <w:rtl/>
        </w:rPr>
        <w:t>, התשל"ה-1975 קובע ייצוג הולם לבני שני המינים.</w:t>
      </w:r>
    </w:p>
    <w:p w:rsidR="00000000" w:rsidRDefault="00016460">
      <w:pPr>
        <w:spacing w:line="360" w:lineRule="auto"/>
        <w:jc w:val="both"/>
        <w:rPr>
          <w:rFonts w:cs="David"/>
          <w:sz w:val="26"/>
          <w:szCs w:val="26"/>
          <w:rtl/>
        </w:rPr>
      </w:pPr>
      <w:r>
        <w:rPr>
          <w:rFonts w:cs="David"/>
          <w:sz w:val="26"/>
          <w:szCs w:val="26"/>
          <w:rtl/>
        </w:rPr>
        <w:t>אין הגדרה לנשים בחוק, ברור כי הכוונה היא לנשים כנשים דהיינו "כמין אחד משני המינים", אך בתוך הנשים קיימות קבוצות שונות אשר אינן זוכות לייצוג הולם על אף העובדה כי הייצוג ההולם  נוגע גם אליהן. בין הקבוצות הללו  נ</w:t>
      </w:r>
      <w:r>
        <w:rPr>
          <w:rFonts w:cs="David"/>
          <w:sz w:val="26"/>
          <w:szCs w:val="26"/>
          <w:rtl/>
        </w:rPr>
        <w:t>שים ערביות, דרוזיות, צ'רקסיות, אתיופיות, חרדיות, נשים ממוצא מזרחי.</w:t>
      </w:r>
    </w:p>
    <w:p w:rsidR="00000000" w:rsidRDefault="00016460">
      <w:pPr>
        <w:spacing w:line="360" w:lineRule="auto"/>
        <w:jc w:val="both"/>
        <w:rPr>
          <w:rFonts w:cs="David"/>
          <w:sz w:val="26"/>
          <w:szCs w:val="26"/>
          <w:rtl/>
        </w:rPr>
      </w:pPr>
      <w:r>
        <w:rPr>
          <w:rFonts w:cs="David"/>
          <w:sz w:val="26"/>
          <w:szCs w:val="26"/>
          <w:rtl/>
        </w:rPr>
        <w:t>על כן, התיקון בא לתת ביטוי לייצוג הולם  לקבוצות השונות בתוך הנשים על מנת להגיע לייצוג הולם אמיתי של נשים .</w:t>
      </w:r>
    </w:p>
    <w:p w:rsidR="00000000" w:rsidRDefault="00016460">
      <w:pPr>
        <w:spacing w:line="360" w:lineRule="auto"/>
        <w:jc w:val="both"/>
        <w:rPr>
          <w:rFonts w:cs="David"/>
          <w:sz w:val="26"/>
          <w:szCs w:val="26"/>
          <w:rtl/>
        </w:rPr>
      </w:pPr>
      <w:r>
        <w:rPr>
          <w:rFonts w:cs="David"/>
          <w:sz w:val="26"/>
          <w:szCs w:val="26"/>
          <w:rtl/>
        </w:rPr>
        <w:lastRenderedPageBreak/>
        <w:t>למעשה מצבן של הנשים הערביות לא השתפר מבחינת ייצוגן, אפילו לאחר מתן ייצוג הולם לאוכ</w:t>
      </w:r>
      <w:r>
        <w:rPr>
          <w:rFonts w:cs="David"/>
          <w:sz w:val="26"/>
          <w:szCs w:val="26"/>
          <w:rtl/>
        </w:rPr>
        <w:t xml:space="preserve">לוסיה הערבית בסעיף 18א1, מאחר ואין התייחסות אליהן כקטגוריה ספציפית  שזוכה לייצוג הולם והעדפה מתקנת . דהיינו התיקון בא להוסיף ולא לגרוע  לייצוג  ההולם של האוכלוסייה הערבית. </w:t>
      </w:r>
    </w:p>
    <w:p w:rsidR="00000000" w:rsidRDefault="00016460">
      <w:pPr>
        <w:spacing w:line="360" w:lineRule="auto"/>
        <w:rPr>
          <w:rFonts w:cs="David"/>
          <w:sz w:val="26"/>
          <w:szCs w:val="26"/>
          <w:rtl/>
        </w:rPr>
      </w:pPr>
      <w:r>
        <w:rPr>
          <w:rFonts w:cs="David"/>
          <w:sz w:val="26"/>
          <w:szCs w:val="26"/>
          <w:rtl/>
        </w:rPr>
        <w:t>על כן מוצע לתקן את החוק ולקבוע כי ייצוג הולם של נשים ולמעשה גם של גברים  חובק בתוכו</w:t>
      </w:r>
      <w:r>
        <w:rPr>
          <w:rFonts w:cs="David"/>
          <w:sz w:val="26"/>
          <w:szCs w:val="26"/>
          <w:rtl/>
        </w:rPr>
        <w:t xml:space="preserve"> את כול הקבוצות של הנשים/גברים  עם כל השוני והמגוון הרחב של הבדלים בתוך הנשים/הגברים.</w:t>
      </w:r>
    </w:p>
    <w:p w:rsidR="00000000" w:rsidRDefault="00016460">
      <w:pPr>
        <w:spacing w:line="360" w:lineRule="auto"/>
        <w:rPr>
          <w:rFonts w:cs="David"/>
          <w:sz w:val="26"/>
          <w:szCs w:val="26"/>
          <w:rtl/>
        </w:rPr>
      </w:pPr>
    </w:p>
    <w:p w:rsidR="00000000" w:rsidRDefault="00016460">
      <w:pPr>
        <w:spacing w:line="360" w:lineRule="auto"/>
        <w:rPr>
          <w:rFonts w:cs="David"/>
          <w:sz w:val="26"/>
          <w:szCs w:val="26"/>
          <w:rtl/>
        </w:rPr>
      </w:pPr>
    </w:p>
    <w:p w:rsidR="00000000" w:rsidRDefault="00016460">
      <w:pPr>
        <w:spacing w:line="360" w:lineRule="auto"/>
        <w:rPr>
          <w:rFonts w:cs="David"/>
          <w:sz w:val="26"/>
          <w:szCs w:val="26"/>
          <w:rtl/>
        </w:rPr>
      </w:pPr>
      <w:r>
        <w:rPr>
          <w:rFonts w:cs="David"/>
          <w:sz w:val="26"/>
          <w:szCs w:val="26"/>
          <w:rtl/>
        </w:rPr>
        <w:t>--------------------------</w:t>
      </w:r>
    </w:p>
    <w:p w:rsidR="00000000" w:rsidRDefault="00016460">
      <w:pPr>
        <w:spacing w:line="360" w:lineRule="auto"/>
        <w:rPr>
          <w:rFonts w:cs="David"/>
          <w:sz w:val="26"/>
          <w:szCs w:val="26"/>
          <w:rtl/>
        </w:rPr>
      </w:pPr>
      <w:r>
        <w:rPr>
          <w:rFonts w:cs="David"/>
          <w:sz w:val="26"/>
          <w:szCs w:val="26"/>
          <w:rtl/>
        </w:rPr>
        <w:t>הוגשה ליו"ר הכנסת והסגנים</w:t>
      </w:r>
    </w:p>
    <w:p w:rsidR="00000000" w:rsidRDefault="00016460">
      <w:pPr>
        <w:spacing w:line="360" w:lineRule="auto"/>
        <w:rPr>
          <w:rFonts w:cs="David"/>
          <w:sz w:val="26"/>
          <w:szCs w:val="26"/>
          <w:rtl/>
        </w:rPr>
      </w:pPr>
      <w:r>
        <w:rPr>
          <w:rFonts w:cs="David"/>
          <w:sz w:val="26"/>
          <w:szCs w:val="26"/>
          <w:rtl/>
        </w:rPr>
        <w:t>והונחה על שולחן הכנסת ביום</w:t>
      </w:r>
    </w:p>
    <w:p w:rsidR="00000000" w:rsidRDefault="00016460">
      <w:pPr>
        <w:spacing w:line="360" w:lineRule="auto"/>
        <w:rPr>
          <w:rFonts w:cs="David"/>
          <w:sz w:val="26"/>
          <w:szCs w:val="26"/>
          <w:rtl/>
        </w:rPr>
      </w:pPr>
      <w:r>
        <w:rPr>
          <w:rFonts w:cs="David"/>
          <w:sz w:val="26"/>
          <w:szCs w:val="26"/>
          <w:rtl/>
        </w:rPr>
        <w:t>כ"ד בתשרי התשס"ו - 16.10.06</w:t>
      </w:r>
    </w:p>
    <w:p w:rsidR="00000000" w:rsidRDefault="00016460">
      <w:pPr>
        <w:spacing w:line="360" w:lineRule="auto"/>
        <w:rPr>
          <w:rFonts w:cs="David"/>
          <w:sz w:val="26"/>
          <w:szCs w:val="26"/>
          <w:rtl/>
        </w:rPr>
      </w:pPr>
      <w:r>
        <w:rPr>
          <w:rFonts w:cs="David"/>
          <w:sz w:val="26"/>
          <w:szCs w:val="26"/>
          <w:rtl/>
        </w:rPr>
        <w:t xml:space="preserve"> </w:t>
      </w:r>
    </w:p>
    <w:p w:rsidR="00000000" w:rsidRDefault="00016460">
      <w:pPr>
        <w:pStyle w:val="a3"/>
        <w:jc w:val="left"/>
        <w:rPr>
          <w:rFonts w:cs="David"/>
          <w:sz w:val="26"/>
          <w:szCs w:val="26"/>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16460">
      <w:r>
        <w:separator/>
      </w:r>
    </w:p>
  </w:endnote>
  <w:endnote w:type="continuationSeparator" w:id="0">
    <w:p w:rsidR="00000000" w:rsidRDefault="00016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16460">
      <w:r>
        <w:separator/>
      </w:r>
    </w:p>
  </w:footnote>
  <w:footnote w:type="continuationSeparator" w:id="0">
    <w:p w:rsidR="00000000" w:rsidRDefault="00016460">
      <w:r>
        <w:continuationSeparator/>
      </w:r>
    </w:p>
  </w:footnote>
  <w:footnote w:id="1">
    <w:p w:rsidR="00000000" w:rsidRDefault="00016460">
      <w:pPr>
        <w:pStyle w:val="a8"/>
      </w:pPr>
      <w:r>
        <w:rPr>
          <w:rStyle w:val="aa"/>
          <w:rFonts w:cs="David"/>
        </w:rPr>
        <w:footnoteRef/>
      </w:r>
      <w:r>
        <w:rPr>
          <w:rFonts w:cs="David"/>
          <w:rtl/>
        </w:rPr>
        <w:t xml:space="preserve"> ס"ח התשל"ה, עמ' 132.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16460">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016460">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5215ðãéä çéìå - çáøåú îîùìúéåú ééöåâ äåìí.doc"/>
    <w:docVar w:name="StartMode" w:val="2"/>
  </w:docVars>
  <w:rsids>
    <w:rsidRoot w:val="00016460"/>
    <w:rsid w:val="00016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sz w:val="28"/>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231</Words>
  <Characters>1157</Characters>
  <Application>Microsoft Office Word</Application>
  <DocSecurity>0</DocSecurity>
  <Lines>9</Lines>
  <Paragraphs>2</Paragraphs>
  <ScaleCrop>false</ScaleCrop>
  <Company>knesset</Company>
  <LinksUpToDate>false</LinksUpToDate>
  <CharactersWithSpaces>1386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החברות הממשלתיות (תיקון - ייצוג הולם), התשס"ו-2006</dc:title>
  <dc:subject/>
  <dc:creator>Knesset</dc:creator>
  <cp:keywords/>
  <dc:description/>
  <cp:lastModifiedBy>שמואל כוכב</cp:lastModifiedBy>
  <cp:revision>2</cp:revision>
  <cp:lastPrinted>2006-09-05T10:44:00Z</cp:lastPrinted>
  <dcterms:created xsi:type="dcterms:W3CDTF">2015-02-03T17:00:00Z</dcterms:created>
  <dcterms:modified xsi:type="dcterms:W3CDTF">2015-02-03T17:00:00Z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נדיה חילו</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04832006</vt:lpwstr>
  </property>
  <property fmtid="{D5CDD505-2E9C-101B-9397-08002B2CF9AE}" pid="10" name="מספר הצעת חוק למיון">
    <vt:lpwstr>1568</vt:lpwstr>
  </property>
  <property fmtid="{D5CDD505-2E9C-101B-9397-08002B2CF9AE}" pid="11" name="SDDocDate">
    <vt:lpwstr>2006-09-20T00:00:00Z</vt:lpwstr>
  </property>
  <property fmtid="{D5CDD505-2E9C-101B-9397-08002B2CF9AE}" pid="12" name="SDHebDate">
    <vt:lpwstr>כ"ז באלול, התשס"ו</vt:lpwstr>
  </property>
  <property fmtid="{D5CDD505-2E9C-101B-9397-08002B2CF9AE}" pid="13" name="SDCategories">
    <vt:lpwstr>:דף הבית:נושאים:חקיקה:נוסח לדיון מוקדם;#</vt:lpwstr>
  </property>
  <property fmtid="{D5CDD505-2E9C-101B-9397-08002B2CF9AE}" pid="14" name="תאריך הנחה">
    <vt:lpwstr/>
  </property>
  <property fmtid="{D5CDD505-2E9C-101B-9397-08002B2CF9AE}" pid="15" name="Vaada">
    <vt:lpwstr/>
  </property>
  <property fmtid="{D5CDD505-2E9C-101B-9397-08002B2CF9AE}" pid="16" name="HebrewDate">
    <vt:lpwstr/>
  </property>
  <property fmtid="{D5CDD505-2E9C-101B-9397-08002B2CF9AE}" pid="17" name="SDAuthor">
    <vt:lpwstr>עדי טייכר</vt:lpwstr>
  </property>
  <property fmtid="{D5CDD505-2E9C-101B-9397-08002B2CF9AE}" pid="18" name="MechaberMismach">
    <vt:lpwstr/>
  </property>
  <property fmtid="{D5CDD505-2E9C-101B-9397-08002B2CF9AE}" pid="19" name="MisHatzaatChok">
    <vt:lpwstr>פ/1568/17</vt:lpwstr>
  </property>
  <property fmtid="{D5CDD505-2E9C-101B-9397-08002B2CF9AE}" pid="20" name="SDRemark">
    <vt:lpwstr/>
  </property>
  <property fmtid="{D5CDD505-2E9C-101B-9397-08002B2CF9AE}" pid="21" name="SDOfflineTo">
    <vt:lpwstr/>
  </property>
  <property fmtid="{D5CDD505-2E9C-101B-9397-08002B2CF9AE}" pid="22" name="SDDistList">
    <vt:lpwstr/>
  </property>
  <property fmtid="{D5CDD505-2E9C-101B-9397-08002B2CF9AE}" pid="23" name="SDDistDate">
    <vt:lpwstr/>
  </property>
  <property fmtid="{D5CDD505-2E9C-101B-9397-08002B2CF9AE}" pid="24" name="SDOriginalID">
    <vt:lpwstr/>
  </property>
  <property fmtid="{D5CDD505-2E9C-101B-9397-08002B2CF9AE}" pid="25" name="SDSenderName">
    <vt:lpwstr/>
  </property>
  <property fmtid="{D5CDD505-2E9C-101B-9397-08002B2CF9AE}" pid="26" name="SDToList">
    <vt:lpwstr/>
  </property>
  <property fmtid="{D5CDD505-2E9C-101B-9397-08002B2CF9AE}" pid="27" name="SDCCList">
    <vt:lpwstr/>
  </property>
  <property fmtid="{D5CDD505-2E9C-101B-9397-08002B2CF9AE}" pid="28" name="STHasReminders">
    <vt:lpwstr>0</vt:lpwstr>
  </property>
  <property fmtid="{D5CDD505-2E9C-101B-9397-08002B2CF9AE}" pid="29" name="SDLink">
    <vt:lpwstr>, </vt:lpwstr>
  </property>
  <property fmtid="{D5CDD505-2E9C-101B-9397-08002B2CF9AE}" pid="30" name="Num_Gim1">
    <vt:lpwstr/>
  </property>
  <property fmtid="{D5CDD505-2E9C-101B-9397-08002B2CF9AE}" pid="31" name="NoseA">
    <vt:lpwstr/>
  </property>
  <property fmtid="{D5CDD505-2E9C-101B-9397-08002B2CF9AE}" pid="32" name="NoseB">
    <vt:lpwstr/>
  </property>
  <property fmtid="{D5CDD505-2E9C-101B-9397-08002B2CF9AE}" pid="33" name="knesset_number">
    <vt:lpwstr/>
  </property>
  <property fmtid="{D5CDD505-2E9C-101B-9397-08002B2CF9AE}" pid="34" name="ValidFrom">
    <vt:lpwstr/>
  </property>
  <property fmtid="{D5CDD505-2E9C-101B-9397-08002B2CF9AE}" pid="35" name="ValidUntill">
    <vt:lpwstr/>
  </property>
  <property fmtid="{D5CDD505-2E9C-101B-9397-08002B2CF9AE}" pid="36" name="To1">
    <vt:lpwstr/>
  </property>
  <property fmtid="{D5CDD505-2E9C-101B-9397-08002B2CF9AE}" pid="37" name="From">
    <vt:lpwstr/>
  </property>
  <property fmtid="{D5CDD505-2E9C-101B-9397-08002B2CF9AE}" pid="38" name="body">
    <vt:lpwstr/>
  </property>
</Properties>
</file>