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03D72">
      <w:pPr>
        <w:pStyle w:val="a6"/>
        <w:bidi w:val="0"/>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503D72">
      <w:pPr>
        <w:spacing w:line="360" w:lineRule="auto"/>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3348"/>
      </w:tblGrid>
      <w:tr w:rsidR="00000000">
        <w:tblPrEx>
          <w:tblCellMar>
            <w:top w:w="0" w:type="dxa"/>
            <w:bottom w:w="0" w:type="dxa"/>
          </w:tblCellMar>
        </w:tblPrEx>
        <w:tc>
          <w:tcPr>
            <w:tcW w:w="3348" w:type="dxa"/>
            <w:tcBorders>
              <w:top w:val="nil"/>
              <w:left w:val="nil"/>
              <w:bottom w:val="single" w:sz="4" w:space="0" w:color="auto"/>
              <w:right w:val="nil"/>
            </w:tcBorders>
          </w:tcPr>
          <w:p w:rsidR="00000000" w:rsidRDefault="00503D72">
            <w:pPr>
              <w:spacing w:after="120"/>
              <w:rPr>
                <w:rFonts w:cs="David"/>
                <w:sz w:val="26"/>
                <w:szCs w:val="26"/>
              </w:rPr>
            </w:pPr>
            <w:r>
              <w:rPr>
                <w:rFonts w:cs="David"/>
                <w:sz w:val="26"/>
                <w:szCs w:val="26"/>
                <w:rtl/>
              </w:rPr>
              <w:t>הצעת</w:t>
            </w:r>
            <w:r>
              <w:rPr>
                <w:rFonts w:cs="David"/>
                <w:sz w:val="26"/>
                <w:szCs w:val="26"/>
              </w:rPr>
              <w:t xml:space="preserve"> </w:t>
            </w:r>
            <w:r>
              <w:rPr>
                <w:rFonts w:cs="David"/>
                <w:sz w:val="26"/>
                <w:szCs w:val="26"/>
                <w:rtl/>
              </w:rPr>
              <w:t>חוק של חב</w:t>
            </w:r>
            <w:r>
              <w:rPr>
                <w:rFonts w:cs="David"/>
                <w:sz w:val="26"/>
                <w:szCs w:val="26"/>
                <w:rtl/>
              </w:rPr>
              <w:t xml:space="preserve">ר הכנסת </w:t>
            </w:r>
            <w:r>
              <w:rPr>
                <w:rFonts w:cs="David"/>
                <w:b/>
                <w:bCs/>
                <w:sz w:val="26"/>
                <w:szCs w:val="26"/>
                <w:rtl/>
              </w:rPr>
              <w:t>רן כהן</w:t>
            </w:r>
          </w:p>
        </w:tc>
      </w:tr>
    </w:tbl>
    <w:p w:rsidR="00000000" w:rsidRDefault="00503D72">
      <w:pPr>
        <w:spacing w:line="360" w:lineRule="auto"/>
        <w:rPr>
          <w:rFonts w:cs="David"/>
          <w:b/>
          <w:bCs/>
          <w:sz w:val="26"/>
          <w:szCs w:val="26"/>
          <w:rtl/>
        </w:rPr>
      </w:pPr>
      <w:r>
        <w:rPr>
          <w:noProof/>
          <w:lang w:eastAsia="en-US"/>
        </w:rPr>
        <w:pict>
          <v:shapetype id="_x0000_t202" coordsize="21600,21600" o:spt="202" path="m,l,21600r21600,l21600,xe">
            <v:stroke joinstyle="miter"/>
            <v:path gradientshapeok="t" o:connecttype="rect"/>
          </v:shapetype>
          <v:shape id="_x0000_s1026" type="#_x0000_t202" style="position:absolute;left:0;text-align:left;margin-left:89.85pt;margin-top:2pt;width:54pt;height:18pt;z-index:251658240;mso-position-horizontal-relative:text;mso-position-vertical-relative:text" stroked="f">
            <v:textbox style="mso-next-textbox:#_x0000_s1026" inset="0,0,0,0">
              <w:txbxContent>
                <w:p w:rsidR="00000000" w:rsidRDefault="00503D72">
                  <w:pPr>
                    <w:rPr>
                      <w:rtl/>
                    </w:rPr>
                  </w:pPr>
                </w:p>
              </w:txbxContent>
            </v:textbox>
            <w10:anchorlock/>
          </v:shape>
        </w:pict>
      </w:r>
      <w:r>
        <w:rPr>
          <w:rFonts w:cs="David"/>
          <w:sz w:val="26"/>
          <w:szCs w:val="26"/>
          <w:rtl/>
        </w:rPr>
        <w:t xml:space="preserve">                                                                                                                           </w:t>
      </w:r>
      <w:r>
        <w:rPr>
          <w:rFonts w:cs="David"/>
          <w:b/>
          <w:bCs/>
          <w:sz w:val="26"/>
          <w:szCs w:val="26"/>
          <w:rtl/>
        </w:rPr>
        <w:t>פ/377/17</w:t>
      </w:r>
    </w:p>
    <w:p w:rsidR="00000000" w:rsidRDefault="00503D72">
      <w:pPr>
        <w:spacing w:line="360" w:lineRule="auto"/>
        <w:rPr>
          <w:rtl/>
        </w:rPr>
      </w:pPr>
    </w:p>
    <w:p w:rsidR="00000000" w:rsidRDefault="00503D72">
      <w:pPr>
        <w:spacing w:line="360" w:lineRule="auto"/>
        <w:jc w:val="center"/>
        <w:rPr>
          <w:rFonts w:cs="David"/>
          <w:b/>
          <w:bCs/>
          <w:sz w:val="28"/>
          <w:szCs w:val="28"/>
          <w:rtl/>
        </w:rPr>
      </w:pPr>
      <w:bookmarkStart w:id="1" w:name="Title"/>
      <w:r>
        <w:rPr>
          <w:rFonts w:cs="David"/>
          <w:b/>
          <w:bCs/>
          <w:sz w:val="28"/>
          <w:szCs w:val="28"/>
          <w:rtl/>
        </w:rPr>
        <w:t>הצעת חוק סדר הדין הפלילי (תיקון - שיפוט מהיר בעבירות מין ואלימות במשפחה) התשס"ו 2006</w:t>
      </w:r>
      <w:bookmarkEnd w:id="1"/>
    </w:p>
    <w:p w:rsidR="00000000" w:rsidRDefault="00503D72">
      <w:pPr>
        <w:spacing w:line="360" w:lineRule="auto"/>
      </w:pPr>
    </w:p>
    <w:tbl>
      <w:tblPr>
        <w:bidiVisual/>
        <w:tblW w:w="8710" w:type="dxa"/>
        <w:tblInd w:w="-188" w:type="dxa"/>
        <w:tblLook w:val="0000" w:firstRow="0" w:lastRow="0" w:firstColumn="0" w:lastColumn="0" w:noHBand="0" w:noVBand="0"/>
      </w:tblPr>
      <w:tblGrid>
        <w:gridCol w:w="1211"/>
        <w:gridCol w:w="537"/>
        <w:gridCol w:w="583"/>
        <w:gridCol w:w="869"/>
        <w:gridCol w:w="14"/>
        <w:gridCol w:w="663"/>
        <w:gridCol w:w="46"/>
        <w:gridCol w:w="4787"/>
      </w:tblGrid>
      <w:tr w:rsidR="00000000">
        <w:trPr>
          <w:trHeight w:val="490"/>
        </w:trPr>
        <w:tc>
          <w:tcPr>
            <w:tcW w:w="1214" w:type="dxa"/>
            <w:tcBorders>
              <w:top w:val="nil"/>
              <w:left w:val="nil"/>
              <w:bottom w:val="nil"/>
              <w:right w:val="nil"/>
            </w:tcBorders>
          </w:tcPr>
          <w:p w:rsidR="00000000" w:rsidRDefault="00503D72">
            <w:pPr>
              <w:rPr>
                <w:rFonts w:cs="David"/>
                <w:sz w:val="26"/>
                <w:szCs w:val="26"/>
                <w:rtl/>
              </w:rPr>
            </w:pPr>
            <w:r>
              <w:rPr>
                <w:rFonts w:cs="David"/>
                <w:sz w:val="26"/>
                <w:szCs w:val="26"/>
                <w:rtl/>
              </w:rPr>
              <w:t>הוספת ס</w:t>
            </w:r>
            <w:r>
              <w:rPr>
                <w:rFonts w:cs="David"/>
                <w:sz w:val="26"/>
                <w:szCs w:val="26"/>
                <w:rtl/>
              </w:rPr>
              <w:t>עיף 67א</w:t>
            </w:r>
          </w:p>
        </w:tc>
        <w:tc>
          <w:tcPr>
            <w:tcW w:w="540" w:type="dxa"/>
            <w:tcBorders>
              <w:top w:val="nil"/>
              <w:left w:val="nil"/>
              <w:bottom w:val="nil"/>
              <w:right w:val="nil"/>
            </w:tcBorders>
          </w:tcPr>
          <w:p w:rsidR="00000000" w:rsidRDefault="00503D72">
            <w:pPr>
              <w:spacing w:line="360" w:lineRule="auto"/>
              <w:rPr>
                <w:rFonts w:cs="David"/>
                <w:sz w:val="26"/>
                <w:szCs w:val="26"/>
                <w:rtl/>
              </w:rPr>
            </w:pPr>
            <w:r>
              <w:rPr>
                <w:rFonts w:cs="David"/>
                <w:sz w:val="26"/>
                <w:szCs w:val="26"/>
                <w:rtl/>
              </w:rPr>
              <w:t>1.</w:t>
            </w:r>
          </w:p>
        </w:tc>
        <w:tc>
          <w:tcPr>
            <w:tcW w:w="6956" w:type="dxa"/>
            <w:gridSpan w:val="6"/>
            <w:tcBorders>
              <w:top w:val="nil"/>
              <w:left w:val="nil"/>
              <w:bottom w:val="nil"/>
              <w:right w:val="nil"/>
            </w:tcBorders>
          </w:tcPr>
          <w:p w:rsidR="00000000" w:rsidRDefault="00503D72">
            <w:pPr>
              <w:spacing w:line="360" w:lineRule="auto"/>
              <w:rPr>
                <w:rFonts w:cs="David"/>
                <w:sz w:val="26"/>
                <w:szCs w:val="26"/>
                <w:rtl/>
              </w:rPr>
            </w:pPr>
            <w:r>
              <w:rPr>
                <w:rFonts w:cs="David"/>
                <w:sz w:val="26"/>
                <w:szCs w:val="26"/>
                <w:rtl/>
              </w:rPr>
              <w:t>בחוק סדר הדין הפלילי [נוסח משולב], התשמ"ב-1982</w:t>
            </w:r>
            <w:r>
              <w:rPr>
                <w:rStyle w:val="a5"/>
                <w:rFonts w:cs="David"/>
                <w:sz w:val="26"/>
                <w:szCs w:val="26"/>
                <w:rtl/>
              </w:rPr>
              <w:footnoteReference w:id="1"/>
            </w:r>
            <w:r>
              <w:rPr>
                <w:rFonts w:cs="David"/>
                <w:sz w:val="26"/>
                <w:szCs w:val="26"/>
                <w:rtl/>
              </w:rPr>
              <w:t xml:space="preserve"> (להלן – החוק העיקרי), אחרי סעיף 67 יבוא:</w:t>
            </w:r>
          </w:p>
          <w:p w:rsidR="00000000" w:rsidRDefault="00503D72">
            <w:pPr>
              <w:spacing w:line="360" w:lineRule="auto"/>
              <w:rPr>
                <w:rFonts w:cs="David"/>
                <w:sz w:val="26"/>
                <w:szCs w:val="26"/>
                <w:rtl/>
              </w:rPr>
            </w:pPr>
          </w:p>
        </w:tc>
      </w:tr>
      <w:tr w:rsidR="00000000">
        <w:trPr>
          <w:trHeight w:val="490"/>
        </w:trPr>
        <w:tc>
          <w:tcPr>
            <w:tcW w:w="1214" w:type="dxa"/>
            <w:tcBorders>
              <w:top w:val="nil"/>
              <w:left w:val="nil"/>
              <w:bottom w:val="nil"/>
              <w:right w:val="nil"/>
            </w:tcBorders>
          </w:tcPr>
          <w:p w:rsidR="00000000" w:rsidRDefault="00503D72">
            <w:pPr>
              <w:rPr>
                <w:rFonts w:cs="David"/>
                <w:sz w:val="26"/>
                <w:szCs w:val="26"/>
                <w:rtl/>
              </w:rPr>
            </w:pPr>
          </w:p>
        </w:tc>
        <w:tc>
          <w:tcPr>
            <w:tcW w:w="540" w:type="dxa"/>
            <w:tcBorders>
              <w:top w:val="nil"/>
              <w:left w:val="nil"/>
              <w:bottom w:val="nil"/>
              <w:right w:val="nil"/>
            </w:tcBorders>
          </w:tcPr>
          <w:p w:rsidR="00000000" w:rsidRDefault="00503D72">
            <w:pPr>
              <w:spacing w:line="360" w:lineRule="auto"/>
              <w:rPr>
                <w:rFonts w:cs="David"/>
                <w:sz w:val="26"/>
                <w:szCs w:val="26"/>
                <w:rtl/>
              </w:rPr>
            </w:pPr>
          </w:p>
        </w:tc>
        <w:tc>
          <w:tcPr>
            <w:tcW w:w="1460" w:type="dxa"/>
            <w:gridSpan w:val="2"/>
            <w:tcBorders>
              <w:top w:val="nil"/>
              <w:left w:val="nil"/>
              <w:bottom w:val="nil"/>
              <w:right w:val="nil"/>
            </w:tcBorders>
          </w:tcPr>
          <w:p w:rsidR="00000000" w:rsidRDefault="00503D72">
            <w:pPr>
              <w:rPr>
                <w:rFonts w:cs="David"/>
                <w:sz w:val="26"/>
                <w:szCs w:val="26"/>
                <w:rtl/>
              </w:rPr>
            </w:pPr>
            <w:r>
              <w:rPr>
                <w:rFonts w:cs="David"/>
                <w:sz w:val="26"/>
                <w:szCs w:val="26"/>
                <w:rtl/>
              </w:rPr>
              <w:t>"כתב אישום בעבירות מין ואלימות במשפחה</w:t>
            </w:r>
          </w:p>
        </w:tc>
        <w:tc>
          <w:tcPr>
            <w:tcW w:w="628" w:type="dxa"/>
            <w:gridSpan w:val="3"/>
            <w:tcBorders>
              <w:top w:val="nil"/>
              <w:left w:val="nil"/>
              <w:bottom w:val="nil"/>
              <w:right w:val="nil"/>
            </w:tcBorders>
          </w:tcPr>
          <w:p w:rsidR="00000000" w:rsidRDefault="00503D72">
            <w:pPr>
              <w:spacing w:line="360" w:lineRule="auto"/>
              <w:jc w:val="both"/>
              <w:rPr>
                <w:rFonts w:cs="David"/>
                <w:sz w:val="26"/>
                <w:szCs w:val="26"/>
                <w:rtl/>
              </w:rPr>
            </w:pPr>
            <w:r>
              <w:rPr>
                <w:rFonts w:cs="David"/>
                <w:sz w:val="26"/>
                <w:szCs w:val="26"/>
                <w:rtl/>
              </w:rPr>
              <w:t>67א.</w:t>
            </w:r>
          </w:p>
        </w:tc>
        <w:tc>
          <w:tcPr>
            <w:tcW w:w="4868" w:type="dxa"/>
            <w:tcBorders>
              <w:top w:val="nil"/>
              <w:left w:val="nil"/>
              <w:bottom w:val="nil"/>
              <w:right w:val="nil"/>
            </w:tcBorders>
          </w:tcPr>
          <w:p w:rsidR="00000000" w:rsidRDefault="00503D72">
            <w:pPr>
              <w:spacing w:line="360" w:lineRule="auto"/>
              <w:jc w:val="both"/>
              <w:rPr>
                <w:rFonts w:cs="David"/>
                <w:sz w:val="26"/>
                <w:szCs w:val="26"/>
                <w:rtl/>
              </w:rPr>
            </w:pPr>
            <w:r>
              <w:rPr>
                <w:rFonts w:cs="David"/>
                <w:sz w:val="26"/>
                <w:szCs w:val="26"/>
                <w:rtl/>
              </w:rPr>
              <w:t>הורה בית המשפט על מעצרו של חשוד בעבירת מין ואלימות במשפחה כאמור בסעיף 17א לחוק סדר הדין</w:t>
            </w:r>
            <w:r>
              <w:rPr>
                <w:rFonts w:cs="David"/>
                <w:sz w:val="26"/>
                <w:szCs w:val="26"/>
                <w:rtl/>
              </w:rPr>
              <w:t xml:space="preserve"> הפלילי (סמכויות אכיפה – מעצרים), התשנ"ו-1996</w:t>
            </w:r>
            <w:r>
              <w:rPr>
                <w:rStyle w:val="a5"/>
                <w:rFonts w:cs="David"/>
                <w:sz w:val="26"/>
                <w:szCs w:val="26"/>
                <w:rtl/>
              </w:rPr>
              <w:footnoteReference w:id="2"/>
            </w:r>
            <w:r>
              <w:rPr>
                <w:rFonts w:cs="David"/>
                <w:sz w:val="26"/>
                <w:szCs w:val="26"/>
                <w:rtl/>
              </w:rPr>
              <w:t xml:space="preserve"> (בחוק זה– חוק המעצרים), וסבר תובע כי הוא אדם שיש להעמידו לדין, יגיש עליו תובע כתב אישום לבית המשפט עד תום שבעה ימים מיום מעצרו או עד תום תקופת מעצרו לפי סעיף 17א האמור, לפי המאוחר."</w:t>
            </w:r>
          </w:p>
          <w:p w:rsidR="00000000" w:rsidRDefault="00503D72">
            <w:pPr>
              <w:spacing w:line="360" w:lineRule="auto"/>
              <w:jc w:val="both"/>
              <w:rPr>
                <w:rFonts w:cs="David"/>
                <w:sz w:val="26"/>
                <w:szCs w:val="26"/>
                <w:rtl/>
              </w:rPr>
            </w:pPr>
          </w:p>
        </w:tc>
      </w:tr>
      <w:tr w:rsidR="00000000">
        <w:trPr>
          <w:trHeight w:val="490"/>
        </w:trPr>
        <w:tc>
          <w:tcPr>
            <w:tcW w:w="1214" w:type="dxa"/>
            <w:tcBorders>
              <w:top w:val="nil"/>
              <w:left w:val="nil"/>
              <w:bottom w:val="nil"/>
              <w:right w:val="nil"/>
            </w:tcBorders>
          </w:tcPr>
          <w:p w:rsidR="00000000" w:rsidRDefault="00503D72">
            <w:pPr>
              <w:rPr>
                <w:rFonts w:cs="David"/>
                <w:sz w:val="26"/>
                <w:szCs w:val="26"/>
                <w:rtl/>
              </w:rPr>
            </w:pPr>
            <w:r>
              <w:rPr>
                <w:rFonts w:cs="David"/>
                <w:sz w:val="26"/>
                <w:szCs w:val="26"/>
                <w:rtl/>
              </w:rPr>
              <w:t>תי</w:t>
            </w:r>
            <w:r>
              <w:rPr>
                <w:rFonts w:cs="David"/>
                <w:sz w:val="26"/>
                <w:szCs w:val="26"/>
                <w:rtl/>
              </w:rPr>
              <w:t>קון סעיף 143</w:t>
            </w:r>
          </w:p>
          <w:p w:rsidR="00000000" w:rsidRDefault="00503D72">
            <w:pPr>
              <w:rPr>
                <w:rFonts w:cs="David"/>
                <w:sz w:val="26"/>
                <w:szCs w:val="26"/>
                <w:rtl/>
              </w:rPr>
            </w:pPr>
          </w:p>
        </w:tc>
        <w:tc>
          <w:tcPr>
            <w:tcW w:w="540" w:type="dxa"/>
            <w:tcBorders>
              <w:top w:val="nil"/>
              <w:left w:val="nil"/>
              <w:bottom w:val="nil"/>
              <w:right w:val="nil"/>
            </w:tcBorders>
          </w:tcPr>
          <w:p w:rsidR="00000000" w:rsidRDefault="00503D72">
            <w:pPr>
              <w:spacing w:line="360" w:lineRule="auto"/>
              <w:rPr>
                <w:rFonts w:cs="David"/>
                <w:sz w:val="26"/>
                <w:szCs w:val="26"/>
                <w:rtl/>
              </w:rPr>
            </w:pPr>
            <w:r>
              <w:rPr>
                <w:rFonts w:cs="David"/>
                <w:sz w:val="26"/>
                <w:szCs w:val="26"/>
                <w:rtl/>
              </w:rPr>
              <w:t xml:space="preserve">2. </w:t>
            </w:r>
          </w:p>
        </w:tc>
        <w:tc>
          <w:tcPr>
            <w:tcW w:w="6956" w:type="dxa"/>
            <w:gridSpan w:val="6"/>
            <w:tcBorders>
              <w:top w:val="nil"/>
              <w:left w:val="nil"/>
              <w:bottom w:val="nil"/>
              <w:right w:val="nil"/>
            </w:tcBorders>
          </w:tcPr>
          <w:p w:rsidR="00000000" w:rsidRDefault="00503D72">
            <w:pPr>
              <w:spacing w:line="360" w:lineRule="auto"/>
              <w:jc w:val="both"/>
              <w:rPr>
                <w:rFonts w:cs="David"/>
                <w:sz w:val="26"/>
                <w:szCs w:val="26"/>
                <w:rtl/>
              </w:rPr>
            </w:pPr>
            <w:r>
              <w:rPr>
                <w:rFonts w:cs="David"/>
                <w:sz w:val="26"/>
                <w:szCs w:val="26"/>
                <w:rtl/>
              </w:rPr>
              <w:t>בסעיף 143 לחוק העיקרי, האמור בו יסומן "(א)" ובסופו יבוא:</w:t>
            </w:r>
          </w:p>
        </w:tc>
      </w:tr>
      <w:tr w:rsidR="00000000">
        <w:trPr>
          <w:trHeight w:val="490"/>
        </w:trPr>
        <w:tc>
          <w:tcPr>
            <w:tcW w:w="1214" w:type="dxa"/>
            <w:tcBorders>
              <w:top w:val="nil"/>
              <w:left w:val="nil"/>
              <w:bottom w:val="nil"/>
              <w:right w:val="nil"/>
            </w:tcBorders>
          </w:tcPr>
          <w:p w:rsidR="00000000" w:rsidRDefault="00503D72">
            <w:pPr>
              <w:rPr>
                <w:rFonts w:cs="David"/>
                <w:sz w:val="26"/>
                <w:szCs w:val="26"/>
                <w:rtl/>
              </w:rPr>
            </w:pPr>
          </w:p>
        </w:tc>
        <w:tc>
          <w:tcPr>
            <w:tcW w:w="540" w:type="dxa"/>
            <w:tcBorders>
              <w:top w:val="nil"/>
              <w:left w:val="nil"/>
              <w:bottom w:val="nil"/>
              <w:right w:val="nil"/>
            </w:tcBorders>
          </w:tcPr>
          <w:p w:rsidR="00000000" w:rsidRDefault="00503D72">
            <w:pPr>
              <w:spacing w:line="360" w:lineRule="auto"/>
              <w:rPr>
                <w:rFonts w:cs="David"/>
                <w:sz w:val="26"/>
                <w:szCs w:val="26"/>
                <w:rtl/>
              </w:rPr>
            </w:pPr>
          </w:p>
        </w:tc>
        <w:tc>
          <w:tcPr>
            <w:tcW w:w="582" w:type="dxa"/>
            <w:tcBorders>
              <w:top w:val="nil"/>
              <w:left w:val="nil"/>
              <w:bottom w:val="nil"/>
              <w:right w:val="nil"/>
            </w:tcBorders>
          </w:tcPr>
          <w:p w:rsidR="00000000" w:rsidRDefault="00503D72">
            <w:pPr>
              <w:spacing w:line="360" w:lineRule="auto"/>
              <w:rPr>
                <w:rFonts w:cs="David"/>
                <w:sz w:val="26"/>
                <w:szCs w:val="26"/>
                <w:rtl/>
              </w:rPr>
            </w:pPr>
            <w:r>
              <w:rPr>
                <w:rFonts w:cs="David"/>
                <w:sz w:val="26"/>
                <w:szCs w:val="26"/>
                <w:rtl/>
              </w:rPr>
              <w:t>"(ב)</w:t>
            </w:r>
          </w:p>
        </w:tc>
        <w:tc>
          <w:tcPr>
            <w:tcW w:w="6374" w:type="dxa"/>
            <w:gridSpan w:val="5"/>
            <w:tcBorders>
              <w:top w:val="nil"/>
              <w:left w:val="nil"/>
              <w:bottom w:val="nil"/>
              <w:right w:val="nil"/>
            </w:tcBorders>
          </w:tcPr>
          <w:p w:rsidR="00000000" w:rsidRDefault="00503D72">
            <w:pPr>
              <w:spacing w:line="360" w:lineRule="auto"/>
              <w:jc w:val="both"/>
              <w:rPr>
                <w:rFonts w:cs="David"/>
                <w:sz w:val="26"/>
                <w:szCs w:val="26"/>
                <w:rtl/>
              </w:rPr>
            </w:pPr>
            <w:r>
              <w:rPr>
                <w:rFonts w:cs="David"/>
                <w:sz w:val="26"/>
                <w:szCs w:val="26"/>
                <w:rtl/>
              </w:rPr>
              <w:t>תחילת המשפט כאמור בסעיף קטן (א) תתקיים, לעניין נאשם בעבירה צו עבירות המנויות בסעיף 17א לחוק המעצרים, בסמן ככל האפשר למועד הגשת כתב האישום בעניינו".</w:t>
            </w:r>
          </w:p>
          <w:p w:rsidR="00000000" w:rsidRDefault="00503D72">
            <w:pPr>
              <w:spacing w:line="360" w:lineRule="auto"/>
              <w:jc w:val="both"/>
              <w:rPr>
                <w:rFonts w:cs="David"/>
                <w:sz w:val="26"/>
                <w:szCs w:val="26"/>
                <w:rtl/>
              </w:rPr>
            </w:pPr>
          </w:p>
        </w:tc>
      </w:tr>
      <w:tr w:rsidR="00000000">
        <w:trPr>
          <w:trHeight w:val="490"/>
        </w:trPr>
        <w:tc>
          <w:tcPr>
            <w:tcW w:w="1214" w:type="dxa"/>
            <w:tcBorders>
              <w:top w:val="nil"/>
              <w:left w:val="nil"/>
              <w:bottom w:val="nil"/>
              <w:right w:val="nil"/>
            </w:tcBorders>
          </w:tcPr>
          <w:p w:rsidR="00000000" w:rsidRDefault="00503D72">
            <w:pPr>
              <w:rPr>
                <w:rFonts w:cs="David"/>
                <w:sz w:val="26"/>
                <w:szCs w:val="26"/>
                <w:rtl/>
              </w:rPr>
            </w:pPr>
            <w:r>
              <w:rPr>
                <w:rFonts w:cs="David"/>
                <w:sz w:val="26"/>
                <w:szCs w:val="26"/>
                <w:rtl/>
              </w:rPr>
              <w:t>תיקון חוק סדר הדין הפלי</w:t>
            </w:r>
            <w:r>
              <w:rPr>
                <w:rFonts w:cs="David"/>
                <w:sz w:val="26"/>
                <w:szCs w:val="26"/>
                <w:rtl/>
              </w:rPr>
              <w:t>לי (סמכויות אכיפה – מעצרים)</w:t>
            </w:r>
          </w:p>
        </w:tc>
        <w:tc>
          <w:tcPr>
            <w:tcW w:w="540" w:type="dxa"/>
            <w:tcBorders>
              <w:top w:val="nil"/>
              <w:left w:val="nil"/>
              <w:bottom w:val="nil"/>
              <w:right w:val="nil"/>
            </w:tcBorders>
          </w:tcPr>
          <w:p w:rsidR="00000000" w:rsidRDefault="00503D72">
            <w:pPr>
              <w:spacing w:line="360" w:lineRule="auto"/>
              <w:rPr>
                <w:rFonts w:cs="David"/>
                <w:sz w:val="26"/>
                <w:szCs w:val="26"/>
                <w:rtl/>
              </w:rPr>
            </w:pPr>
            <w:r>
              <w:rPr>
                <w:rFonts w:cs="David"/>
                <w:sz w:val="26"/>
                <w:szCs w:val="26"/>
                <w:rtl/>
              </w:rPr>
              <w:t>3.</w:t>
            </w:r>
          </w:p>
        </w:tc>
        <w:tc>
          <w:tcPr>
            <w:tcW w:w="6956" w:type="dxa"/>
            <w:gridSpan w:val="6"/>
            <w:tcBorders>
              <w:top w:val="nil"/>
              <w:left w:val="nil"/>
              <w:bottom w:val="nil"/>
              <w:right w:val="nil"/>
            </w:tcBorders>
          </w:tcPr>
          <w:p w:rsidR="00000000" w:rsidRDefault="00503D72">
            <w:pPr>
              <w:spacing w:line="360" w:lineRule="auto"/>
              <w:jc w:val="both"/>
              <w:rPr>
                <w:rFonts w:cs="David"/>
                <w:sz w:val="26"/>
                <w:szCs w:val="26"/>
                <w:rtl/>
              </w:rPr>
            </w:pPr>
            <w:r>
              <w:rPr>
                <w:rFonts w:cs="David"/>
                <w:sz w:val="26"/>
                <w:szCs w:val="26"/>
                <w:rtl/>
              </w:rPr>
              <w:t>בחוק סדר הדין הפלילי (סמכויות אכיפה – מעצרים), התשנ"ו-1996, אחרי סעיף 17 יבוא:</w:t>
            </w:r>
          </w:p>
        </w:tc>
      </w:tr>
      <w:tr w:rsidR="00000000">
        <w:trPr>
          <w:trHeight w:val="490"/>
        </w:trPr>
        <w:tc>
          <w:tcPr>
            <w:tcW w:w="1214" w:type="dxa"/>
            <w:tcBorders>
              <w:top w:val="nil"/>
              <w:left w:val="nil"/>
              <w:bottom w:val="nil"/>
              <w:right w:val="nil"/>
            </w:tcBorders>
          </w:tcPr>
          <w:p w:rsidR="00000000" w:rsidRDefault="00503D72">
            <w:pPr>
              <w:rPr>
                <w:rFonts w:cs="David"/>
                <w:sz w:val="26"/>
                <w:szCs w:val="26"/>
                <w:rtl/>
              </w:rPr>
            </w:pPr>
          </w:p>
        </w:tc>
        <w:tc>
          <w:tcPr>
            <w:tcW w:w="540" w:type="dxa"/>
            <w:tcBorders>
              <w:top w:val="nil"/>
              <w:left w:val="nil"/>
              <w:bottom w:val="nil"/>
              <w:right w:val="nil"/>
            </w:tcBorders>
          </w:tcPr>
          <w:p w:rsidR="00000000" w:rsidRDefault="00503D72">
            <w:pPr>
              <w:spacing w:line="360" w:lineRule="auto"/>
              <w:rPr>
                <w:rFonts w:cs="David"/>
                <w:sz w:val="26"/>
                <w:szCs w:val="26"/>
                <w:rtl/>
              </w:rPr>
            </w:pPr>
          </w:p>
        </w:tc>
        <w:tc>
          <w:tcPr>
            <w:tcW w:w="1474" w:type="dxa"/>
            <w:gridSpan w:val="3"/>
            <w:tcBorders>
              <w:top w:val="nil"/>
              <w:left w:val="nil"/>
              <w:bottom w:val="nil"/>
              <w:right w:val="nil"/>
            </w:tcBorders>
          </w:tcPr>
          <w:p w:rsidR="00000000" w:rsidRDefault="00503D72">
            <w:pPr>
              <w:rPr>
                <w:rFonts w:cs="David"/>
                <w:sz w:val="26"/>
                <w:szCs w:val="26"/>
                <w:rtl/>
              </w:rPr>
            </w:pPr>
            <w:r>
              <w:rPr>
                <w:rFonts w:cs="David"/>
                <w:sz w:val="26"/>
                <w:szCs w:val="26"/>
                <w:rtl/>
              </w:rPr>
              <w:t>מעצר חשוד בעבירות מין ואלימות במשפחה</w:t>
            </w:r>
          </w:p>
        </w:tc>
        <w:tc>
          <w:tcPr>
            <w:tcW w:w="567" w:type="dxa"/>
            <w:tcBorders>
              <w:top w:val="nil"/>
              <w:left w:val="nil"/>
              <w:bottom w:val="nil"/>
              <w:right w:val="nil"/>
            </w:tcBorders>
          </w:tcPr>
          <w:p w:rsidR="00000000" w:rsidRDefault="00503D72">
            <w:pPr>
              <w:spacing w:line="360" w:lineRule="auto"/>
              <w:rPr>
                <w:rFonts w:cs="David"/>
                <w:sz w:val="26"/>
                <w:szCs w:val="26"/>
                <w:rtl/>
              </w:rPr>
            </w:pPr>
            <w:r>
              <w:rPr>
                <w:rFonts w:cs="David"/>
                <w:sz w:val="26"/>
                <w:szCs w:val="26"/>
                <w:rtl/>
              </w:rPr>
              <w:t>17א.</w:t>
            </w:r>
          </w:p>
        </w:tc>
        <w:tc>
          <w:tcPr>
            <w:tcW w:w="4915" w:type="dxa"/>
            <w:gridSpan w:val="2"/>
            <w:tcBorders>
              <w:top w:val="nil"/>
              <w:left w:val="nil"/>
              <w:bottom w:val="nil"/>
              <w:right w:val="nil"/>
            </w:tcBorders>
          </w:tcPr>
          <w:p w:rsidR="00000000" w:rsidRDefault="00503D72">
            <w:pPr>
              <w:spacing w:line="360" w:lineRule="auto"/>
              <w:jc w:val="both"/>
              <w:rPr>
                <w:rFonts w:cs="David"/>
                <w:sz w:val="26"/>
                <w:szCs w:val="26"/>
                <w:rtl/>
              </w:rPr>
            </w:pPr>
            <w:r>
              <w:rPr>
                <w:rFonts w:cs="David"/>
                <w:sz w:val="26"/>
                <w:szCs w:val="26"/>
                <w:rtl/>
              </w:rPr>
              <w:t>על אף האמור בסעיף 17, צווה שופט על מעצרו של אדם החשוד בביצוע עבירת מין או אלימות במשפחה, לא תעלה תקופ</w:t>
            </w:r>
            <w:r>
              <w:rPr>
                <w:rFonts w:cs="David"/>
                <w:sz w:val="26"/>
                <w:szCs w:val="26"/>
                <w:rtl/>
              </w:rPr>
              <w:t xml:space="preserve">ת המעצר על שבעה </w:t>
            </w:r>
            <w:r>
              <w:rPr>
                <w:rFonts w:cs="David"/>
                <w:sz w:val="26"/>
                <w:szCs w:val="26"/>
                <w:rtl/>
              </w:rPr>
              <w:lastRenderedPageBreak/>
              <w:t>ימים; אולם רשאי שופט להאריך את המעצר לתקופה נוספת שלא תעלה על חמישה ימים אם הצהיר תובע כי עומדים להגיש כתב אישום נגדו ויש עילה לכאורה לבקש את מעצרו עד תום ההליכים. בסעיף זה "עבירת מין ואלימות במשפחה" – עבירה כאמור בסעיף 62א לחוק סדר הדין הפ</w:t>
            </w:r>
            <w:r>
              <w:rPr>
                <w:rFonts w:cs="David"/>
                <w:sz w:val="26"/>
                <w:szCs w:val="26"/>
                <w:rtl/>
              </w:rPr>
              <w:t>לילי [נוסח משולב], התשמ"ב-1982, שנעברה בבן משפחה כהגדרתו בחוק למניעת אלימות במשפחה, התשנ"א-1991</w:t>
            </w:r>
            <w:r>
              <w:rPr>
                <w:rStyle w:val="a5"/>
                <w:rFonts w:cs="David"/>
                <w:sz w:val="26"/>
                <w:szCs w:val="26"/>
                <w:rtl/>
              </w:rPr>
              <w:footnoteReference w:id="3"/>
            </w:r>
            <w:r>
              <w:rPr>
                <w:rFonts w:cs="David"/>
                <w:sz w:val="26"/>
                <w:szCs w:val="26"/>
                <w:rtl/>
              </w:rPr>
              <w:t>.</w:t>
            </w:r>
          </w:p>
        </w:tc>
      </w:tr>
    </w:tbl>
    <w:p w:rsidR="00000000" w:rsidRDefault="00503D72">
      <w:pPr>
        <w:tabs>
          <w:tab w:val="left" w:pos="1016"/>
        </w:tabs>
        <w:rPr>
          <w:rFonts w:cs="David"/>
          <w:rtl/>
        </w:rPr>
      </w:pPr>
    </w:p>
    <w:p w:rsidR="00000000" w:rsidRDefault="00503D72">
      <w:pPr>
        <w:tabs>
          <w:tab w:val="left" w:pos="1016"/>
        </w:tabs>
        <w:rPr>
          <w:rFonts w:cs="David"/>
          <w:rtl/>
        </w:rPr>
      </w:pPr>
    </w:p>
    <w:p w:rsidR="00000000" w:rsidRDefault="00503D72">
      <w:pPr>
        <w:tabs>
          <w:tab w:val="left" w:pos="1016"/>
        </w:tabs>
        <w:spacing w:line="360" w:lineRule="auto"/>
        <w:jc w:val="center"/>
        <w:rPr>
          <w:rFonts w:cs="David"/>
          <w:sz w:val="26"/>
          <w:szCs w:val="26"/>
          <w:rtl/>
        </w:rPr>
      </w:pPr>
      <w:r>
        <w:rPr>
          <w:rFonts w:cs="David"/>
          <w:b/>
          <w:bCs/>
          <w:sz w:val="28"/>
          <w:szCs w:val="28"/>
          <w:u w:val="single"/>
          <w:rtl/>
        </w:rPr>
        <w:t>דברי - הסבר</w:t>
      </w:r>
    </w:p>
    <w:p w:rsidR="00000000" w:rsidRDefault="00503D72">
      <w:pPr>
        <w:tabs>
          <w:tab w:val="left" w:pos="1016"/>
        </w:tabs>
        <w:spacing w:line="360" w:lineRule="auto"/>
        <w:rPr>
          <w:rFonts w:cs="David"/>
          <w:rtl/>
        </w:rPr>
      </w:pPr>
    </w:p>
    <w:p w:rsidR="00000000" w:rsidRDefault="00503D72">
      <w:pPr>
        <w:spacing w:line="360" w:lineRule="auto"/>
        <w:jc w:val="both"/>
        <w:rPr>
          <w:rFonts w:cs="David"/>
          <w:sz w:val="26"/>
          <w:szCs w:val="26"/>
          <w:rtl/>
        </w:rPr>
      </w:pPr>
      <w:r>
        <w:rPr>
          <w:rFonts w:cs="David"/>
          <w:sz w:val="26"/>
          <w:szCs w:val="26"/>
          <w:rtl/>
        </w:rPr>
        <w:t>על פי הנתונים הסטטיסטיים של משרד העבודה והרווחה ומשטרת ישראל, כ-200,000  נשים מוכות בישראל, אחת מתוך 7 נשים היא אשה מוכ</w:t>
      </w:r>
      <w:r>
        <w:rPr>
          <w:rFonts w:cs="David"/>
          <w:sz w:val="26"/>
          <w:szCs w:val="26"/>
          <w:rtl/>
        </w:rPr>
        <w:t>ה ומדי שנה נרצחות 17 נשים בישראל על ידי בני זוגן. נתונים קשים אלו והעובדה כי הרשויות מתקשות להלחם בתופעה מצדיקים ביצוע התיקון בחוק אשר יביאו לזירוז הליכי הטיפול המשפטי בעבירות מסוג זה.</w:t>
      </w:r>
      <w:r>
        <w:rPr>
          <w:rFonts w:cs="David"/>
          <w:sz w:val="26"/>
          <w:szCs w:val="26"/>
        </w:rPr>
        <w:t xml:space="preserve"> </w:t>
      </w:r>
    </w:p>
    <w:p w:rsidR="00000000" w:rsidRDefault="00503D72">
      <w:pPr>
        <w:spacing w:line="360" w:lineRule="auto"/>
        <w:jc w:val="both"/>
        <w:rPr>
          <w:rFonts w:cs="David"/>
          <w:sz w:val="26"/>
          <w:szCs w:val="26"/>
          <w:rtl/>
        </w:rPr>
      </w:pPr>
    </w:p>
    <w:p w:rsidR="00000000" w:rsidRDefault="00503D72">
      <w:pPr>
        <w:spacing w:line="360" w:lineRule="auto"/>
        <w:jc w:val="both"/>
        <w:rPr>
          <w:rFonts w:cs="David"/>
          <w:sz w:val="26"/>
          <w:szCs w:val="26"/>
        </w:rPr>
      </w:pPr>
      <w:r>
        <w:rPr>
          <w:rFonts w:cs="David"/>
          <w:sz w:val="26"/>
          <w:szCs w:val="26"/>
          <w:rtl/>
        </w:rPr>
        <w:t>זירוז ההליכים המשפטיים משיג מטרה משולשת:</w:t>
      </w:r>
    </w:p>
    <w:p w:rsidR="00000000" w:rsidRDefault="00503D72">
      <w:pPr>
        <w:spacing w:line="360" w:lineRule="auto"/>
        <w:jc w:val="both"/>
        <w:rPr>
          <w:rFonts w:cs="David"/>
          <w:sz w:val="26"/>
          <w:szCs w:val="26"/>
        </w:rPr>
      </w:pPr>
      <w:r>
        <w:rPr>
          <w:rFonts w:cs="David"/>
          <w:sz w:val="26"/>
          <w:szCs w:val="26"/>
          <w:rtl/>
        </w:rPr>
        <w:t>ראשית, יש בכך עידוד לקורבן ל</w:t>
      </w:r>
      <w:r>
        <w:rPr>
          <w:rFonts w:cs="David"/>
          <w:sz w:val="26"/>
          <w:szCs w:val="26"/>
          <w:rtl/>
        </w:rPr>
        <w:t>שבור את מעגל השתיקה ולפנות לרשויות מבלי לחשוש שהגורם האלים ישוחרר תוך זמן קצר ויהווה סכנה מוחשית נוספת עבורו, במקרים אלו רב הסיכוי שהקורבן המתלונן לא יחזור בו מתלונתו ולא יהיה מושפע מלחצים לעשות כן בעיקר מצד התוקף ומקורביו.</w:t>
      </w:r>
    </w:p>
    <w:p w:rsidR="00000000" w:rsidRDefault="00503D72">
      <w:pPr>
        <w:spacing w:line="360" w:lineRule="auto"/>
        <w:jc w:val="both"/>
        <w:rPr>
          <w:rFonts w:cs="David"/>
          <w:sz w:val="26"/>
          <w:szCs w:val="26"/>
          <w:rtl/>
        </w:rPr>
      </w:pPr>
      <w:r>
        <w:rPr>
          <w:rFonts w:cs="David"/>
          <w:sz w:val="26"/>
          <w:szCs w:val="26"/>
          <w:rtl/>
        </w:rPr>
        <w:t>שנית, האפקט ההרתעתי שיוגש בעקבות</w:t>
      </w:r>
      <w:r>
        <w:rPr>
          <w:rFonts w:cs="David"/>
          <w:sz w:val="26"/>
          <w:szCs w:val="26"/>
          <w:rtl/>
        </w:rPr>
        <w:t xml:space="preserve"> הטיפול הדחוף בעבריינים פוטנציאלים בחינת "הכאת הברזל כל עוד הוא חם".</w:t>
      </w:r>
    </w:p>
    <w:p w:rsidR="00000000" w:rsidRDefault="00503D72">
      <w:pPr>
        <w:spacing w:line="360" w:lineRule="auto"/>
        <w:jc w:val="both"/>
        <w:rPr>
          <w:rFonts w:cs="David"/>
          <w:sz w:val="26"/>
          <w:szCs w:val="26"/>
          <w:rtl/>
        </w:rPr>
      </w:pPr>
      <w:r>
        <w:rPr>
          <w:rFonts w:cs="David"/>
          <w:sz w:val="26"/>
          <w:szCs w:val="26"/>
          <w:rtl/>
        </w:rPr>
        <w:t>שלישית, הקלה באיסוף הראיות. היינו, ככל שהגשת כתב האישום סמוכה לקרות האירוע, קל יותר הן למשטרה והן לפרקליטות לאסוף ראיות בעיקר כאשר מדובר בראיות בעלות אפקט מיידי, כמו חבלות גופניות ונפשיות</w:t>
      </w:r>
      <w:r>
        <w:rPr>
          <w:rFonts w:cs="David"/>
          <w:sz w:val="26"/>
          <w:szCs w:val="26"/>
          <w:rtl/>
        </w:rPr>
        <w:t xml:space="preserve"> אשר מתכהה חומרתן עם חלוף העיתים. </w:t>
      </w:r>
    </w:p>
    <w:p w:rsidR="00000000" w:rsidRDefault="00503D72">
      <w:pPr>
        <w:spacing w:line="360" w:lineRule="auto"/>
        <w:jc w:val="both"/>
        <w:rPr>
          <w:rFonts w:cs="David"/>
          <w:sz w:val="26"/>
          <w:szCs w:val="26"/>
          <w:rtl/>
        </w:rPr>
      </w:pPr>
    </w:p>
    <w:p w:rsidR="00000000" w:rsidRDefault="00503D72">
      <w:pPr>
        <w:spacing w:line="360" w:lineRule="auto"/>
        <w:jc w:val="both"/>
        <w:rPr>
          <w:rFonts w:cs="David"/>
          <w:sz w:val="26"/>
          <w:szCs w:val="26"/>
          <w:rtl/>
        </w:rPr>
      </w:pPr>
      <w:r>
        <w:rPr>
          <w:rFonts w:cs="David"/>
          <w:sz w:val="26"/>
          <w:szCs w:val="26"/>
          <w:rtl/>
        </w:rPr>
        <w:t>על מנת שלא ייוצר מצב בו נעשית חצי מלאכה יש צורך לקיים דיון דחוף בעניינו של  עבריין המין או האלימות במשפחה מיד לאחר הגשת כתב האישום. לשם כך במסגרת תקופת מעצרו של הנאשם בעבירות מעין אלו ומיד לאחר הגשת כתב האישום יתחיל ההלי</w:t>
      </w:r>
      <w:r>
        <w:rPr>
          <w:rFonts w:cs="David"/>
          <w:sz w:val="26"/>
          <w:szCs w:val="26"/>
          <w:rtl/>
        </w:rPr>
        <w:t>ך השיפוטי עם הקראת כתב האישום לנאשם. חשיבות הרתעתית ממדרגה ראשונה נודעת לטיפול מהיר של שפיטה וענישה וכזו תושג, רק  במידה והמשפט יחל בסמיכות מקסימאלית להגשת כתב האישום.</w:t>
      </w:r>
    </w:p>
    <w:p w:rsidR="00000000" w:rsidRDefault="00503D72">
      <w:pPr>
        <w:spacing w:line="360" w:lineRule="auto"/>
        <w:jc w:val="both"/>
        <w:rPr>
          <w:rFonts w:cs="David"/>
          <w:sz w:val="26"/>
          <w:szCs w:val="26"/>
          <w:rtl/>
        </w:rPr>
      </w:pPr>
    </w:p>
    <w:p w:rsidR="00000000" w:rsidRDefault="00503D72">
      <w:pPr>
        <w:spacing w:line="360" w:lineRule="auto"/>
        <w:jc w:val="both"/>
        <w:rPr>
          <w:rFonts w:cs="David"/>
          <w:sz w:val="26"/>
          <w:szCs w:val="26"/>
          <w:rtl/>
        </w:rPr>
      </w:pPr>
      <w:r>
        <w:rPr>
          <w:rFonts w:cs="David"/>
          <w:sz w:val="26"/>
          <w:szCs w:val="26"/>
          <w:rtl/>
        </w:rPr>
        <w:t>---------------------</w:t>
      </w:r>
    </w:p>
    <w:p w:rsidR="00000000" w:rsidRDefault="00503D72">
      <w:pPr>
        <w:spacing w:line="360" w:lineRule="auto"/>
        <w:jc w:val="both"/>
        <w:rPr>
          <w:rFonts w:cs="David"/>
          <w:sz w:val="26"/>
          <w:szCs w:val="26"/>
          <w:rtl/>
        </w:rPr>
      </w:pPr>
      <w:r>
        <w:rPr>
          <w:rFonts w:cs="David"/>
          <w:sz w:val="26"/>
          <w:szCs w:val="26"/>
          <w:rtl/>
        </w:rPr>
        <w:t>הוגשה ליו"ר הכנסת והסגנים</w:t>
      </w:r>
    </w:p>
    <w:p w:rsidR="00000000" w:rsidRDefault="00503D72">
      <w:pPr>
        <w:spacing w:line="360" w:lineRule="auto"/>
        <w:jc w:val="both"/>
        <w:rPr>
          <w:rFonts w:cs="David"/>
          <w:sz w:val="26"/>
          <w:szCs w:val="26"/>
          <w:rtl/>
        </w:rPr>
      </w:pPr>
      <w:r>
        <w:rPr>
          <w:rFonts w:cs="David"/>
          <w:sz w:val="26"/>
          <w:szCs w:val="26"/>
          <w:rtl/>
        </w:rPr>
        <w:t>והונחה על שולחן הכנסת ביום</w:t>
      </w:r>
    </w:p>
    <w:p w:rsidR="00000000" w:rsidRDefault="00503D72">
      <w:pPr>
        <w:spacing w:line="360" w:lineRule="auto"/>
        <w:jc w:val="both"/>
        <w:rPr>
          <w:rFonts w:cs="David"/>
          <w:sz w:val="26"/>
          <w:szCs w:val="26"/>
          <w:rtl/>
        </w:rPr>
      </w:pPr>
      <w:r>
        <w:rPr>
          <w:rFonts w:cs="David"/>
          <w:sz w:val="26"/>
          <w:szCs w:val="26"/>
          <w:rtl/>
        </w:rPr>
        <w:t>ט' בסיוון הת</w:t>
      </w:r>
      <w:r>
        <w:rPr>
          <w:rFonts w:cs="David"/>
          <w:sz w:val="26"/>
          <w:szCs w:val="26"/>
          <w:rtl/>
        </w:rPr>
        <w:t>שס"ו - 5.6.06</w:t>
      </w:r>
    </w:p>
    <w:p w:rsidR="00000000" w:rsidRDefault="00503D72">
      <w:pPr>
        <w:tabs>
          <w:tab w:val="left" w:pos="1016"/>
        </w:tabs>
        <w:spacing w:line="360" w:lineRule="auto"/>
        <w:rPr>
          <w:rFonts w:cs="David"/>
          <w:rtl/>
        </w:rPr>
      </w:pPr>
    </w:p>
    <w:p w:rsidR="00000000" w:rsidRDefault="00503D72">
      <w:pPr>
        <w:tabs>
          <w:tab w:val="left" w:pos="1016"/>
        </w:tabs>
        <w:rPr>
          <w:rFonts w:cs="David"/>
          <w:rtl/>
        </w:rPr>
      </w:pPr>
    </w:p>
    <w:sectPr w:rsidR="0000000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03D72">
      <w:r>
        <w:separator/>
      </w:r>
    </w:p>
  </w:endnote>
  <w:endnote w:type="continuationSeparator" w:id="0">
    <w:p w:rsidR="00000000" w:rsidRDefault="00503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03D72">
      <w:r>
        <w:separator/>
      </w:r>
    </w:p>
  </w:footnote>
  <w:footnote w:type="continuationSeparator" w:id="0">
    <w:p w:rsidR="00000000" w:rsidRDefault="00503D72">
      <w:r>
        <w:continuationSeparator/>
      </w:r>
    </w:p>
  </w:footnote>
  <w:footnote w:id="1">
    <w:p w:rsidR="00000000" w:rsidRDefault="00503D72">
      <w:pPr>
        <w:pStyle w:val="a3"/>
      </w:pPr>
      <w:r>
        <w:rPr>
          <w:rStyle w:val="a5"/>
          <w:rFonts w:cs="David"/>
        </w:rPr>
        <w:footnoteRef/>
      </w:r>
      <w:r>
        <w:rPr>
          <w:rFonts w:cs="David"/>
          <w:rtl/>
        </w:rPr>
        <w:t xml:space="preserve"> ס"ח התשמ"ב, עמ' 43.</w:t>
      </w:r>
    </w:p>
  </w:footnote>
  <w:footnote w:id="2">
    <w:p w:rsidR="00000000" w:rsidRDefault="00503D72">
      <w:pPr>
        <w:pStyle w:val="a3"/>
      </w:pPr>
      <w:r>
        <w:rPr>
          <w:rStyle w:val="a5"/>
          <w:rFonts w:cs="David"/>
        </w:rPr>
        <w:footnoteRef/>
      </w:r>
      <w:r>
        <w:rPr>
          <w:rFonts w:cs="David"/>
          <w:rtl/>
        </w:rPr>
        <w:t xml:space="preserve"> ס"ח התשנ"ו, עמ' 338.</w:t>
      </w:r>
    </w:p>
  </w:footnote>
  <w:footnote w:id="3">
    <w:p w:rsidR="00000000" w:rsidRDefault="00503D72">
      <w:pPr>
        <w:pStyle w:val="a3"/>
      </w:pPr>
      <w:r>
        <w:rPr>
          <w:rStyle w:val="a5"/>
          <w:rFonts w:cs="David"/>
        </w:rPr>
        <w:footnoteRef/>
      </w:r>
      <w:r>
        <w:rPr>
          <w:rFonts w:cs="David"/>
          <w:rtl/>
        </w:rPr>
        <w:t xml:space="preserve"> ס"ח התשנ"א, עמ' 138.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1588øï ëäï - ùéôè îäéø áòáéøåú îéï åàìéîåú áîùôçä.doc"/>
    <w:docVar w:name="StartMode" w:val="2"/>
  </w:docVars>
  <w:rsids>
    <w:rsidRoot w:val="00503D72"/>
    <w:rsid w:val="00503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Pr>
      <w:sz w:val="20"/>
      <w:szCs w:val="20"/>
    </w:rPr>
  </w:style>
  <w:style w:type="character" w:customStyle="1" w:styleId="a4">
    <w:name w:val="טקסט הערת שוליים תו"/>
    <w:basedOn w:val="a0"/>
    <w:link w:val="a3"/>
    <w:uiPriority w:val="99"/>
    <w:semiHidden/>
    <w:rPr>
      <w:rFonts w:ascii="Times New Roman" w:hAnsi="Times New Roman" w:cs="Times New Roman"/>
      <w:sz w:val="20"/>
      <w:szCs w:val="20"/>
      <w:lang w:eastAsia="he-IL"/>
    </w:rPr>
  </w:style>
  <w:style w:type="character" w:styleId="a5">
    <w:name w:val="footnote reference"/>
    <w:basedOn w:val="a0"/>
    <w:uiPriority w:val="99"/>
    <w:rPr>
      <w:rFonts w:cs="Times New Roman"/>
      <w:vertAlign w:val="superscript"/>
    </w:rPr>
  </w:style>
  <w:style w:type="paragraph" w:styleId="a6">
    <w:name w:val="Title"/>
    <w:basedOn w:val="a"/>
    <w:link w:val="a7"/>
    <w:uiPriority w:val="99"/>
    <w:qFormat/>
    <w:pPr>
      <w:jc w:val="center"/>
    </w:pPr>
    <w:rPr>
      <w:rFonts w:eastAsia="Times New Roman"/>
      <w:b/>
      <w:bCs/>
      <w:sz w:val="28"/>
      <w:szCs w:val="28"/>
      <w:u w:val="single"/>
    </w:rPr>
  </w:style>
  <w:style w:type="character" w:customStyle="1" w:styleId="a7">
    <w:name w:val="כותרת טקסט תו"/>
    <w:basedOn w:val="a0"/>
    <w:link w:val="a6"/>
    <w:uiPriority w:val="10"/>
    <w:rPr>
      <w:rFonts w:asciiTheme="majorHAnsi" w:eastAsiaTheme="majorEastAsia" w:hAnsiTheme="majorHAnsi" w:cstheme="majorBidi"/>
      <w:b/>
      <w:bCs/>
      <w:kern w:val="28"/>
      <w:sz w:val="32"/>
      <w:szCs w:val="3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506</Words>
  <Characters>2532</Characters>
  <Application>Microsoft Office Word</Application>
  <DocSecurity>0</DocSecurity>
  <Lines>21</Lines>
  <Paragraphs>6</Paragraphs>
  <ScaleCrop>false</ScaleCrop>
  <Company>knesset</Company>
  <LinksUpToDate>false</LinksUpToDate>
  <CharactersWithSpaces>3032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(תיקון - שיפוט מהיר בעבירות מין ואלימות במשפחה), התשס"ו-2006</dc:title>
  <dc:subject/>
  <dc:creator>Knesset</dc:creator>
  <cp:keywords/>
  <dc:description/>
  <cp:lastModifiedBy>שמואל כוכב</cp:lastModifiedBy>
  <cp:revision>2</cp:revision>
  <dcterms:created xsi:type="dcterms:W3CDTF">2015-02-03T18:54:00Z</dcterms:created>
  <dcterms:modified xsi:type="dcterms:W3CDTF">2015-02-03T18:54:00Z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85</vt:lpwstr>
  </property>
  <property fmtid="{D5CDD505-2E9C-101B-9397-08002B2CF9AE}" pid="3" name="AutoNumber">
    <vt:lpwstr>03002106</vt:lpwstr>
  </property>
  <property fmtid="{D5CDD505-2E9C-101B-9397-08002B2CF9AE}" pid="4" name="מספר הצעת חוק למיון">
    <vt:lpwstr>377</vt:lpwstr>
  </property>
  <property fmtid="{D5CDD505-2E9C-101B-9397-08002B2CF9AE}" pid="5" name="SDDocDate">
    <vt:lpwstr>2006-05-28T00:00:00Z</vt:lpwstr>
  </property>
  <property fmtid="{D5CDD505-2E9C-101B-9397-08002B2CF9AE}" pid="6" name="SDHebDate">
    <vt:lpwstr>א' בסיון, התשס"ו</vt:lpwstr>
  </property>
  <property fmtid="{D5CDD505-2E9C-101B-9397-08002B2CF9AE}" pid="7" name="SDCategories">
    <vt:lpwstr>:דף הבית:נושאים:חקיקה:נוסח לדיון מוקדם;#:הלשכה המשפטית:הצעות חוק - כנסת 17;#</vt:lpwstr>
  </property>
  <property fmtid="{D5CDD505-2E9C-101B-9397-08002B2CF9AE}" pid="8" name="תאריך הנחה">
    <vt:lpwstr/>
  </property>
  <property fmtid="{D5CDD505-2E9C-101B-9397-08002B2CF9AE}" pid="9" name="HebrewDate">
    <vt:lpwstr/>
  </property>
  <property fmtid="{D5CDD505-2E9C-101B-9397-08002B2CF9AE}" pid="10" name="SDAuthor">
    <vt:lpwstr>עדי טייכר</vt:lpwstr>
  </property>
  <property fmtid="{D5CDD505-2E9C-101B-9397-08002B2CF9AE}" pid="11" name="MechaberMismach">
    <vt:lpwstr/>
  </property>
  <property fmtid="{D5CDD505-2E9C-101B-9397-08002B2CF9AE}" pid="12" name="MisHatzaatChok">
    <vt:lpwstr>פ/377/17</vt:lpwstr>
  </property>
  <property fmtid="{D5CDD505-2E9C-101B-9397-08002B2CF9AE}" pid="13" name="YozemHatzaa_ChakList">
    <vt:lpwstr>רן כהן</vt:lpwstr>
  </property>
  <property fmtid="{D5CDD505-2E9C-101B-9397-08002B2CF9AE}" pid="14" name="SDRemark">
    <vt:lpwstr/>
  </property>
  <property fmtid="{D5CDD505-2E9C-101B-9397-08002B2CF9AE}" pid="15" name="SDOfflineTo">
    <vt:lpwstr/>
  </property>
  <property fmtid="{D5CDD505-2E9C-101B-9397-08002B2CF9AE}" pid="16" name="SDDistList">
    <vt:lpwstr/>
  </property>
  <property fmtid="{D5CDD505-2E9C-101B-9397-08002B2CF9AE}" pid="17" name="SDDistDate">
    <vt:lpwstr/>
  </property>
  <property fmtid="{D5CDD505-2E9C-101B-9397-08002B2CF9AE}" pid="18" name="SDOriginalID">
    <vt:lpwstr/>
  </property>
  <property fmtid="{D5CDD505-2E9C-101B-9397-08002B2CF9AE}" pid="19" name="SDSenderName">
    <vt:lpwstr/>
  </property>
  <property fmtid="{D5CDD505-2E9C-101B-9397-08002B2CF9AE}" pid="20" name="SDToList">
    <vt:lpwstr/>
  </property>
  <property fmtid="{D5CDD505-2E9C-101B-9397-08002B2CF9AE}" pid="21" name="SDCCList">
    <vt:lpwstr/>
  </property>
  <property fmtid="{D5CDD505-2E9C-101B-9397-08002B2CF9AE}" pid="22" name="STHasReminders">
    <vt:lpwstr>0</vt:lpwstr>
  </property>
  <property fmtid="{D5CDD505-2E9C-101B-9397-08002B2CF9AE}" pid="23" name="SDLink">
    <vt:lpwstr>, </vt:lpwstr>
  </property>
  <property fmtid="{D5CDD505-2E9C-101B-9397-08002B2CF9AE}" pid="24" name="Num_Gim1">
    <vt:lpwstr/>
  </property>
  <property fmtid="{D5CDD505-2E9C-101B-9397-08002B2CF9AE}" pid="25" name="NoseA">
    <vt:lpwstr/>
  </property>
  <property fmtid="{D5CDD505-2E9C-101B-9397-08002B2CF9AE}" pid="26" name="NoseB">
    <vt:lpwstr/>
  </property>
  <property fmtid="{D5CDD505-2E9C-101B-9397-08002B2CF9AE}" pid="27" name="knesset_number">
    <vt:lpwstr/>
  </property>
  <property fmtid="{D5CDD505-2E9C-101B-9397-08002B2CF9AE}" pid="28" name="ValidFrom">
    <vt:lpwstr/>
  </property>
  <property fmtid="{D5CDD505-2E9C-101B-9397-08002B2CF9AE}" pid="29" name="ValidUntill">
    <vt:lpwstr/>
  </property>
  <property fmtid="{D5CDD505-2E9C-101B-9397-08002B2CF9AE}" pid="30" name="To1">
    <vt:lpwstr/>
  </property>
  <property fmtid="{D5CDD505-2E9C-101B-9397-08002B2CF9AE}" pid="31" name="From">
    <vt:lpwstr/>
  </property>
  <property fmtid="{D5CDD505-2E9C-101B-9397-08002B2CF9AE}" pid="32" name="body">
    <vt:lpwstr/>
  </property>
</Properties>
</file>