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3636">
      <w:pPr>
        <w:pStyle w:val="a3"/>
        <w:spacing w:line="360" w:lineRule="auto"/>
        <w:jc w:val="left"/>
        <w:rPr>
          <w:rFonts w:cs="David"/>
          <w:b w:val="0"/>
          <w:bCs w:val="0"/>
          <w:sz w:val="24"/>
          <w:szCs w:val="24"/>
          <w:u w:val="none"/>
          <w:rtl/>
        </w:rPr>
      </w:pPr>
      <w:bookmarkStart w:id="0" w:name="_GoBack"/>
      <w:bookmarkEnd w:id="0"/>
    </w:p>
    <w:p w:rsidR="00000000" w:rsidRDefault="00493636">
      <w:pPr>
        <w:pStyle w:val="a3"/>
        <w:spacing w:line="360" w:lineRule="auto"/>
        <w:rPr>
          <w:rFonts w:cs="David"/>
          <w:u w:val="none"/>
          <w:rtl/>
        </w:rPr>
      </w:pPr>
      <w:r>
        <w:rPr>
          <w:rFonts w:cs="David"/>
          <w:u w:val="none"/>
          <w:rtl/>
        </w:rPr>
        <w:t>הכנסת השבע-עשרה</w:t>
      </w:r>
    </w:p>
    <w:p w:rsidR="00000000" w:rsidRDefault="00493636">
      <w:pPr>
        <w:tabs>
          <w:tab w:val="left" w:pos="2734"/>
        </w:tabs>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428"/>
      </w:tblGrid>
      <w:tr w:rsidR="00000000">
        <w:tblPrEx>
          <w:tblCellMar>
            <w:top w:w="0" w:type="dxa"/>
            <w:bottom w:w="0" w:type="dxa"/>
          </w:tblCellMar>
        </w:tblPrEx>
        <w:trPr>
          <w:cantSplit/>
        </w:trPr>
        <w:tc>
          <w:tcPr>
            <w:tcW w:w="4428" w:type="dxa"/>
            <w:tcBorders>
              <w:top w:val="nil"/>
              <w:left w:val="nil"/>
              <w:bottom w:val="single" w:sz="4" w:space="0" w:color="auto"/>
              <w:right w:val="nil"/>
            </w:tcBorders>
          </w:tcPr>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End w:id="1"/>
            <w:r>
              <w:rPr>
                <w:rFonts w:cs="David"/>
                <w:sz w:val="26"/>
                <w:szCs w:val="26"/>
                <w:rtl/>
              </w:rPr>
              <w:t xml:space="preserve">          </w:t>
            </w:r>
            <w:r>
              <w:rPr>
                <w:rFonts w:cs="David"/>
                <w:b/>
                <w:bCs/>
                <w:sz w:val="26"/>
                <w:szCs w:val="26"/>
                <w:rtl/>
              </w:rPr>
              <w:t xml:space="preserve">יורי </w:t>
            </w:r>
            <w:bookmarkStart w:id="2" w:name="MKs"/>
            <w:r>
              <w:rPr>
                <w:rFonts w:cs="David"/>
                <w:b/>
                <w:bCs/>
                <w:sz w:val="26"/>
                <w:szCs w:val="26"/>
                <w:rtl/>
              </w:rPr>
              <w:t>שטרן</w:t>
            </w:r>
          </w:p>
          <w:p w:rsidR="00000000" w:rsidRDefault="00493636">
            <w:pPr>
              <w:tabs>
                <w:tab w:val="left" w:pos="2770"/>
                <w:tab w:val="left" w:pos="6192"/>
              </w:tabs>
              <w:spacing w:line="360" w:lineRule="auto"/>
              <w:ind w:firstLine="9"/>
              <w:jc w:val="right"/>
              <w:rPr>
                <w:rFonts w:cs="David"/>
                <w:b/>
                <w:bCs/>
                <w:sz w:val="26"/>
                <w:szCs w:val="26"/>
                <w:rtl/>
              </w:rPr>
            </w:pPr>
            <w:r>
              <w:rPr>
                <w:rFonts w:cs="David"/>
                <w:b/>
                <w:bCs/>
                <w:sz w:val="26"/>
                <w:szCs w:val="26"/>
                <w:rtl/>
              </w:rPr>
              <w:t>אסתרינה טרטמן</w:t>
            </w:r>
          </w:p>
          <w:p w:rsidR="00000000" w:rsidRDefault="00493636">
            <w:pPr>
              <w:tabs>
                <w:tab w:val="left" w:pos="2770"/>
                <w:tab w:val="left" w:pos="6192"/>
              </w:tabs>
              <w:spacing w:line="360" w:lineRule="auto"/>
              <w:ind w:firstLine="9"/>
              <w:jc w:val="right"/>
              <w:rPr>
                <w:rFonts w:cs="David"/>
                <w:b/>
                <w:bCs/>
                <w:sz w:val="26"/>
                <w:szCs w:val="26"/>
                <w:rtl/>
              </w:rPr>
            </w:pPr>
            <w:r>
              <w:rPr>
                <w:rFonts w:cs="David"/>
                <w:b/>
                <w:bCs/>
                <w:sz w:val="26"/>
                <w:szCs w:val="26"/>
                <w:rtl/>
              </w:rPr>
              <w:t>רן כהן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יצחק אהרונוביץ</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דוד אזולאי</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עמי אילון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זה</w:t>
            </w:r>
            <w:r>
              <w:rPr>
                <w:rFonts w:cs="David"/>
                <w:sz w:val="26"/>
                <w:szCs w:val="26"/>
                <w:rtl/>
              </w:rPr>
              <w:t>בה גלאון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יצחק וקנין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נידה חילו</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ישראל חסון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אחמד טיבי</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דני יתום</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אמנון כהן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משה כחלון</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סופה לנדבר</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אלכס מילר</w:t>
            </w:r>
          </w:p>
          <w:p w:rsidR="00000000" w:rsidRDefault="00493636">
            <w:pPr>
              <w:tabs>
                <w:tab w:val="left" w:pos="2770"/>
                <w:tab w:val="left" w:pos="6192"/>
              </w:tabs>
              <w:spacing w:line="360" w:lineRule="auto"/>
              <w:ind w:firstLine="9"/>
              <w:jc w:val="right"/>
              <w:rPr>
                <w:rFonts w:cs="David"/>
                <w:sz w:val="26"/>
                <w:szCs w:val="26"/>
                <w:rtl/>
              </w:rPr>
            </w:pPr>
            <w:r>
              <w:rPr>
                <w:rFonts w:cs="David"/>
                <w:sz w:val="26"/>
                <w:szCs w:val="26"/>
                <w:rtl/>
              </w:rPr>
              <w:t>סטס מיסז'ניקוב</w:t>
            </w:r>
          </w:p>
          <w:p w:rsidR="00000000" w:rsidRDefault="00493636">
            <w:pPr>
              <w:tabs>
                <w:tab w:val="left" w:pos="2770"/>
                <w:tab w:val="left" w:pos="6192"/>
              </w:tabs>
              <w:spacing w:line="360" w:lineRule="auto"/>
              <w:ind w:firstLine="9"/>
              <w:jc w:val="right"/>
              <w:rPr>
                <w:rFonts w:cs="David"/>
                <w:sz w:val="26"/>
                <w:szCs w:val="26"/>
              </w:rPr>
            </w:pPr>
            <w:r>
              <w:rPr>
                <w:rFonts w:cs="David"/>
                <w:sz w:val="26"/>
                <w:szCs w:val="26"/>
                <w:rtl/>
              </w:rPr>
              <w:t xml:space="preserve">ליה שמטוב </w:t>
            </w:r>
            <w:bookmarkEnd w:id="2"/>
          </w:p>
        </w:tc>
      </w:tr>
    </w:tbl>
    <w:p w:rsidR="00000000" w:rsidRDefault="00493636">
      <w:pPr>
        <w:spacing w:line="360" w:lineRule="auto"/>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r>
      <w:r>
        <w:rPr>
          <w:rFonts w:cs="David"/>
          <w:b/>
          <w:bCs/>
          <w:sz w:val="26"/>
          <w:szCs w:val="26"/>
          <w:rtl/>
        </w:rPr>
        <w:t xml:space="preserve">                                               פ/828/17</w:t>
      </w:r>
      <w:r>
        <w:rPr>
          <w:rFonts w:cs="David"/>
          <w:b/>
          <w:bCs/>
          <w:sz w:val="26"/>
          <w:szCs w:val="26"/>
          <w:rtl/>
        </w:rPr>
        <w:tab/>
      </w:r>
      <w:r>
        <w:rPr>
          <w:rFonts w:cs="David"/>
          <w:b/>
          <w:bCs/>
          <w:sz w:val="26"/>
          <w:szCs w:val="26"/>
          <w:rtl/>
        </w:rPr>
        <w:tab/>
      </w:r>
    </w:p>
    <w:p w:rsidR="00000000" w:rsidRDefault="00493636">
      <w:pPr>
        <w:spacing w:line="360" w:lineRule="auto"/>
        <w:jc w:val="center"/>
        <w:rPr>
          <w:rFonts w:cs="David"/>
          <w:b/>
          <w:bCs/>
          <w:sz w:val="28"/>
          <w:szCs w:val="28"/>
          <w:rtl/>
        </w:rPr>
      </w:pPr>
      <w:bookmarkStart w:id="3" w:name="Title"/>
      <w:r>
        <w:rPr>
          <w:rFonts w:cs="David"/>
          <w:b/>
          <w:bCs/>
          <w:sz w:val="28"/>
          <w:szCs w:val="28"/>
          <w:rtl/>
        </w:rPr>
        <w:t xml:space="preserve">הצעת חוק הביקורת הפנימית (תיקון - עידוד הביקורת הפנימית), </w:t>
      </w:r>
    </w:p>
    <w:p w:rsidR="00000000" w:rsidRDefault="00493636">
      <w:pPr>
        <w:spacing w:line="360" w:lineRule="auto"/>
        <w:jc w:val="center"/>
        <w:rPr>
          <w:rFonts w:cs="David"/>
          <w:b/>
          <w:bCs/>
          <w:sz w:val="28"/>
          <w:szCs w:val="28"/>
          <w:rtl/>
        </w:rPr>
      </w:pPr>
      <w:r>
        <w:rPr>
          <w:rFonts w:cs="David"/>
          <w:b/>
          <w:bCs/>
          <w:sz w:val="28"/>
          <w:szCs w:val="28"/>
          <w:rtl/>
        </w:rPr>
        <w:t>התשס"ו-2006</w:t>
      </w:r>
    </w:p>
    <w:bookmarkEnd w:id="3"/>
    <w:p w:rsidR="00000000" w:rsidRDefault="00493636">
      <w:pPr>
        <w:spacing w:line="360" w:lineRule="auto"/>
        <w:jc w:val="both"/>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294"/>
        <w:gridCol w:w="541"/>
        <w:gridCol w:w="567"/>
        <w:gridCol w:w="567"/>
        <w:gridCol w:w="55"/>
        <w:gridCol w:w="59"/>
        <w:gridCol w:w="177"/>
        <w:gridCol w:w="177"/>
        <w:gridCol w:w="89"/>
        <w:gridCol w:w="10"/>
        <w:gridCol w:w="46"/>
        <w:gridCol w:w="11"/>
        <w:gridCol w:w="404"/>
        <w:gridCol w:w="145"/>
        <w:gridCol w:w="18"/>
        <w:gridCol w:w="164"/>
        <w:gridCol w:w="377"/>
        <w:gridCol w:w="8"/>
        <w:gridCol w:w="175"/>
        <w:gridCol w:w="3536"/>
      </w:tblGrid>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tl/>
              </w:rPr>
            </w:pPr>
            <w:r>
              <w:rPr>
                <w:rFonts w:cs="David"/>
                <w:sz w:val="26"/>
                <w:szCs w:val="26"/>
                <w:rtl/>
              </w:rPr>
              <w:t xml:space="preserve">תיקון  </w:t>
            </w:r>
          </w:p>
          <w:p w:rsidR="00000000" w:rsidRDefault="00493636">
            <w:pPr>
              <w:rPr>
                <w:rFonts w:cs="David"/>
                <w:sz w:val="26"/>
                <w:szCs w:val="26"/>
              </w:rPr>
            </w:pPr>
            <w:r>
              <w:rPr>
                <w:rFonts w:cs="David"/>
                <w:sz w:val="26"/>
                <w:szCs w:val="26"/>
                <w:rtl/>
              </w:rPr>
              <w:t>סעיף 1</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בחוק הביקורת הפנימית, התשנ""ב – 1992</w:t>
            </w:r>
            <w:r>
              <w:rPr>
                <w:rStyle w:val="ab"/>
                <w:rFonts w:cs="David"/>
                <w:sz w:val="26"/>
                <w:szCs w:val="26"/>
                <w:rtl/>
              </w:rPr>
              <w:footnoteReference w:id="1"/>
            </w:r>
            <w:r>
              <w:rPr>
                <w:rFonts w:cs="David"/>
                <w:sz w:val="26"/>
                <w:szCs w:val="26"/>
                <w:rtl/>
              </w:rPr>
              <w:t xml:space="preserve"> ( להלן - החוק  העיקרי), במקום סעיף 1 יבוא :</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"הגדרות</w:t>
            </w: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4838" w:type="dxa"/>
            <w:gridSpan w:val="9"/>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בחוק זה: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4838" w:type="dxa"/>
            <w:gridSpan w:val="9"/>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"גוף ציבורי" – כל אחד מאלה: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מינהל לשכת נשיא המדינה;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מינהל הכנסת;</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משרד מבקר המדינה;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כל משרד ממשלתי, לרבות יחידת סמך של המשרד;</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(5)</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כל מפעל או מוסד של המדינה, או מוסד או גוף אחר שהוקם על פי חוק ונתון לביקורת מבקר המדינה;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(6)</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המוסד למודיעין ולתפקידים מיוחדים;</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(7)</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כל חברה ממשלתית, חברה ב</w:t>
            </w:r>
            <w:r>
              <w:rPr>
                <w:rFonts w:cs="David"/>
                <w:sz w:val="26"/>
                <w:szCs w:val="26"/>
                <w:rtl/>
              </w:rPr>
              <w:t>ת ממשלתית, או חברה מעורבת, כמשמעותן בחוק החברות הממשלתיות, התשל"ה–1975</w:t>
            </w:r>
            <w:r>
              <w:rPr>
                <w:rStyle w:val="ab"/>
                <w:rFonts w:cs="David"/>
                <w:sz w:val="26"/>
                <w:szCs w:val="26"/>
                <w:rtl/>
              </w:rPr>
              <w:footnoteReference w:id="2"/>
            </w:r>
            <w:r>
              <w:rPr>
                <w:rFonts w:cs="David"/>
                <w:sz w:val="26"/>
                <w:szCs w:val="26"/>
                <w:rtl/>
              </w:rPr>
              <w:t>;</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(8)</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כל ארגון עובדים כולל כהגדרתו בסעיף 9(9) לחוק מבקר המדינה, התש"ח – 1958 [נוסח משולב] (להלן – חוק מבקר המדינה).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(9)</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כל גוף  נתמך כמשמעו בסעיף 32 ל</w:t>
            </w:r>
            <w:r>
              <w:rPr>
                <w:rFonts w:cs="David"/>
                <w:sz w:val="26"/>
                <w:szCs w:val="26"/>
                <w:rtl/>
              </w:rPr>
              <w:t>חוק  יסודות התקציב, התשמ"ה–1985</w:t>
            </w:r>
            <w:r>
              <w:rPr>
                <w:rStyle w:val="ab"/>
                <w:rFonts w:cs="David"/>
                <w:sz w:val="26"/>
                <w:szCs w:val="26"/>
                <w:rtl/>
              </w:rPr>
              <w:footnoteReference w:id="3"/>
            </w:r>
            <w:r>
              <w:rPr>
                <w:rFonts w:cs="David"/>
                <w:sz w:val="26"/>
                <w:szCs w:val="26"/>
                <w:rtl/>
              </w:rPr>
              <w:t>;</w:t>
            </w:r>
          </w:p>
          <w:p w:rsidR="00000000" w:rsidRDefault="00493636">
            <w:pPr>
              <w:spacing w:line="360" w:lineRule="auto"/>
              <w:jc w:val="both"/>
              <w:rPr>
                <w:rFonts w:cs="David"/>
                <w:sz w:val="26"/>
                <w:szCs w:val="26"/>
              </w:rPr>
            </w:pPr>
            <w:r>
              <w:rPr>
                <w:rFonts w:cs="David"/>
                <w:sz w:val="26"/>
                <w:szCs w:val="26"/>
                <w:rtl/>
              </w:rPr>
              <w:t xml:space="preserve">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(10)</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קופת חולים כהגדרתה  בחוק ביטוח בריאות ממלכתי, התשנ"ד- 1994</w:t>
            </w:r>
            <w:r>
              <w:rPr>
                <w:rStyle w:val="ab"/>
                <w:rFonts w:cs="David"/>
                <w:sz w:val="26"/>
                <w:szCs w:val="26"/>
                <w:rtl/>
              </w:rPr>
              <w:footnoteReference w:id="4"/>
            </w:r>
            <w:r>
              <w:rPr>
                <w:rFonts w:cs="David"/>
                <w:sz w:val="26"/>
                <w:szCs w:val="26"/>
                <w:rtl/>
              </w:rPr>
              <w:t>;</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(11)</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הסוכנות היהודית;</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(12)</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הקרן הקיימת לישראל;</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(13)</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ההסתדרות הציונית העולמית;</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(14)</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מועצה דתית שהוקמה מכוח חוק שירותי הדת היהודיים (נוסח משולב), התשל"א–1971</w:t>
            </w:r>
            <w:r>
              <w:rPr>
                <w:rStyle w:val="ab"/>
                <w:rFonts w:cs="David"/>
                <w:sz w:val="26"/>
                <w:szCs w:val="26"/>
                <w:rtl/>
              </w:rPr>
              <w:footnoteReference w:id="5"/>
            </w:r>
            <w:r>
              <w:rPr>
                <w:rFonts w:cs="David"/>
                <w:sz w:val="26"/>
                <w:szCs w:val="26"/>
                <w:rtl/>
              </w:rPr>
              <w:t>;</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(16)</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 xml:space="preserve">כל מפעל, מוסד, קרן או גוף שאחד הגופים המנויים  בפסקאות 1 עד 17 משתתף בהנהלתו, או תומך בו במישרין או בעקיפין, או תאגיד מורשה לתת שירות לציבור, </w:t>
            </w:r>
            <w:r>
              <w:rPr>
                <w:rFonts w:cs="David"/>
                <w:sz w:val="26"/>
                <w:szCs w:val="26"/>
                <w:rtl/>
              </w:rPr>
              <w:t>ושר המשפטים, באישור הוועדה לענייני ביקורת המדינה של הכנסת, קבע שהוא גוף ציבורי לעניין חוק זה;</w:t>
            </w:r>
          </w:p>
          <w:p w:rsidR="00000000" w:rsidRDefault="00493636">
            <w:pPr>
              <w:spacing w:line="360" w:lineRule="auto"/>
              <w:jc w:val="both"/>
              <w:rPr>
                <w:rFonts w:cs="David"/>
                <w:sz w:val="26"/>
                <w:szCs w:val="26"/>
                <w:rtl/>
              </w:rPr>
            </w:pPr>
            <w:r>
              <w:rPr>
                <w:rFonts w:cs="David"/>
                <w:sz w:val="26"/>
                <w:szCs w:val="26"/>
                <w:rtl/>
              </w:rPr>
              <w:t>"המועצה" – המועצה שהוקמה לפי סעיף 3(ב);</w:t>
            </w:r>
          </w:p>
          <w:p w:rsidR="00000000" w:rsidRDefault="00493636">
            <w:pPr>
              <w:spacing w:line="360" w:lineRule="auto"/>
              <w:jc w:val="both"/>
              <w:rPr>
                <w:rFonts w:cs="David"/>
                <w:sz w:val="26"/>
                <w:szCs w:val="26"/>
              </w:rPr>
            </w:pPr>
            <w:r>
              <w:rPr>
                <w:rFonts w:cs="David"/>
                <w:sz w:val="26"/>
                <w:szCs w:val="26"/>
                <w:rtl/>
              </w:rPr>
              <w:t>"השר" – שר המשפטים.</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החלפת סעיף 2</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בסעיף 2 לחוק העיקרי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בסעיף קטן (ב) אחרי "באותו משרד רשאי"  יבוא "בתאום עם המב</w:t>
            </w:r>
            <w:r>
              <w:rPr>
                <w:rFonts w:cs="David"/>
                <w:sz w:val="26"/>
                <w:szCs w:val="26"/>
                <w:rtl/>
              </w:rPr>
              <w:t>קר הפנימי במשרד הממשלתי".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בסעיף קטן (ג) בסופו יבוא "כל ביקורת אחרת הקשורה במישרין לפעולות הכספיות שעליהן אחראי המנהל הכללי של המשרד הממשלתי, תיערך על ידי המבקר הפנימי של המשרד הממשלתי."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בסופו יבוא –</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"(ד)</w:t>
            </w:r>
          </w:p>
        </w:tc>
        <w:tc>
          <w:tcPr>
            <w:tcW w:w="5451" w:type="dxa"/>
            <w:gridSpan w:val="1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המבקר הפנימי יהיה עובד הגוף הצי</w:t>
            </w:r>
            <w:r>
              <w:rPr>
                <w:rFonts w:cs="David"/>
                <w:sz w:val="26"/>
                <w:szCs w:val="26"/>
                <w:rtl/>
              </w:rPr>
              <w:t>בורי ישובץ במדרג הארגוני הבכיר ביותר בגוף הציבורי. שכרו ותנאי עבודתו יוקבלו לשכר ותנאי העבודה של בעלי המשרות הבכירות הכפופים למנכ"ל הגוף הציבורי.;"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החלפת סעיף 3</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במקום סעיף 3 לחוק העיקרי יבוא: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"התאמה</w:t>
            </w: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(א)</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 xml:space="preserve">לא ימונה ולא יכהן בתפקיד מבקר פנימי בגוף </w:t>
            </w:r>
            <w:r>
              <w:rPr>
                <w:rFonts w:cs="David"/>
                <w:sz w:val="26"/>
                <w:szCs w:val="26"/>
                <w:rtl/>
              </w:rPr>
              <w:t>ציבורי אלא מי שהוא בעל  רישיון לפי חוק זה.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מוקמת בזה מועצת המבקרים הפנימיים וחבריה הם:</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מנכ"ל משרד המשפטים  והוא יהיה יושב ראש המועצה;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מנכ"ל משרד הפנים או נציג מטעמו;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נגיד בנק ישראל או נציג מטעמו;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נציב ש</w:t>
            </w:r>
            <w:r>
              <w:rPr>
                <w:rFonts w:cs="David"/>
                <w:sz w:val="26"/>
                <w:szCs w:val="26"/>
                <w:rtl/>
              </w:rPr>
              <w:t>ירות המדינה או נציג מטעמו;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(5)</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יושב ראש הרשות לניירות ערך או נציג מטעמו;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(6)</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יושב ראש המועצה להשכלה גבוהה או נציג מטעמו;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(7)</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נשיא לשכת המבקרים הפנימיים ועוד שישה נציגים נוספים של לשכת המבקרים הפנימיים, שמינה השר, בהתאם להמלצת לשכת המבק</w:t>
            </w:r>
            <w:r>
              <w:rPr>
                <w:rFonts w:cs="David"/>
                <w:sz w:val="26"/>
                <w:szCs w:val="26"/>
                <w:rtl/>
              </w:rPr>
              <w:t>רים הפנימיים; תקופת הכהונה של חבר מועצה המתמנה על פי  פסקה זו תהיה של שלוש שנים. חבר מועצה אשר תמה תקופת כהונתו, ניתן למנותו מחדש.</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(ג)</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המועצה תעניק רישיון מבקר פנימי לאדם, שנתקיימו לגביו כל אלה –</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יחיד;</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תושב ישראל;</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לא הורשע בעבירה שיש עמה קלון;</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בעל השכלה גבוהה כמפורט בסעיף קטן (ד) להלן;</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(5)</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השלים התמחות בעבודת ביקורת פנימית, אצל מי שהוסמך על-ידי המועצה, לאמן מתמחה בביקורת  פנימית; תקופת ההתמחות ותנאיה וכן התנאים למתן הסמכה לאמן לעני</w:t>
            </w:r>
            <w:r>
              <w:rPr>
                <w:rFonts w:cs="David"/>
                <w:sz w:val="26"/>
                <w:szCs w:val="26"/>
                <w:rtl/>
              </w:rPr>
              <w:t>ין פסקה זו יקבעו בכללים;</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(6)</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הוא עמד בבחינות מקצועיות, הנערכות מטעם המועצה בהתאם לכללים שקבעה;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(7)</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 xml:space="preserve"> הוא קיבל עליו לקיים את כללי האתיקה וההנחיות המקצועיות בביקורת פנימית, בביקורת המדינה או בביקורת ציבורית.</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(ד)</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לעניין סעיף קטן (ג)(4), "בע</w:t>
            </w:r>
            <w:r>
              <w:rPr>
                <w:rFonts w:cs="David"/>
                <w:sz w:val="26"/>
                <w:szCs w:val="26"/>
                <w:rtl/>
              </w:rPr>
              <w:t>ל השכלה גבוהה" - כל אחד מאלה: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בעל תואר אקדמי מאת מוסד מוכר להשכלה גבוהה כמשמעותו בחוק המועצה להשכלה גבוהה, התשי"ח-1958</w:t>
            </w:r>
            <w:r>
              <w:rPr>
                <w:rStyle w:val="ab"/>
                <w:rFonts w:cs="David"/>
                <w:sz w:val="26"/>
                <w:szCs w:val="26"/>
              </w:rPr>
              <w:footnoteReference w:id="6"/>
            </w:r>
            <w:r>
              <w:rPr>
                <w:rFonts w:cs="David"/>
                <w:sz w:val="26"/>
                <w:szCs w:val="26"/>
                <w:rtl/>
              </w:rPr>
              <w:t xml:space="preserve"> בביקורת פנימית, בביקורת המדינה או בביקורת ציבורית או בעל תואר אקדמי בביקורת פנימית או בביקורת המדינה א</w:t>
            </w:r>
            <w:r>
              <w:rPr>
                <w:rFonts w:cs="David"/>
                <w:sz w:val="26"/>
                <w:szCs w:val="26"/>
                <w:rtl/>
              </w:rPr>
              <w:t>ו בביקורת ציבורית מאת מוסד להשכלה גבוהה בחוץ לארץ, שהמועצה הכירה בו, בהתאם לכללים שקבעה כשווה ערך לתואר מוכר.</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בעל תואר אקדמי אחר מאת מוסד להשכלה גבוהה בישראל או בעל תואר אקדמי, מאת מוסד להשכלה גבוהה בחוץ לארץ, שהכיר בו לעניין זה מוסד להשכלה גבוה</w:t>
            </w:r>
            <w:r>
              <w:rPr>
                <w:rFonts w:cs="David"/>
                <w:sz w:val="26"/>
                <w:szCs w:val="26"/>
                <w:rtl/>
              </w:rPr>
              <w:t>ה בישראל, וסיים למודי הסמכה בביקורת פנימית או בביקורת המדינה או בביקורת ציבורית, שהוכרו על-ידי המועצה בהתאם לכללים שקבעה;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3719" w:type="dxa"/>
            <w:gridSpan w:val="3"/>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 xml:space="preserve">בעל תואר אקדמי  כאמור בפסקה (2) מוכר מאת מוסד להשכלה גבוהה שעמד במבחני הסמכה בינלאומיים וקיבל תעודת הסמכה בינלאומית שהוכרו </w:t>
            </w:r>
            <w:r>
              <w:rPr>
                <w:rFonts w:cs="David"/>
                <w:sz w:val="26"/>
                <w:szCs w:val="26"/>
                <w:rtl/>
              </w:rPr>
              <w:t>על ידי המועצה בהתאם לכללים שקבעה.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המועצה רשאית, ברוב של שלושה רבעים מכלל חבריה ומטעמים שירשמו, לפטור אדם מדרישות סעיף קטן (ג)(4), (5), או (6), כולן או חלקן ובלבד שהינו בעל 10 שנות ניסיון בעבודה בביקורת פנימית או בביקורת המדינה, ובהתאם לכללים שקבע</w:t>
            </w:r>
            <w:r>
              <w:rPr>
                <w:rFonts w:cs="David"/>
                <w:sz w:val="26"/>
                <w:szCs w:val="26"/>
                <w:rtl/>
              </w:rPr>
              <w:t>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(ו)</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כל החלטה של המועצה תהיה מנומקת.</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(ז)</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המועצה תקבע בכללים את סדרי הגשת הבקשה לרישיון, ואופן הטיפול בה.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(ח)</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המועצה תקבע את סדרי עבודתה;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(ט)</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סירבה המועצה לתת רישיון, רשאי מבקש הרישיון לערער על החלטתה; ערעור לפי סעיף זה יהיה לפני ב</w:t>
            </w:r>
            <w:r>
              <w:rPr>
                <w:rFonts w:cs="David"/>
                <w:sz w:val="26"/>
                <w:szCs w:val="26"/>
                <w:rtl/>
              </w:rPr>
              <w:t>ית המשפט המחוזי בשבתו בבית משפט לעניינים מנהליים והוא יוגש תוך שלושים ימים, מיום קבלת ההחלטה בידי המבקש.</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(י)</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השר רשאי לקבוע בתקנות הטלת אגרה בגין הגשת בקשה לרישיון מבקר פנימי ואת שיעורה, וכן לקבוע אגרה שנתית למי שמחזיק ברישיון מבקר פנימי.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 xml:space="preserve"> דרכי מ</w:t>
            </w:r>
            <w:r>
              <w:rPr>
                <w:rFonts w:cs="David"/>
                <w:sz w:val="26"/>
                <w:szCs w:val="26"/>
                <w:rtl/>
              </w:rPr>
              <w:t xml:space="preserve">ינוי </w:t>
            </w: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(יא)</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 xml:space="preserve"> מבקר פנימי ימונה לאחר בחירה בדרך של מכרז . ויאושר על ידי הגוף המאשר באותו גוף ציבורי.</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4</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בסעיף 4 לחוק העיקרי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בפסקה (5) במקום "כאמור בפסקאות (1) או (3) להגדרת גוף ציבורי שבסעיף 1" יבוא "על ידי מבקר המדינה כמשמעותו בחוק מ</w:t>
            </w:r>
            <w:r>
              <w:rPr>
                <w:rFonts w:cs="David"/>
                <w:sz w:val="26"/>
                <w:szCs w:val="26"/>
                <w:rtl/>
              </w:rPr>
              <w:t>בקר המדינה, בתשי"ח-1958 [נוסח משולב]"</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הוספת סעיף 4א</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5.</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אחרי סעיף 4 יבוא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"ברור תלונות הציבור</w:t>
            </w: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4א.</w:t>
            </w: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(א)</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המבקר הפנימי יברר  תלונות  של הציבור על הגוף  הציבורי שבו הוא משמש כמבקר  פנימי, לרבות תלונות על עובדים או על נושאי משרה באותו גוף ציבורי.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המבקר הפנימי יאשר בכתב קבלת כל תלונה תוך שלושים  ימי עבודה מיום קבלתה.</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(ג)</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בגמר הטיפול בתלונה ידווח המבקר הפנימי  בכתב למתלונן על ממצאיו.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(ד)</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הוראות סעיף 6 לעניין דיווח יחולו על ממצאי המבקר בטיפול בתלונות בשינויים המחויבים.</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הוג</w:t>
            </w:r>
            <w:r>
              <w:rPr>
                <w:rFonts w:cs="David"/>
                <w:sz w:val="26"/>
                <w:szCs w:val="26"/>
                <w:rtl/>
              </w:rPr>
              <w:t>שה תלונה על עובד לשכת המבקר הפנימי ,שחל עליו סעיף 13,  תתברר התלונה על ידי המנהל הכללי של הגוף הציבורי.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(ו)</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המבקר הפנימי יברר תלונה של עובד גוף ציבורי שהתלונן על מעשי שחיתות או פגיעה בטוהר המידות שבוצע במקום עבודתו. המבקר הפנימי לא יחשוף פרטים אודות</w:t>
            </w:r>
            <w:r>
              <w:rPr>
                <w:rFonts w:cs="David"/>
                <w:sz w:val="26"/>
                <w:szCs w:val="26"/>
                <w:rtl/>
              </w:rPr>
              <w:t xml:space="preserve"> המתלונן כאמור.</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67" w:type="dxa"/>
            <w:gridSpan w:val="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(ז)</w:t>
            </w:r>
          </w:p>
        </w:tc>
        <w:tc>
          <w:tcPr>
            <w:tcW w:w="3711" w:type="dxa"/>
            <w:gridSpan w:val="2"/>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אין בהוראות סעיף זה כדי לפגוע או להמעיט מסמכות ברור תלונות על פי כל דין".</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בסעיף קטן (ב) בסופו יבוא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"על פי תקנים מקצועיים מקובלים של לשכת המבקרים הפנימיים ישראל".</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5</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6.</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בסעיף 5 לחוק העיקרי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בסעיף קטן (א), במקום "הממונה על המבקר הפנימי במשרד ממשלתי יהיה השר הממונה על המשרד או מנהל כללי" יבוא "הממונים על המבקר הפנימי במשרד ממשלתי יהיו השר הממונה על המשרד והמנהל הכללי.";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במקום סעיף קטן (ד) יבוא: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"(ד)</w:t>
            </w:r>
          </w:p>
        </w:tc>
        <w:tc>
          <w:tcPr>
            <w:tcW w:w="5451" w:type="dxa"/>
            <w:gridSpan w:val="1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הממונים על המבקרים הפנימיים בגופ</w:t>
            </w:r>
            <w:r>
              <w:rPr>
                <w:rFonts w:cs="David"/>
                <w:sz w:val="26"/>
                <w:szCs w:val="26"/>
                <w:rtl/>
              </w:rPr>
              <w:t>ים ציבוריים אחרים יהיו יו"ר הדירקטוריון והמנכ"ל של הגוף הציבורי או יו"ר הגוף הממלא תפקיד מקביל לשל דירקטוריון או מועצה ציבורית והמנהלים הכללים של גופים אלו.";</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אחרי סעיף קטן (ד) יבוא: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p>
        </w:tc>
        <w:tc>
          <w:tcPr>
            <w:tcW w:w="681"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"(ד1)</w:t>
            </w:r>
          </w:p>
        </w:tc>
        <w:tc>
          <w:tcPr>
            <w:tcW w:w="5337" w:type="dxa"/>
            <w:gridSpan w:val="14"/>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בכל גוף ציבורי אחר הממונה על המבקר הפנימי יהיה בעל התפ</w:t>
            </w:r>
            <w:r>
              <w:rPr>
                <w:rFonts w:cs="David"/>
                <w:sz w:val="26"/>
                <w:szCs w:val="26"/>
                <w:rtl/>
              </w:rPr>
              <w:t>קיד הניהולי הבכיר ביותר בגוף הציבורי."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(4)</w:t>
            </w:r>
          </w:p>
        </w:tc>
        <w:tc>
          <w:tcPr>
            <w:tcW w:w="6018" w:type="dxa"/>
            <w:gridSpan w:val="17"/>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במקום סעיף קטן (ה) יבוא: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p>
        </w:tc>
        <w:tc>
          <w:tcPr>
            <w:tcW w:w="681"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"(ה)</w:t>
            </w:r>
          </w:p>
        </w:tc>
        <w:tc>
          <w:tcPr>
            <w:tcW w:w="5337" w:type="dxa"/>
            <w:gridSpan w:val="14"/>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כפיפותו של מבקר פנימי לממונה עליו היא ארגונית או מנהלית בלבד."</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6</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7.</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במקום סעיף 6 (ב) לחוק העיקרי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בנוסף על האמור בסעיף קטן (א) יגיש המבקר הפנימי כל</w:t>
            </w:r>
            <w:r>
              <w:rPr>
                <w:rFonts w:cs="David"/>
                <w:sz w:val="26"/>
                <w:szCs w:val="26"/>
                <w:rtl/>
              </w:rPr>
              <w:t xml:space="preserve"> דין וחשבון שלו גם לגוף או לאדם שבפניו אחראי הממונה ובגוף ציבורי אחר גם ליו"ר הדירקטוריון אם הוא לא הממונה עליו, וליו"ר ועדת ביקורת אם קיימת באותו גוף ציבורי."</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החלפת סעיף 7</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8.</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במקום סעיף 7 לחוק העיקרי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"אישור תכנית העבודה</w:t>
            </w: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7.</w:t>
            </w: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(א)</w:t>
            </w:r>
          </w:p>
        </w:tc>
        <w:tc>
          <w:tcPr>
            <w:tcW w:w="4278" w:type="dxa"/>
            <w:gridSpan w:val="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תוכנית העבודה של </w:t>
            </w:r>
            <w:r>
              <w:rPr>
                <w:rFonts w:cs="David"/>
                <w:sz w:val="26"/>
                <w:szCs w:val="26"/>
                <w:rtl/>
              </w:rPr>
              <w:t>המבקר הפנימי תיקבע על ידו בהתייעצות  עם הממונה עליו כאמור בסעיף 5.</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(ב)</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השר הממונה על משרד ממשלתי, יו"ר דירקטוריון או יו"ר של גוף הממלא תפקיד מקביל לשל דירקטוריון וכן הממונה, רשאים להטיל על המבקר הפנימי משימות של ביקורת פנימית נוספות על הקבועות בתוכני</w:t>
            </w:r>
            <w:r>
              <w:rPr>
                <w:rFonts w:cs="David"/>
                <w:sz w:val="26"/>
                <w:szCs w:val="26"/>
                <w:rtl/>
              </w:rPr>
              <w:t>ת עבודה כאמור בסעיף קטן (א).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189" w:type="dxa"/>
            <w:gridSpan w:val="3"/>
            <w:tcBorders>
              <w:top w:val="nil"/>
              <w:left w:val="nil"/>
              <w:bottom w:val="nil"/>
              <w:right w:val="nil"/>
            </w:tcBorders>
          </w:tcPr>
          <w:p w:rsidR="00000000" w:rsidRDefault="00493636">
            <w:pPr>
              <w:spacing w:line="360" w:lineRule="auto"/>
              <w:jc w:val="both"/>
              <w:rPr>
                <w:rFonts w:cs="David"/>
                <w:sz w:val="26"/>
                <w:szCs w:val="26"/>
              </w:rPr>
            </w:pPr>
          </w:p>
        </w:tc>
        <w:tc>
          <w:tcPr>
            <w:tcW w:w="558" w:type="dxa"/>
            <w:gridSpan w:val="6"/>
            <w:tcBorders>
              <w:top w:val="nil"/>
              <w:left w:val="nil"/>
              <w:bottom w:val="nil"/>
              <w:right w:val="nil"/>
            </w:tcBorders>
          </w:tcPr>
          <w:p w:rsidR="00000000" w:rsidRDefault="00493636">
            <w:pPr>
              <w:spacing w:line="360" w:lineRule="auto"/>
              <w:jc w:val="both"/>
              <w:rPr>
                <w:rFonts w:cs="David"/>
                <w:sz w:val="26"/>
                <w:szCs w:val="26"/>
              </w:rPr>
            </w:pPr>
          </w:p>
        </w:tc>
        <w:tc>
          <w:tcPr>
            <w:tcW w:w="560" w:type="dxa"/>
            <w:gridSpan w:val="3"/>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(ג)</w:t>
            </w:r>
          </w:p>
        </w:tc>
        <w:tc>
          <w:tcPr>
            <w:tcW w:w="4278" w:type="dxa"/>
            <w:gridSpan w:val="6"/>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הממונים יעמידו לרשות המבקר הפנימי את המשאבים הנדרשים לביצוע מטלות הביקורת בהתבסס על תוכניות המותאמות או אלו שנוספו לו לפי סעיף 7(ב)."</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8</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9.</w:t>
            </w:r>
          </w:p>
        </w:tc>
        <w:tc>
          <w:tcPr>
            <w:tcW w:w="6585" w:type="dxa"/>
            <w:gridSpan w:val="18"/>
            <w:tcBorders>
              <w:top w:val="nil"/>
              <w:left w:val="nil"/>
              <w:bottom w:val="nil"/>
              <w:right w:val="nil"/>
            </w:tcBorders>
          </w:tcPr>
          <w:p w:rsidR="00000000" w:rsidRDefault="00493636">
            <w:pPr>
              <w:spacing w:line="360" w:lineRule="auto"/>
              <w:jc w:val="both"/>
              <w:rPr>
                <w:rFonts w:cs="David"/>
                <w:sz w:val="26"/>
                <w:szCs w:val="26"/>
                <w:rtl/>
              </w:rPr>
            </w:pPr>
            <w:r>
              <w:rPr>
                <w:rFonts w:cs="David"/>
                <w:sz w:val="26"/>
                <w:szCs w:val="26"/>
                <w:rtl/>
              </w:rPr>
              <w:t>בסעיף 8לחוק העיקרי, בסעיף קטן (א),  הסיפה המתחילה במילים "ואף זא</w:t>
            </w:r>
            <w:r>
              <w:rPr>
                <w:rFonts w:cs="David"/>
                <w:sz w:val="26"/>
                <w:szCs w:val="26"/>
                <w:rtl/>
              </w:rPr>
              <w:t xml:space="preserve">ת" תימחק.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החלפת סעיף 10</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10.</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במקום סעיף 10 לחוק העיקרי יבוא:</w:t>
            </w:r>
          </w:p>
          <w:p w:rsidR="00000000" w:rsidRDefault="00493636">
            <w:pPr>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1602" w:type="dxa"/>
            <w:gridSpan w:val="6"/>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"קבלת הביקורת כראיה</w:t>
            </w:r>
          </w:p>
        </w:tc>
        <w:tc>
          <w:tcPr>
            <w:tcW w:w="560" w:type="dxa"/>
            <w:gridSpan w:val="5"/>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10.</w:t>
            </w:r>
          </w:p>
        </w:tc>
        <w:tc>
          <w:tcPr>
            <w:tcW w:w="4423" w:type="dxa"/>
            <w:gridSpan w:val="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דו"ח או כל מסמך אחר שהוציא או הכין המבקר הפנימי או הודעה שהתקבלה אגב מילוי תפקידיו לא יוצגו, לא יובאו ולא ישמשו כראיה בכל הליך משפטי, אך לא יהיו פסולים בשל כך לשמש</w:t>
            </w:r>
            <w:r>
              <w:rPr>
                <w:rFonts w:cs="David"/>
                <w:sz w:val="26"/>
                <w:szCs w:val="26"/>
                <w:rtl/>
              </w:rPr>
              <w:t xml:space="preserve"> ראיה בהליך משמעתי. מבקר פנימי לא יוזמן להעיד בפני בית משפט בכל הליך משפטי הנוגע למקום עבודתו, אלא אם ימצא לנכון בית המשפט בנסיבות מיוחדות אותן ינמק בהחלטתו."</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12</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11.</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בסעיף 12 לחוק העיקרי, בסופו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"(ג)</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המבקר הפנימי יכול לערער על החלטת ה</w:t>
            </w:r>
            <w:r>
              <w:rPr>
                <w:rFonts w:cs="David"/>
                <w:sz w:val="26"/>
                <w:szCs w:val="26"/>
                <w:rtl/>
              </w:rPr>
              <w:t xml:space="preserve">פסקת כהונתו במשרדי ממשלה בפני ועדה ציבורית בה יהיו חברים נציב שרות המדינה, נציג המשרד הנוגע לעניין ונציג לשכת המבקרים הפנימיים, בבנק ישראל בפני ועדה ציבורית  בה יהיו חברים נגיד בנק ישראל, נציג לשכת המבקרים הפנימיים ונציג משרד מבקר המדינה, ובגוף ציבורי אחר </w:t>
            </w:r>
            <w:r>
              <w:rPr>
                <w:rFonts w:cs="David"/>
                <w:sz w:val="26"/>
                <w:szCs w:val="26"/>
                <w:rtl/>
              </w:rPr>
              <w:t xml:space="preserve">ועדה ציבורית שתכלול נציג הגוף הציבורי נציג הגוף המפקח על הגוף הציבורי ונציג לשכת המבקרים הפנימיים."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13</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12.</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בסעיף 13 לחוק העיקרי, בסופו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"(ה)</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לא יועסקו מבקרים פנימיים בעבודות ביקורת, אלא מי שיש לו רישיון לפי סעיף 3 לחוק, למעט עובדי</w:t>
            </w:r>
            <w:r>
              <w:rPr>
                <w:rFonts w:cs="David"/>
                <w:sz w:val="26"/>
                <w:szCs w:val="26"/>
                <w:rtl/>
              </w:rPr>
              <w:t>ם בתקופת ניסיון ; עם זאת רשאי המבקר הפנימי להעסיק עובדים מומחים למקצועות מוגדרים לצורך מטלות בתחום התמחותם."</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15</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13.</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בסעיף 15 לחוק העיקרי, האמור בו יסומן "(א)" ואחריו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השר יקבע בתקנות את גובה הקנס."</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 xml:space="preserve">תיקון </w:t>
            </w:r>
          </w:p>
          <w:p w:rsidR="00000000" w:rsidRDefault="00493636">
            <w:pPr>
              <w:jc w:val="both"/>
              <w:rPr>
                <w:rFonts w:cs="David"/>
                <w:sz w:val="26"/>
                <w:szCs w:val="26"/>
              </w:rPr>
            </w:pPr>
            <w:r>
              <w:rPr>
                <w:rFonts w:cs="David"/>
                <w:sz w:val="26"/>
                <w:szCs w:val="26"/>
                <w:rtl/>
              </w:rPr>
              <w:t>סעיף 24</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14.</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 xml:space="preserve">בסעיף 24 </w:t>
            </w:r>
            <w:r>
              <w:rPr>
                <w:rFonts w:cs="David"/>
                <w:sz w:val="26"/>
                <w:szCs w:val="26"/>
                <w:rtl/>
              </w:rPr>
              <w:t>לחוק העיקרי, בסופו יבוא: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"(ד)</w:t>
            </w: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(1)</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אין בהוראות תיקון חוק זה, בעניין רישוי מבקר פנימי, כדי לפגוע בכהונתו של מי שמילא בפועל את התפקיד של המבקר הפנימי או עסק בביקורת פנימית בגוף ציבורי ערב פרסומו של תיקון חוק זה, אף אם אין לו רישיון לעסוק בביקורת פנימית.</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(2)</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מועצת המבקרים הפנימיים תהיה רשאית להעניק רישיון לכהן כמבקר פנימי, בהתאם לכללים  שתקבע לעצמה, גם למי שלא ממלא אחר התנאים הנדרשים על מנת לקבל רישיון כזה כולם או אחד מהם , למי שכיהן כמבקר פנימי או עסק בביקורת פנימית לפני כניסתו של תיקון זה לתוקף."</w:t>
            </w:r>
          </w:p>
          <w:p w:rsidR="00000000" w:rsidRDefault="00493636">
            <w:pPr>
              <w:tabs>
                <w:tab w:val="left" w:pos="5371"/>
              </w:tabs>
              <w:spacing w:line="360" w:lineRule="auto"/>
              <w:jc w:val="both"/>
              <w:rPr>
                <w:rFonts w:cs="David"/>
                <w:sz w:val="26"/>
                <w:szCs w:val="26"/>
              </w:rPr>
            </w:pP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tl/>
              </w:rPr>
            </w:pPr>
            <w:r>
              <w:rPr>
                <w:rFonts w:cs="David"/>
                <w:sz w:val="26"/>
                <w:szCs w:val="26"/>
                <w:rtl/>
              </w:rPr>
              <w:t>תי</w:t>
            </w:r>
            <w:r>
              <w:rPr>
                <w:rFonts w:cs="David"/>
                <w:sz w:val="26"/>
                <w:szCs w:val="26"/>
                <w:rtl/>
              </w:rPr>
              <w:t xml:space="preserve">קון </w:t>
            </w:r>
          </w:p>
          <w:p w:rsidR="00000000" w:rsidRDefault="00493636">
            <w:pPr>
              <w:jc w:val="both"/>
              <w:rPr>
                <w:rFonts w:cs="David"/>
              </w:rPr>
            </w:pPr>
            <w:r>
              <w:rPr>
                <w:rFonts w:cs="David"/>
                <w:sz w:val="26"/>
                <w:szCs w:val="26"/>
                <w:rtl/>
              </w:rPr>
              <w:t>חוק החברות</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15.</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בחוק החברות, התשנ"ט – 1999</w:t>
            </w:r>
            <w:r>
              <w:rPr>
                <w:rStyle w:val="ab"/>
                <w:rFonts w:cs="David"/>
                <w:sz w:val="26"/>
                <w:szCs w:val="26"/>
                <w:rtl/>
              </w:rPr>
              <w:footnoteReference w:id="7"/>
            </w:r>
            <w:r>
              <w:rPr>
                <w:rFonts w:cs="David"/>
                <w:sz w:val="26"/>
                <w:szCs w:val="26"/>
                <w:rtl/>
              </w:rPr>
              <w:t xml:space="preserve">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האמור בסעיף 152 יסומן "(א)" ואחריו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"(ב)</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הוגש דין וחשבון של המבקר הפנימי, כאמור בסעיף קטן (א), תקיים הנהלת החברה או ועדת הביקורת שלה, דיון בממצאיו של המבקר הפנימי תוך</w:t>
            </w:r>
            <w:r>
              <w:rPr>
                <w:rFonts w:cs="David"/>
                <w:sz w:val="26"/>
                <w:szCs w:val="26"/>
                <w:rtl/>
              </w:rPr>
              <w:t xml:space="preserve"> 45 ימים מיום הגשתו. לא פעלה הנהלת החברה או ועדת הביקורת כאמור, רשאי כל אחד מחבריה לפנות ליו"ר הדירקטוריון או ליו"ר ועדת הביקורת בכתב ולדרוש קיום הדיון. הייתה דרישה כאמור, יורה יו"ר הדירקטוריון או יו"ר ועדת ביקורת על קיום הדיון תוך 30 ימים מקבלת הדרישה.";</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152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1180" w:type="dxa"/>
            <w:gridSpan w:val="8"/>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"גילוי עבירה פלילית</w:t>
            </w:r>
          </w:p>
        </w:tc>
        <w:tc>
          <w:tcPr>
            <w:tcW w:w="742"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152א.</w:t>
            </w:r>
          </w:p>
        </w:tc>
        <w:tc>
          <w:tcPr>
            <w:tcW w:w="560" w:type="dxa"/>
            <w:gridSpan w:val="3"/>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(א)</w:t>
            </w:r>
          </w:p>
        </w:tc>
        <w:tc>
          <w:tcPr>
            <w:tcW w:w="3536" w:type="dxa"/>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העלתה הביקורת הפנימית בחברה יסוד להניח שבוצעה עבירה פלילית, יביא המבקר הפנימי את העניין ללא דחוי לידיעת הממונה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1180" w:type="dxa"/>
            <w:gridSpan w:val="8"/>
            <w:tcBorders>
              <w:top w:val="nil"/>
              <w:left w:val="nil"/>
              <w:bottom w:val="nil"/>
              <w:right w:val="nil"/>
            </w:tcBorders>
          </w:tcPr>
          <w:p w:rsidR="00000000" w:rsidRDefault="00493636">
            <w:pPr>
              <w:tabs>
                <w:tab w:val="left" w:pos="5371"/>
              </w:tabs>
              <w:spacing w:line="360" w:lineRule="auto"/>
              <w:rPr>
                <w:rFonts w:cs="David"/>
                <w:sz w:val="26"/>
                <w:szCs w:val="26"/>
              </w:rPr>
            </w:pPr>
          </w:p>
        </w:tc>
        <w:tc>
          <w:tcPr>
            <w:tcW w:w="742"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0" w:type="dxa"/>
            <w:gridSpan w:val="3"/>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(ב)</w:t>
            </w:r>
          </w:p>
        </w:tc>
        <w:tc>
          <w:tcPr>
            <w:tcW w:w="3536" w:type="dxa"/>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היה למבקר הפנימי יסוד להאמין שהממונה מעורב בעבירה פלילית יעביר המבקר </w:t>
            </w:r>
            <w:r>
              <w:rPr>
                <w:rFonts w:cs="David"/>
                <w:sz w:val="26"/>
                <w:szCs w:val="26"/>
                <w:rtl/>
              </w:rPr>
              <w:t xml:space="preserve">את העניין במישרין לידיעת  יושב ראש רשות ני"ע.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1180" w:type="dxa"/>
            <w:gridSpan w:val="8"/>
            <w:tcBorders>
              <w:top w:val="nil"/>
              <w:left w:val="nil"/>
              <w:bottom w:val="nil"/>
              <w:right w:val="nil"/>
            </w:tcBorders>
          </w:tcPr>
          <w:p w:rsidR="00000000" w:rsidRDefault="00493636">
            <w:pPr>
              <w:tabs>
                <w:tab w:val="left" w:pos="5371"/>
              </w:tabs>
              <w:spacing w:line="360" w:lineRule="auto"/>
              <w:rPr>
                <w:rFonts w:cs="David"/>
                <w:sz w:val="26"/>
                <w:szCs w:val="26"/>
              </w:rPr>
            </w:pPr>
          </w:p>
        </w:tc>
        <w:tc>
          <w:tcPr>
            <w:tcW w:w="742"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0" w:type="dxa"/>
            <w:gridSpan w:val="3"/>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(ג)</w:t>
            </w:r>
          </w:p>
        </w:tc>
        <w:tc>
          <w:tcPr>
            <w:tcW w:w="3536" w:type="dxa"/>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אלה דינם קנס – מי שחלה עליו חובה בתוקף תפקידו למנות מבקר                      פנימי ולא עשה כן ואין לו הצדק סביר לכך; מי שמינה מבקר פנימי                       ביודעו שאינו כשיר לכך לפי סעיף 3  לחוק</w:t>
            </w:r>
            <w:r>
              <w:rPr>
                <w:rFonts w:cs="David"/>
                <w:sz w:val="26"/>
                <w:szCs w:val="26"/>
                <w:rtl/>
              </w:rPr>
              <w:t xml:space="preserve"> הביקורת הפנימית ומי שהפר                 ביודעין חובה המוטלת עליו לפי סעיף 9(א) לחוק הביקורת הפנימית או                  מנע ממנו גישה, ביקור או ביקה כאמור בסעיף 9(ב) או (ג) לחוק                            הביקורת הפנימית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האמור בסעיף 371 יסומן "(</w:t>
            </w:r>
            <w:r>
              <w:rPr>
                <w:rFonts w:cs="David"/>
                <w:sz w:val="26"/>
                <w:szCs w:val="26"/>
                <w:rtl/>
              </w:rPr>
              <w:t>א)" ואחריו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"(ב)</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על מבקר פנימי בחברה ציבורית יחולו הוראות סעיף 24(ד) לחוק הביקורת הפנימית, התשנ"ב-1992."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תיקון פקודת הבנקאות</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16.</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בפקודת הבנקאות, 1941</w:t>
            </w:r>
            <w:r>
              <w:rPr>
                <w:rStyle w:val="ab"/>
                <w:rFonts w:cs="David"/>
                <w:sz w:val="26"/>
                <w:szCs w:val="26"/>
                <w:rtl/>
              </w:rPr>
              <w:footnoteReference w:id="8"/>
            </w:r>
            <w:r>
              <w:rPr>
                <w:rFonts w:cs="David"/>
                <w:sz w:val="26"/>
                <w:szCs w:val="26"/>
                <w:rtl/>
              </w:rPr>
              <w:t>, בסעיף 14ה-</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קטן (ג), המילים "למעט ס</w:t>
            </w:r>
            <w:r>
              <w:rPr>
                <w:rFonts w:cs="David"/>
                <w:sz w:val="26"/>
                <w:szCs w:val="26"/>
                <w:rtl/>
              </w:rPr>
              <w:t>עיף קטן (א)(2)" – יימחקו ובסופו יבוא "ו-24(ד)";</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קטן (ד)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858" w:type="dxa"/>
            <w:gridSpan w:val="4"/>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"(ד1)</w:t>
            </w:r>
          </w:p>
        </w:tc>
        <w:tc>
          <w:tcPr>
            <w:tcW w:w="5160" w:type="dxa"/>
            <w:gridSpan w:val="13"/>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הוגש דיו וחשבון של המבקר הפנימי כאמור, תקיים הנהלת התאגיד הבנקאי  או ועדת הביקורת שלו דיון בממצאיו תוך 45 ימים מיום הגשתו. לא פעלה הנהלת התאגיד הבנקאי או ועדת הביקור</w:t>
            </w:r>
            <w:r>
              <w:rPr>
                <w:rFonts w:cs="David"/>
                <w:sz w:val="26"/>
                <w:szCs w:val="26"/>
                <w:rtl/>
              </w:rPr>
              <w:t xml:space="preserve">ת כאמור, רשאי כל אחד מחבריה לפנות ליו"ר הדירקטוריון או ליו"ר ועדת הביקורת בכתב ולדרוש קיום דיון, הייתה דרישה כאמור יורה יו"ר הדירקטוריון או יו"ר ועדת הביקורת על קיום הדיון תוך 30 ימים מקבלת הדרישה."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קטן (ו)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"(ז)</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על מבקר פנימי </w:t>
            </w:r>
            <w:r>
              <w:rPr>
                <w:rFonts w:cs="David"/>
                <w:sz w:val="26"/>
                <w:szCs w:val="26"/>
                <w:rtl/>
              </w:rPr>
              <w:t xml:space="preserve">של תאגיד בנקאי יחולו הוראות סעיפים  146 (ב) 148 149  150 ו - 153 לחוק החברות".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(4)</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קטן (ג), במקום "7" יבוא "8";</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(5)</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סעיף קטן (ה) –בטל;</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(6)</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אחרי סעיף קטן (ז) יבוא</w:t>
            </w:r>
            <w:r>
              <w:rPr>
                <w:rFonts w:cs="David"/>
                <w:sz w:val="26"/>
                <w:szCs w:val="26"/>
              </w:rPr>
              <w:t>:</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"(ח)</w:t>
            </w: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העלתה הביקורת בבנק יסוד להאמין שבוצעה עבירה פלילית, יביא המ</w:t>
            </w:r>
            <w:r>
              <w:rPr>
                <w:rFonts w:cs="David"/>
                <w:sz w:val="26"/>
                <w:szCs w:val="26"/>
                <w:rtl/>
              </w:rPr>
              <w:t xml:space="preserve">בקר הפנימי את העניין ללא דחוי לידיעת הממונה.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היה למבקר הפנימי בבנק יסוד להאמין שהממונה מעורב בעבירה פלילית יעביר את העניין במישרין למפקח על הבנקים.</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(ט)</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ואלה דינם קנס -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מי שחלה עליו חובה בתוקף תפקידו למנות מבקר פנימי ולא  עשה כן</w:t>
            </w:r>
            <w:r>
              <w:rPr>
                <w:rFonts w:cs="David"/>
                <w:sz w:val="26"/>
                <w:szCs w:val="26"/>
                <w:rtl/>
              </w:rPr>
              <w:t xml:space="preserve"> ואין לו הצדק  סביר לכך;</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שמינה מבקר פנימי ביודעו שאינו כשיר                 לכך לפי סעיף</w:t>
            </w:r>
            <w:r>
              <w:rPr>
                <w:rFonts w:cs="David"/>
                <w:sz w:val="26"/>
                <w:szCs w:val="26"/>
              </w:rPr>
              <w:t xml:space="preserve"> </w:t>
            </w:r>
            <w:r>
              <w:rPr>
                <w:rFonts w:cs="David"/>
                <w:sz w:val="26"/>
                <w:szCs w:val="26"/>
                <w:rtl/>
              </w:rPr>
              <w:t>3</w:t>
            </w:r>
            <w:r>
              <w:rPr>
                <w:rFonts w:cs="David"/>
                <w:sz w:val="26"/>
                <w:szCs w:val="26"/>
              </w:rPr>
              <w:t xml:space="preserve"> </w:t>
            </w:r>
            <w:r>
              <w:rPr>
                <w:rFonts w:cs="David"/>
                <w:sz w:val="26"/>
                <w:szCs w:val="26"/>
                <w:rtl/>
              </w:rPr>
              <w:t>לחוק הביקורת הפנימית;</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"ומי שהפר ביודעין חובה שמוטלת עליו לפי סעיף 9(א)</w:t>
            </w:r>
            <w:r>
              <w:rPr>
                <w:rFonts w:cs="David"/>
                <w:sz w:val="26"/>
                <w:szCs w:val="26"/>
              </w:rPr>
              <w:t xml:space="preserve"> </w:t>
            </w:r>
            <w:r>
              <w:rPr>
                <w:rFonts w:cs="David"/>
                <w:sz w:val="26"/>
                <w:szCs w:val="26"/>
                <w:rtl/>
              </w:rPr>
              <w:t xml:space="preserve">לחוק הביקורת הפנימית או מנע ממבקר גישה ביקור או בדיקה כאמור בסעיף 9(ב) </w:t>
            </w:r>
            <w:r>
              <w:rPr>
                <w:rFonts w:cs="David"/>
                <w:sz w:val="26"/>
                <w:szCs w:val="26"/>
                <w:rtl/>
              </w:rPr>
              <w:t>או</w:t>
            </w:r>
            <w:r>
              <w:rPr>
                <w:rFonts w:cs="David"/>
                <w:sz w:val="26"/>
                <w:szCs w:val="26"/>
              </w:rPr>
              <w:t xml:space="preserve"> </w:t>
            </w:r>
            <w:r>
              <w:rPr>
                <w:rFonts w:cs="David"/>
                <w:sz w:val="26"/>
                <w:szCs w:val="26"/>
                <w:rtl/>
              </w:rPr>
              <w:t>(ג) לחוק הביקורת הפנימית."</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r>
              <w:rPr>
                <w:rFonts w:cs="David"/>
                <w:sz w:val="26"/>
                <w:szCs w:val="26"/>
                <w:rtl/>
              </w:rPr>
              <w:t xml:space="preserve">תיקון חוק הפיקוח על עסקי ביטוח </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17.</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בחוק הפיקוח על עסקי ביטוח, התשמ"א –1981</w:t>
            </w:r>
            <w:r>
              <w:rPr>
                <w:rStyle w:val="ab"/>
                <w:rFonts w:cs="David"/>
                <w:sz w:val="26"/>
                <w:szCs w:val="26"/>
                <w:rtl/>
              </w:rPr>
              <w:footnoteReference w:id="9"/>
            </w:r>
            <w:r>
              <w:rPr>
                <w:rFonts w:cs="David"/>
                <w:sz w:val="26"/>
                <w:szCs w:val="26"/>
                <w:rtl/>
              </w:rPr>
              <w:t xml:space="preserve">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92א' בסעיף קטן (ג),  אחרי "ו-24(ג)" יבוא "ו-24(ד)";</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בסעיף 92א, אחרי  סעיף קטן (ד)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858" w:type="dxa"/>
            <w:gridSpan w:val="4"/>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"(ד1)</w:t>
            </w:r>
          </w:p>
        </w:tc>
        <w:tc>
          <w:tcPr>
            <w:tcW w:w="5160" w:type="dxa"/>
            <w:gridSpan w:val="13"/>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w:t>
            </w:r>
            <w:r>
              <w:rPr>
                <w:rFonts w:cs="David"/>
                <w:sz w:val="26"/>
                <w:szCs w:val="26"/>
                <w:rtl/>
              </w:rPr>
              <w:t>וגש דיו וחשבון של המבקר הפנימי כאמור, תקיים הנהלת  המבטח או ועדת הביקורת שלו דיון בממצאיו תוך 45 ימים מיום הגשתו. לא פעלה הנהלת  המבטח או ועדת הביקורת כאמור, רשאי כל אחד מחבריה לפנות ליו"ר הדירקטוריון או ליו"ר ועדת הביקורת בכתב ולדרוש קיום דיון, הייתה דריש</w:t>
            </w:r>
            <w:r>
              <w:rPr>
                <w:rFonts w:cs="David"/>
                <w:sz w:val="26"/>
                <w:szCs w:val="26"/>
                <w:rtl/>
              </w:rPr>
              <w:t>ה כאמור יורה יו"ר הדירקטוריון או יו"ר ועדת הביקורת על קיום הדיון תוך 30 ימים מקבלת הדרישה."</w:t>
            </w:r>
          </w:p>
          <w:p w:rsidR="00000000" w:rsidRDefault="00493636">
            <w:pPr>
              <w:tabs>
                <w:tab w:val="left" w:pos="5371"/>
              </w:tabs>
              <w:spacing w:line="360" w:lineRule="auto"/>
              <w:jc w:val="both"/>
              <w:rPr>
                <w:rFonts w:cs="David"/>
                <w:sz w:val="26"/>
                <w:szCs w:val="26"/>
              </w:rPr>
            </w:pP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קטן (ג) במקום "7" יבוא "8";</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(4)</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סעיף קטן (ה) – בטל;</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(5)</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קטן (ו) יבוא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"(ז)</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על מבקר פנימי של מבטח יחולו סעיפים 146 (ב</w:t>
            </w:r>
            <w:r>
              <w:rPr>
                <w:rFonts w:cs="David"/>
                <w:sz w:val="26"/>
                <w:szCs w:val="26"/>
                <w:rtl/>
              </w:rPr>
              <w:t>) 148, 149, 150 ו – 153 לחוק  החברות.</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(6)</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קטן (ז)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"(ח)</w:t>
            </w: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העלתה הביקורת  אצל מבטח יסוד להניח שבוצעה עבירה פלילית יביא המבקר   הפנימי את העניין ללא דחוי לידיעת הממונה.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היה למבקר הפנימי אצל מבטח יסוד להאמין שהממונה מעור</w:t>
            </w:r>
            <w:r>
              <w:rPr>
                <w:rFonts w:cs="David"/>
                <w:sz w:val="26"/>
                <w:szCs w:val="26"/>
                <w:rtl/>
              </w:rPr>
              <w:t>ב בעבירה פלילית יעביר את העניין במישרין לידיעת המפקח על הביטוח;</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(ט)</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אלה דינם קנס -  </w:t>
            </w:r>
          </w:p>
          <w:p w:rsidR="00000000" w:rsidRDefault="00493636">
            <w:pPr>
              <w:spacing w:line="360" w:lineRule="auto"/>
              <w:rPr>
                <w:rFonts w:cs="David"/>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מי שחלה עליו חובה בתוקף תפקידו למנות מבקר פנימי ולא עשה כן , ואין לו הצדק סביר לכך;</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jc w:val="both"/>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שמינה מבקר פנימי ביודעו שאינו כשיר לכך לפי סעיף 3 לחוק הביקו</w:t>
            </w:r>
            <w:r>
              <w:rPr>
                <w:rFonts w:cs="David"/>
                <w:sz w:val="26"/>
                <w:szCs w:val="26"/>
                <w:rtl/>
              </w:rPr>
              <w:t>רת הפנימית. או מי שהפר ביודעין חובה המוטלת עליו לפי סעיף 9(א) לחוק הביקורת הפנימית או מנע ממבקר גישה, ביקור או בדיקה כאמור בסעיף 9(ב) או (ג) לחוק הביקורת הפנימית."</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r>
              <w:rPr>
                <w:rFonts w:cs="David"/>
                <w:sz w:val="26"/>
                <w:szCs w:val="26"/>
                <w:rtl/>
              </w:rPr>
              <w:t>תיקון חוק המועצה להשכלה גבוהה</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16.</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בחוק המועצה להשכלה גבוהה, התשי"ח-1958</w:t>
            </w:r>
            <w:r>
              <w:rPr>
                <w:rStyle w:val="ab"/>
                <w:rFonts w:cs="David"/>
                <w:sz w:val="26"/>
                <w:szCs w:val="26"/>
                <w:rtl/>
              </w:rPr>
              <w:footnoteReference w:id="10"/>
            </w:r>
            <w:r>
              <w:rPr>
                <w:rFonts w:cs="David"/>
                <w:sz w:val="26"/>
                <w:szCs w:val="26"/>
                <w:rtl/>
              </w:rPr>
              <w:t xml:space="preserve">, בסעיף 15א -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במקום "ו- 24(ג)" יבוא "24(ג) ו-(ד)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האמור בו יסומן "(1)" ואחריו יבוא: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הוגש דיו וחשבון של המבקר הפנימי כאמור, תקיים הנהלת התאגיד  או ועדת הביקורת שלו דיון בממצאיו תוך 45 ימים מיום הגשתו. לא פעלה הנהלת התאגיד</w:t>
            </w:r>
            <w:r>
              <w:rPr>
                <w:rFonts w:cs="David"/>
                <w:sz w:val="26"/>
                <w:szCs w:val="26"/>
                <w:rtl/>
              </w:rPr>
              <w:t xml:space="preserve"> או ועדת הביקורת כאמור, רשאי כל אחד מחבריה לפנות ליו"ר הדירקטוריון או ליו"ר ועדת הביקורת בכתב ולדרוש קיום דיון, הייתה דרישה כאמור יורה יו"ר הדירקטוריון או יו"ר ועדת הביקורת על קיום הדיון תוך 30 ימים מקבלת הדרישה ."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העלתה הביקורת הפנימית יסוד להני</w:t>
            </w:r>
            <w:r>
              <w:rPr>
                <w:rFonts w:cs="David"/>
                <w:sz w:val="26"/>
                <w:szCs w:val="26"/>
                <w:rtl/>
              </w:rPr>
              <w:t xml:space="preserve">ח שבוצעה עבירה פלילית, יביא המבקר הפנימי את העניין ללא דחוי לידיעת הממונה. היה למבקר הפנימי יסוד להאמין שהממונה מעורב בעבירה פלילית יעביר המבקר את העניין לידיעת יו"ר המועצה להשכלה גבוהה.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(4)</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ואלה דינם קנס  -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שחלה עליו חובה בתוקף תפקיד</w:t>
            </w:r>
            <w:r>
              <w:rPr>
                <w:rFonts w:cs="David"/>
                <w:sz w:val="26"/>
                <w:szCs w:val="26"/>
                <w:rtl/>
              </w:rPr>
              <w:t>ו למנות מבקר פנימי ולא עשה כן ואין לו הצדק סביר לכך;</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שמינה מבקר פנימי ביודעו שאינו כשיר לכך לפי סעיף 3 לחוק הביקורת הפנימית או מי שהפר ביודעין חובה המוטלת עליו לפי סעיף 9 (א) לחוק הביקורת הפנימית או מנע ממבקר גישה, ביקור או בדיקה כאמור בסעיף</w:t>
            </w:r>
            <w:r>
              <w:rPr>
                <w:rFonts w:cs="David"/>
                <w:sz w:val="26"/>
                <w:szCs w:val="26"/>
                <w:rtl/>
              </w:rPr>
              <w:t xml:space="preserve"> 9(ב) או (ג) לחוק הביקורת הפנימית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r>
              <w:rPr>
                <w:rFonts w:cs="David"/>
                <w:sz w:val="26"/>
                <w:szCs w:val="26"/>
                <w:rtl/>
              </w:rPr>
              <w:t>תיקון חוק השקעות משותפות בנאמנות</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17.</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בחוק השקעות משותפות בנאמנות, התשנ"ד-1994</w:t>
            </w:r>
            <w:r>
              <w:rPr>
                <w:rStyle w:val="ab"/>
                <w:rFonts w:cs="David"/>
                <w:sz w:val="26"/>
                <w:szCs w:val="26"/>
                <w:rtl/>
              </w:rPr>
              <w:footnoteReference w:id="11"/>
            </w:r>
            <w:r>
              <w:rPr>
                <w:rFonts w:cs="David"/>
                <w:sz w:val="26"/>
                <w:szCs w:val="26"/>
                <w:rtl/>
              </w:rPr>
              <w:t>, בסעיף 99א-</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"ו-12" יבוא "24(ג) ו-(ד)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אחרי סעיף קטן (ג)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"(ד)</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הוגש דיו וחשבון של המ</w:t>
            </w:r>
            <w:r>
              <w:rPr>
                <w:rFonts w:cs="David"/>
                <w:sz w:val="26"/>
                <w:szCs w:val="26"/>
                <w:rtl/>
              </w:rPr>
              <w:t>בקר הפנימי כאמור,  תקיים הנהלת התאגיד  או ועדת הביקורת שלו דיון בממצאיו תוך 45 ימים מיום הגשתו. לא פעלה הנהלת התאגיד  או ועדת הביקורת כאמור, רשאי כל אחד מחבריה לפנות ליו"ר הדירקטוריון או ליו"ר ועדת הביקורת בכתב ולדרוש קיום דיון, הייתה דרישה כאמור יורה יו"ר</w:t>
            </w:r>
            <w:r>
              <w:rPr>
                <w:rFonts w:cs="David"/>
                <w:sz w:val="26"/>
                <w:szCs w:val="26"/>
                <w:rtl/>
              </w:rPr>
              <w:t xml:space="preserve"> הדירקטוריון או יו"ר ועדת הביקורת על קיום הדיון תוך 30 ימים מקבלת הדרישה.</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(ה)</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העלתה הביקורת הפנימית יסוד להניח שבוצעה עבירה פלילית, יביא המבקר  את העניין ללא דיחוי לידיעת הממונה . היה למבקר הפנימי יסוד להאמין שהממונה מעורב בעבירה פלילית יעביר המבקר את</w:t>
            </w:r>
            <w:r>
              <w:rPr>
                <w:rFonts w:cs="David"/>
                <w:sz w:val="26"/>
                <w:szCs w:val="26"/>
                <w:rtl/>
              </w:rPr>
              <w:t xml:space="preserve"> העניין במישרין לידיעת יו"ר הרשות לני"ע.</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(ו)</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ואלה דינם קנס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שחלה עליו חובה בתוקף תפקידו למנות  מבקר פנימי ולא עשה כן ואין לו הסבר סביר לכך;</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שמינה מבקר פנימי ביודעו שאינו כשיר לכך לפי סעיף 3 לחוק הביקורת הפנימית או מי שהפר בי</w:t>
            </w:r>
            <w:r>
              <w:rPr>
                <w:rFonts w:cs="David"/>
                <w:sz w:val="26"/>
                <w:szCs w:val="26"/>
                <w:rtl/>
              </w:rPr>
              <w:t>ודעין חובה המוטלת עליו לפי סעיף 9(א)  לחוק הביקורת הפנימית;</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57" w:type="dxa"/>
            <w:gridSpan w:val="5"/>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4894" w:type="dxa"/>
            <w:gridSpan w:val="11"/>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מי שמנע ממבקר פנימי גישה , ביקור או בדיקה כאמור בסעיף 9(ב) או (ג) לחוק   הביקורת הפנימית, התשנ"ב-1992."</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tl/>
              </w:rPr>
            </w:pPr>
            <w:r>
              <w:rPr>
                <w:rFonts w:cs="David"/>
                <w:sz w:val="26"/>
                <w:szCs w:val="26"/>
                <w:rtl/>
              </w:rPr>
              <w:t>תיקון חוק החברות הממשלתיות</w:t>
            </w:r>
          </w:p>
          <w:p w:rsidR="00000000" w:rsidRDefault="00493636">
            <w:pPr>
              <w:rPr>
                <w:rFonts w:cs="David"/>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18.</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בחוק החברות הממשלתיות , התשל"ה-1975</w:t>
            </w:r>
            <w:r>
              <w:rPr>
                <w:rStyle w:val="ab"/>
                <w:rFonts w:cs="David"/>
                <w:sz w:val="26"/>
                <w:szCs w:val="26"/>
                <w:rtl/>
              </w:rPr>
              <w:footnoteReference w:id="12"/>
            </w:r>
            <w:r>
              <w:rPr>
                <w:rFonts w:cs="David"/>
                <w:sz w:val="26"/>
                <w:szCs w:val="26"/>
                <w:rtl/>
              </w:rPr>
              <w:t xml:space="preserve"> -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במקום סעיף 49(א) יבוא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"(א)</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על מבקר פנימי בחברה ממשלתית יחולו סעיפים 3 , 4 5(ד),  7 עד 11, 12(א)(3), 12(ב), 13, 14(ב), 15, 24(ג) ו-(ד). לחוק הביקורת הפנימית, התשנ"ב-1992."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לאחר סעיף 49(ב),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"(ג)</w:t>
            </w:r>
          </w:p>
        </w:tc>
        <w:tc>
          <w:tcPr>
            <w:tcW w:w="5451" w:type="dxa"/>
            <w:gridSpan w:val="16"/>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הוגש דיו ו</w:t>
            </w:r>
            <w:r>
              <w:rPr>
                <w:rFonts w:cs="David"/>
                <w:sz w:val="26"/>
                <w:szCs w:val="26"/>
                <w:rtl/>
              </w:rPr>
              <w:t xml:space="preserve">חשבון של המבקר הפנימי כאמור, תקיים הנהלת  החברה  או ועדת הביקורת שלו דיון בממצאיו תוך 45 ימים מיום הגשתו. לא פעלה הנהלת  החברה או ועדת הביקורת כאמור, רשאי כל אחד מחבריה לפנות ליו"ר הדירקטוריון או ליו"ר ועדת הביקורת בכתב ולדרוש קיום דיון, הייתה דרישה כאמור </w:t>
            </w:r>
            <w:r>
              <w:rPr>
                <w:rFonts w:cs="David"/>
                <w:sz w:val="26"/>
                <w:szCs w:val="26"/>
                <w:rtl/>
              </w:rPr>
              <w:t>יורה יו"ר הדירקטוריון או יו"ר ועדת הביקורת על קיום הדיון תוך 30 ימים מקבלת הדרישה."</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במקום סעיף 49א יבוא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1191" w:type="dxa"/>
            <w:gridSpan w:val="9"/>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"מבקר פנימי</w:t>
            </w:r>
          </w:p>
        </w:tc>
        <w:tc>
          <w:tcPr>
            <w:tcW w:w="567" w:type="dxa"/>
            <w:gridSpan w:val="3"/>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49א.</w:t>
            </w:r>
          </w:p>
        </w:tc>
        <w:tc>
          <w:tcPr>
            <w:tcW w:w="4260" w:type="dxa"/>
            <w:gridSpan w:val="5"/>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על חברה ממשלתית שמתקיים בה האמור בהגדרת "חברה ציבורית" בחוק החברות, התשנ"ט-1999 יחולו סעיפים 146 עד 153 לחוק החברות, התש</w:t>
            </w:r>
            <w:r>
              <w:rPr>
                <w:rFonts w:cs="David"/>
                <w:sz w:val="26"/>
                <w:szCs w:val="26"/>
                <w:rtl/>
              </w:rPr>
              <w:t>נ"ט-1999 אף אם היא גוף מבוקר."</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r>
              <w:rPr>
                <w:rFonts w:cs="David"/>
                <w:sz w:val="26"/>
                <w:szCs w:val="26"/>
                <w:rtl/>
              </w:rPr>
              <w:t>תיקון פקודת העיריות</w:t>
            </w:r>
          </w:p>
        </w:tc>
        <w:tc>
          <w:tcPr>
            <w:tcW w:w="541" w:type="dxa"/>
            <w:tcBorders>
              <w:top w:val="nil"/>
              <w:left w:val="nil"/>
              <w:bottom w:val="nil"/>
              <w:right w:val="nil"/>
            </w:tcBorders>
          </w:tcPr>
          <w:p w:rsidR="00000000" w:rsidRDefault="00493636">
            <w:pPr>
              <w:spacing w:line="360" w:lineRule="auto"/>
              <w:jc w:val="both"/>
              <w:rPr>
                <w:rFonts w:cs="David"/>
                <w:sz w:val="26"/>
                <w:szCs w:val="26"/>
              </w:rPr>
            </w:pPr>
            <w:r>
              <w:rPr>
                <w:rFonts w:cs="David"/>
                <w:sz w:val="26"/>
                <w:szCs w:val="26"/>
                <w:rtl/>
              </w:rPr>
              <w:t>19.</w:t>
            </w:r>
          </w:p>
        </w:tc>
        <w:tc>
          <w:tcPr>
            <w:tcW w:w="6585" w:type="dxa"/>
            <w:gridSpan w:val="18"/>
            <w:tcBorders>
              <w:top w:val="nil"/>
              <w:left w:val="nil"/>
              <w:bottom w:val="nil"/>
              <w:right w:val="nil"/>
            </w:tcBorders>
          </w:tcPr>
          <w:p w:rsidR="00000000" w:rsidRDefault="00493636">
            <w:pPr>
              <w:tabs>
                <w:tab w:val="left" w:pos="5371"/>
              </w:tabs>
              <w:spacing w:line="360" w:lineRule="auto"/>
              <w:jc w:val="both"/>
              <w:rPr>
                <w:rFonts w:cs="David"/>
                <w:sz w:val="26"/>
                <w:szCs w:val="26"/>
              </w:rPr>
            </w:pPr>
            <w:r>
              <w:rPr>
                <w:rFonts w:cs="David"/>
                <w:sz w:val="26"/>
                <w:szCs w:val="26"/>
                <w:rtl/>
              </w:rPr>
              <w:t>בפקודת העיריות</w:t>
            </w:r>
            <w:r>
              <w:rPr>
                <w:rStyle w:val="ab"/>
                <w:rFonts w:cs="David"/>
                <w:sz w:val="26"/>
                <w:szCs w:val="26"/>
                <w:rtl/>
              </w:rPr>
              <w:footnoteReference w:id="13"/>
            </w:r>
            <w:r>
              <w:rPr>
                <w:rFonts w:cs="David"/>
                <w:sz w:val="26"/>
                <w:szCs w:val="26"/>
                <w:rtl/>
              </w:rPr>
              <w:t xml:space="preserve"> -</w:t>
            </w: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167, ובמקום סעיף קטן (ג)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"(ג)</w:t>
            </w:r>
          </w:p>
        </w:tc>
        <w:tc>
          <w:tcPr>
            <w:tcW w:w="567" w:type="dxa"/>
            <w:gridSpan w:val="6"/>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84" w:type="dxa"/>
            <w:gridSpan w:val="10"/>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 xml:space="preserve">לא ימונה ולא יכהן בתפקיד מבקר פנימי בעירייה אלא מי שיש לו רישיון לפי סעיף 3 לחוק </w:t>
            </w:r>
            <w:r>
              <w:rPr>
                <w:rFonts w:cs="David"/>
                <w:sz w:val="26"/>
                <w:szCs w:val="26"/>
                <w:rtl/>
              </w:rPr>
              <w:t xml:space="preserve">הביקורת הפנימית, התשנ"ב –1992 והוא יחיד, תושב ישראל ולא עבר עבירה שיש עמה קלון.  </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gridSpan w:val="6"/>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84" w:type="dxa"/>
            <w:gridSpan w:val="10"/>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על מבקר פנימי בעירייה יחולו הוראות סעיפים 10 ו- 24(ד) לחוק הביקורת הפנימית, התשנ"ב-1992."</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6018" w:type="dxa"/>
            <w:gridSpan w:val="17"/>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בסעיף 170א, במקום סעיף קטן (ג) יבוא:</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"(ג)</w:t>
            </w:r>
          </w:p>
        </w:tc>
        <w:tc>
          <w:tcPr>
            <w:tcW w:w="567" w:type="dxa"/>
            <w:gridSpan w:val="6"/>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(1)</w:t>
            </w:r>
          </w:p>
        </w:tc>
        <w:tc>
          <w:tcPr>
            <w:tcW w:w="4884" w:type="dxa"/>
            <w:gridSpan w:val="10"/>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תכנית העבודה של</w:t>
            </w:r>
            <w:r>
              <w:rPr>
                <w:rFonts w:cs="David"/>
                <w:sz w:val="26"/>
                <w:szCs w:val="26"/>
                <w:rtl/>
              </w:rPr>
              <w:t xml:space="preserve"> המבקר הפנימי תיקבע בתאום עם ראש העירייה.</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gridSpan w:val="6"/>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(2)</w:t>
            </w:r>
          </w:p>
        </w:tc>
        <w:tc>
          <w:tcPr>
            <w:tcW w:w="4884" w:type="dxa"/>
            <w:gridSpan w:val="10"/>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ראש העירייה רשאי להטיל על מבקר העירייה משימות של ביקורת פנימית נוספות על הקבועות בתכנית העבודה כאמור בפסקה (1).</w:t>
            </w:r>
          </w:p>
          <w:p w:rsidR="00000000" w:rsidRDefault="00493636">
            <w:pPr>
              <w:tabs>
                <w:tab w:val="left" w:pos="5371"/>
              </w:tabs>
              <w:spacing w:line="360" w:lineRule="auto"/>
              <w:jc w:val="both"/>
              <w:rPr>
                <w:rFonts w:cs="David"/>
                <w:sz w:val="26"/>
                <w:szCs w:val="26"/>
              </w:rPr>
            </w:pPr>
          </w:p>
        </w:tc>
      </w:tr>
      <w:tr w:rsidR="00000000">
        <w:tblPrEx>
          <w:tblCellMar>
            <w:top w:w="0" w:type="dxa"/>
            <w:bottom w:w="0" w:type="dxa"/>
          </w:tblCellMar>
        </w:tblPrEx>
        <w:trPr>
          <w:cantSplit/>
        </w:trPr>
        <w:tc>
          <w:tcPr>
            <w:tcW w:w="1294" w:type="dxa"/>
            <w:tcBorders>
              <w:top w:val="nil"/>
              <w:left w:val="nil"/>
              <w:bottom w:val="nil"/>
              <w:right w:val="nil"/>
            </w:tcBorders>
          </w:tcPr>
          <w:p w:rsidR="00000000" w:rsidRDefault="00493636">
            <w:pPr>
              <w:rPr>
                <w:rFonts w:cs="David"/>
                <w:sz w:val="26"/>
                <w:szCs w:val="26"/>
              </w:rPr>
            </w:pPr>
          </w:p>
        </w:tc>
        <w:tc>
          <w:tcPr>
            <w:tcW w:w="541" w:type="dxa"/>
            <w:tcBorders>
              <w:top w:val="nil"/>
              <w:left w:val="nil"/>
              <w:bottom w:val="nil"/>
              <w:right w:val="nil"/>
            </w:tcBorders>
          </w:tcPr>
          <w:p w:rsidR="00000000" w:rsidRDefault="00493636">
            <w:pPr>
              <w:spacing w:line="360" w:lineRule="auto"/>
              <w:jc w:val="both"/>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tcBorders>
              <w:top w:val="nil"/>
              <w:left w:val="nil"/>
              <w:bottom w:val="nil"/>
              <w:right w:val="nil"/>
            </w:tcBorders>
          </w:tcPr>
          <w:p w:rsidR="00000000" w:rsidRDefault="00493636">
            <w:pPr>
              <w:tabs>
                <w:tab w:val="left" w:pos="5371"/>
              </w:tabs>
              <w:spacing w:line="360" w:lineRule="auto"/>
              <w:rPr>
                <w:rFonts w:cs="David"/>
                <w:sz w:val="26"/>
                <w:szCs w:val="26"/>
              </w:rPr>
            </w:pPr>
          </w:p>
        </w:tc>
        <w:tc>
          <w:tcPr>
            <w:tcW w:w="567" w:type="dxa"/>
            <w:gridSpan w:val="6"/>
            <w:tcBorders>
              <w:top w:val="nil"/>
              <w:left w:val="nil"/>
              <w:bottom w:val="nil"/>
              <w:right w:val="nil"/>
            </w:tcBorders>
          </w:tcPr>
          <w:p w:rsidR="00000000" w:rsidRDefault="00493636">
            <w:pPr>
              <w:tabs>
                <w:tab w:val="left" w:pos="5371"/>
              </w:tabs>
              <w:spacing w:line="360" w:lineRule="auto"/>
              <w:rPr>
                <w:rFonts w:cs="David"/>
                <w:sz w:val="26"/>
                <w:szCs w:val="26"/>
              </w:rPr>
            </w:pPr>
            <w:r>
              <w:rPr>
                <w:rFonts w:cs="David"/>
                <w:sz w:val="26"/>
                <w:szCs w:val="26"/>
                <w:rtl/>
              </w:rPr>
              <w:t>(3)</w:t>
            </w:r>
          </w:p>
        </w:tc>
        <w:tc>
          <w:tcPr>
            <w:tcW w:w="4884" w:type="dxa"/>
            <w:gridSpan w:val="10"/>
            <w:tcBorders>
              <w:top w:val="nil"/>
              <w:left w:val="nil"/>
              <w:bottom w:val="nil"/>
              <w:right w:val="nil"/>
            </w:tcBorders>
          </w:tcPr>
          <w:p w:rsidR="00000000" w:rsidRDefault="00493636">
            <w:pPr>
              <w:tabs>
                <w:tab w:val="left" w:pos="5371"/>
              </w:tabs>
              <w:spacing w:line="360" w:lineRule="auto"/>
              <w:jc w:val="both"/>
              <w:rPr>
                <w:rFonts w:cs="David"/>
                <w:sz w:val="26"/>
                <w:szCs w:val="26"/>
                <w:rtl/>
              </w:rPr>
            </w:pPr>
            <w:r>
              <w:rPr>
                <w:rFonts w:cs="David"/>
                <w:sz w:val="26"/>
                <w:szCs w:val="26"/>
                <w:rtl/>
              </w:rPr>
              <w:t>ראש העירייה יעמיד לרשות המבקר העירייה את המשאבים הנדרשים לביצוע מטלות הביקורת בהתב</w:t>
            </w:r>
            <w:r>
              <w:rPr>
                <w:rFonts w:cs="David"/>
                <w:sz w:val="26"/>
                <w:szCs w:val="26"/>
                <w:rtl/>
              </w:rPr>
              <w:t xml:space="preserve">סס על התכניות המתואמות או אלו שנוספו לו לפי פסקה (2)." </w:t>
            </w:r>
          </w:p>
          <w:p w:rsidR="00000000" w:rsidRDefault="00493636">
            <w:pPr>
              <w:tabs>
                <w:tab w:val="left" w:pos="5371"/>
              </w:tabs>
              <w:spacing w:line="360" w:lineRule="auto"/>
              <w:jc w:val="both"/>
              <w:rPr>
                <w:rFonts w:cs="David"/>
                <w:sz w:val="26"/>
                <w:szCs w:val="26"/>
                <w:rtl/>
              </w:rPr>
            </w:pPr>
          </w:p>
          <w:p w:rsidR="00000000" w:rsidRDefault="00493636">
            <w:pPr>
              <w:tabs>
                <w:tab w:val="left" w:pos="5371"/>
              </w:tabs>
              <w:spacing w:line="360" w:lineRule="auto"/>
              <w:jc w:val="both"/>
              <w:rPr>
                <w:rFonts w:cs="David"/>
                <w:sz w:val="26"/>
                <w:szCs w:val="26"/>
                <w:rtl/>
              </w:rPr>
            </w:pPr>
          </w:p>
          <w:p w:rsidR="00000000" w:rsidRDefault="00493636">
            <w:pPr>
              <w:tabs>
                <w:tab w:val="left" w:pos="5371"/>
              </w:tabs>
              <w:spacing w:line="360" w:lineRule="auto"/>
              <w:jc w:val="both"/>
              <w:rPr>
                <w:rFonts w:cs="David"/>
                <w:sz w:val="26"/>
                <w:szCs w:val="26"/>
              </w:rPr>
            </w:pPr>
          </w:p>
          <w:p w:rsidR="00000000" w:rsidRDefault="00493636">
            <w:pPr>
              <w:tabs>
                <w:tab w:val="left" w:pos="5371"/>
              </w:tabs>
              <w:spacing w:line="360" w:lineRule="auto"/>
              <w:jc w:val="both"/>
              <w:rPr>
                <w:rFonts w:cs="David"/>
                <w:sz w:val="26"/>
                <w:szCs w:val="26"/>
              </w:rPr>
            </w:pPr>
          </w:p>
        </w:tc>
      </w:tr>
    </w:tbl>
    <w:p w:rsidR="00000000" w:rsidRDefault="00493636">
      <w:pPr>
        <w:pStyle w:val="2"/>
        <w:spacing w:after="0" w:line="360" w:lineRule="auto"/>
        <w:rPr>
          <w:rFonts w:cs="David"/>
          <w:rtl/>
        </w:rPr>
      </w:pPr>
    </w:p>
    <w:p w:rsidR="00000000" w:rsidRDefault="00493636">
      <w:pPr>
        <w:pStyle w:val="2"/>
        <w:spacing w:after="0" w:line="360" w:lineRule="auto"/>
        <w:rPr>
          <w:rFonts w:cs="David"/>
          <w:sz w:val="28"/>
          <w:szCs w:val="28"/>
          <w:rtl/>
        </w:rPr>
      </w:pPr>
      <w:r>
        <w:rPr>
          <w:rFonts w:cs="David"/>
          <w:sz w:val="28"/>
          <w:szCs w:val="28"/>
          <w:rtl/>
        </w:rPr>
        <w:t>דברי-הסבר</w:t>
      </w:r>
    </w:p>
    <w:p w:rsidR="00000000" w:rsidRDefault="00493636">
      <w:pPr>
        <w:spacing w:line="360" w:lineRule="auto"/>
        <w:jc w:val="both"/>
        <w:rPr>
          <w:rFonts w:cs="David"/>
          <w:b/>
          <w:bCs/>
          <w:sz w:val="26"/>
          <w:szCs w:val="26"/>
          <w:rtl/>
        </w:rPr>
      </w:pPr>
      <w:r>
        <w:rPr>
          <w:rFonts w:cs="David"/>
          <w:b/>
          <w:bCs/>
          <w:sz w:val="26"/>
          <w:szCs w:val="26"/>
          <w:rtl/>
        </w:rPr>
        <w:t xml:space="preserve">סעיף 1 </w:t>
      </w:r>
    </w:p>
    <w:p w:rsidR="00000000" w:rsidRDefault="00493636">
      <w:pPr>
        <w:numPr>
          <w:ilvl w:val="0"/>
          <w:numId w:val="4"/>
        </w:numPr>
        <w:spacing w:line="360" w:lineRule="auto"/>
        <w:jc w:val="both"/>
        <w:rPr>
          <w:rFonts w:cs="David"/>
          <w:sz w:val="26"/>
          <w:szCs w:val="26"/>
          <w:rtl/>
        </w:rPr>
      </w:pPr>
      <w:r>
        <w:rPr>
          <w:rFonts w:cs="David"/>
          <w:sz w:val="26"/>
          <w:szCs w:val="26"/>
          <w:rtl/>
        </w:rPr>
        <w:t>מהניסיון המצטבר והעניין הציבורי נראה כי יש להוסיף את המוסדות הללו לרשימת המוסדות החייבים בביקורת פנימית. כל</w:t>
      </w:r>
      <w:r>
        <w:rPr>
          <w:rFonts w:cs="David"/>
          <w:sz w:val="26"/>
          <w:szCs w:val="26"/>
        </w:rPr>
        <w:t xml:space="preserve"> </w:t>
      </w:r>
      <w:r>
        <w:rPr>
          <w:rFonts w:cs="David"/>
          <w:sz w:val="26"/>
          <w:szCs w:val="26"/>
          <w:rtl/>
        </w:rPr>
        <w:t>רשימת המוסדות הללו הינם מוסדות ציבור ו/או נותני שירות לציבור ו/או</w:t>
      </w:r>
      <w:r>
        <w:rPr>
          <w:rFonts w:cs="David"/>
          <w:sz w:val="26"/>
          <w:szCs w:val="26"/>
          <w:rtl/>
        </w:rPr>
        <w:t xml:space="preserve"> ממומנים ע"י הציבור ועל כן יש עניין לציבור שתהיה</w:t>
      </w:r>
      <w:r>
        <w:rPr>
          <w:rFonts w:cs="David"/>
          <w:sz w:val="26"/>
          <w:szCs w:val="26"/>
        </w:rPr>
        <w:t xml:space="preserve"> </w:t>
      </w:r>
      <w:r>
        <w:rPr>
          <w:rFonts w:cs="David"/>
          <w:sz w:val="26"/>
          <w:szCs w:val="26"/>
          <w:rtl/>
        </w:rPr>
        <w:t xml:space="preserve">בהם ביקורת פנימית. </w:t>
      </w:r>
    </w:p>
    <w:p w:rsidR="00000000" w:rsidRDefault="00493636">
      <w:pPr>
        <w:numPr>
          <w:ilvl w:val="0"/>
          <w:numId w:val="4"/>
        </w:numPr>
        <w:spacing w:line="360" w:lineRule="auto"/>
        <w:jc w:val="both"/>
        <w:rPr>
          <w:rFonts w:cs="David"/>
          <w:sz w:val="26"/>
          <w:szCs w:val="26"/>
        </w:rPr>
      </w:pPr>
      <w:r>
        <w:rPr>
          <w:rFonts w:cs="David"/>
          <w:sz w:val="26"/>
          <w:szCs w:val="26"/>
          <w:rtl/>
        </w:rPr>
        <w:t xml:space="preserve">הכוונה למועצה שהוקמה עפ"י סעיף 3(ב) החדש. </w:t>
      </w:r>
    </w:p>
    <w:p w:rsidR="00000000" w:rsidRDefault="00493636">
      <w:pPr>
        <w:spacing w:line="360" w:lineRule="auto"/>
        <w:jc w:val="both"/>
        <w:rPr>
          <w:rFonts w:cs="David"/>
          <w:sz w:val="26"/>
          <w:szCs w:val="26"/>
          <w:rtl/>
        </w:rPr>
      </w:pPr>
    </w:p>
    <w:p w:rsidR="00000000" w:rsidRDefault="00493636">
      <w:pPr>
        <w:spacing w:line="360" w:lineRule="auto"/>
        <w:ind w:left="360"/>
        <w:jc w:val="both"/>
        <w:rPr>
          <w:rFonts w:cs="David"/>
          <w:sz w:val="26"/>
          <w:szCs w:val="26"/>
          <w:rtl/>
        </w:rPr>
      </w:pPr>
    </w:p>
    <w:p w:rsidR="00000000" w:rsidRDefault="00493636">
      <w:pPr>
        <w:numPr>
          <w:ilvl w:val="0"/>
          <w:numId w:val="4"/>
        </w:numPr>
        <w:spacing w:line="360" w:lineRule="auto"/>
        <w:jc w:val="both"/>
        <w:rPr>
          <w:rFonts w:cs="David"/>
          <w:sz w:val="26"/>
          <w:szCs w:val="26"/>
          <w:rtl/>
        </w:rPr>
      </w:pPr>
      <w:r>
        <w:rPr>
          <w:rFonts w:cs="David"/>
          <w:sz w:val="26"/>
          <w:szCs w:val="26"/>
          <w:rtl/>
        </w:rPr>
        <w:t>בחוק מוגדר השר - שר הכלכלה והתכנון ואולם משרד זה בוטל ואין שר הנושא בתואר כזה והאחריות לחוק הביקורת הפנימית הועברה למשרד המשפטים.</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b/>
          <w:bCs/>
          <w:sz w:val="26"/>
          <w:szCs w:val="26"/>
          <w:rtl/>
        </w:rPr>
        <w:t>סעיף</w:t>
      </w:r>
      <w:r>
        <w:rPr>
          <w:rFonts w:cs="David"/>
          <w:b/>
          <w:bCs/>
          <w:sz w:val="26"/>
          <w:szCs w:val="26"/>
          <w:rtl/>
        </w:rPr>
        <w:t xml:space="preserve"> 2 </w:t>
      </w:r>
    </w:p>
    <w:p w:rsidR="00000000" w:rsidRDefault="00493636">
      <w:pPr>
        <w:spacing w:line="360" w:lineRule="auto"/>
        <w:jc w:val="both"/>
        <w:rPr>
          <w:rFonts w:cs="David"/>
          <w:sz w:val="26"/>
          <w:szCs w:val="26"/>
          <w:rtl/>
        </w:rPr>
      </w:pPr>
      <w:r>
        <w:rPr>
          <w:rFonts w:cs="David"/>
          <w:sz w:val="26"/>
          <w:szCs w:val="26"/>
          <w:rtl/>
        </w:rPr>
        <w:t>מרגע שנתמנה מבקר פנימי במשרד, מן הראוי שמבקרים פנימיים ביחידות או גופי משנה של אותו משרד, ימונו בתאום עם המבקר הפנימי של אותו משרד שכן הם עובדים באותה מסגרת כללית ותהיה נגיעה ומפגש בין עבודתם ביחידות השונות של אותו משרד. אין הדבר אומר, אלא לגבי תאום כו</w:t>
      </w:r>
      <w:r>
        <w:rPr>
          <w:rFonts w:cs="David"/>
          <w:sz w:val="26"/>
          <w:szCs w:val="26"/>
          <w:rtl/>
        </w:rPr>
        <w:t xml:space="preserve">לל, ולא חובת דיווח למבקר המשרד. באשר לדיווח יש לפעול בהתאם לסעיף 6 לחוק.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לצמצם ככל האפשר את התערבות גורם זר בביקורת על הפעולות הנעשות בתוך המשרד תוך הרחבת תפקודי המבקר הפנימי של המשרד הממשלתי.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מעמד, שכר ותנאי עבודה מהווים חלק בלתי נפרד ממכלול התנאים הד</w:t>
      </w:r>
      <w:r>
        <w:rPr>
          <w:rFonts w:cs="David"/>
          <w:sz w:val="26"/>
          <w:szCs w:val="26"/>
          <w:rtl/>
        </w:rPr>
        <w:t>רושים למבקר הפנימי וכפיפיו לביצוע עבודת ביקורת מקצועית, אפקטיבית, אובייקטיבית ובלתי תלויה. באשר לכפיפי המבקר לרמותיהם השונות, הרי שהמבקר הפנימי מסתייע במילוי מטלות הביקורת במבקרים פנימיים - מנהלי ועורכי ביקורת. אין להשאיר את קביעת האלמנטים הנ"ל לחלוטין ביד</w:t>
      </w:r>
      <w:r>
        <w:rPr>
          <w:rFonts w:cs="David"/>
          <w:sz w:val="26"/>
          <w:szCs w:val="26"/>
          <w:rtl/>
        </w:rPr>
        <w:t xml:space="preserve">י מנגנוני הגופים המבוקרים. השינויים המוצעים לעיל להכללתם בחוק המסגרת ימסדו את אי התלות של המבקר הפנימי וכפיפיו בעבודתם וימנעו דיונים מיותרים בנושאים אלו  במוסדות בהם חלה חובת ביקורת פנימית. לדוגמא בפקודת העיריות נכתב כי המועצה תקבע את שכרו של המבקר הפנימי </w:t>
      </w:r>
      <w:r>
        <w:rPr>
          <w:rFonts w:cs="David"/>
          <w:sz w:val="26"/>
          <w:szCs w:val="26"/>
          <w:rtl/>
        </w:rPr>
        <w:t xml:space="preserve">ובחוק החברות הממשלתיות הדירקטוריון יקבע את שכרו של המבקר הפנימי.  תנאים אלו נדרשים למבקר פנימי עובד הארגון ומהווה חלק בלתי נפרד ממנו .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3</w:t>
      </w:r>
    </w:p>
    <w:p w:rsidR="00000000" w:rsidRDefault="00493636">
      <w:pPr>
        <w:spacing w:line="360" w:lineRule="auto"/>
        <w:jc w:val="both"/>
        <w:rPr>
          <w:rFonts w:cs="David"/>
          <w:sz w:val="26"/>
          <w:szCs w:val="26"/>
          <w:rtl/>
        </w:rPr>
      </w:pPr>
      <w:r>
        <w:rPr>
          <w:rFonts w:cs="David"/>
          <w:sz w:val="26"/>
          <w:szCs w:val="26"/>
          <w:rtl/>
        </w:rPr>
        <w:t>מאז חקיקת חוק הביקורת הפנימית ב – 1992, גברו המודעות, הצורך והחובה בביקורת פנימית והיא חלה היום על גופים רבים</w:t>
      </w:r>
      <w:r>
        <w:rPr>
          <w:rFonts w:cs="David"/>
          <w:sz w:val="26"/>
          <w:szCs w:val="26"/>
          <w:rtl/>
        </w:rPr>
        <w:t xml:space="preserve"> שלא נכללו בחוק המקורי. יתר על כן גופים רבים ציבוריים ואחרים  מנהיגים בתוכם ביקורת פנימית גם אם אין הם חייבים בה על פי החוק. במשך השנים גבר הצורך בהתמחות מקצועית בביקורת פנימית עקב שכלולי הטכנולוגיה הממוחשבת, שיטות טכניקות ביקורת פנימית והתפתחויות הכלליות </w:t>
      </w:r>
      <w:r>
        <w:rPr>
          <w:rFonts w:cs="David"/>
          <w:sz w:val="26"/>
          <w:szCs w:val="26"/>
          <w:rtl/>
        </w:rPr>
        <w:t>והמשקיות ולכן לא נתן יהיה להסתפק בתואר אקדמי וניסיון מועט בביקורת פנימית או קורס מקצועי בהיקף מצומצם. נכון להיום החלו ללמד ביקורת פנימית במוסדות להשכלה גבוהה לתואר שני ( באוניברסיטת חיפה ובהיקף נרחב באוניברסיטת בר אילן בליווי אקדמי של לשכת המבקרים הפנימיים</w:t>
      </w:r>
      <w:r>
        <w:rPr>
          <w:rFonts w:cs="David"/>
          <w:sz w:val="26"/>
          <w:szCs w:val="26"/>
          <w:rtl/>
        </w:rPr>
        <w:t>.  בשל  האמור ועל מנת שיכהנו בביקורת פנימית מבקרים אשר יוכלו לעשות עבודתם נאמנה, ולא יבצעו אותה אנשים שאינם מוכשרים דיים לעשותה. בעקבות כך נוצר הצורך להסדיר בחוק את הרישוי לעסוק במקצוע. מטרת הצעת תיקון סעיף זה היא להסדיר עניין רישוי המבקר הפנימי בישראל. הנ</w:t>
      </w:r>
      <w:r>
        <w:rPr>
          <w:rFonts w:cs="David"/>
          <w:sz w:val="26"/>
          <w:szCs w:val="26"/>
          <w:rtl/>
        </w:rPr>
        <w:t>וסח המוצע הוכן ע"י מועצה ציבורית מיוחדת שהוקמה ע"י לשכת המבקרים הפנימיים בראשותו של פרופסור למשפטים  יוסי גרוס מאוניברסיטת ת"א  ובה חברים נציגים ממוסדות אקדמאים מצד אחד ומבקרים פנימיים בכירים  מהשורה הראשונה בארץ שהקדישו מזמנם לעניין זה שראו בו עניין חיוני</w:t>
      </w:r>
      <w:r>
        <w:rPr>
          <w:rFonts w:cs="David"/>
          <w:sz w:val="26"/>
          <w:szCs w:val="26"/>
          <w:rtl/>
        </w:rPr>
        <w:t xml:space="preserve"> ביותר לטובת האינטרס הציבורי בישראל.   תיקון סעיף 3 בחוק הביקורת הפנימית יעביר אוטומטית את התיקון לאותם חוקים אשר אימצו  סעיף מספר 3 מחוק הביקורת הפנימית במקור.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ההוראה בדבר חובת בחירת המבקר הפנימי בדרך של מכרז באה על מנת למנוע בחירת מבקר פנימי באופן בלע</w:t>
      </w:r>
      <w:r>
        <w:rPr>
          <w:rFonts w:cs="David"/>
          <w:sz w:val="26"/>
          <w:szCs w:val="26"/>
          <w:rtl/>
        </w:rPr>
        <w:t xml:space="preserve">די על ידי המבוקרים שלו לעתיד. </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4</w:t>
      </w:r>
    </w:p>
    <w:p w:rsidR="00000000" w:rsidRDefault="00493636">
      <w:pPr>
        <w:spacing w:line="360" w:lineRule="auto"/>
        <w:jc w:val="both"/>
        <w:rPr>
          <w:rFonts w:cs="David"/>
          <w:sz w:val="26"/>
          <w:szCs w:val="26"/>
          <w:rtl/>
        </w:rPr>
      </w:pPr>
      <w:r>
        <w:rPr>
          <w:rFonts w:cs="David"/>
          <w:sz w:val="26"/>
          <w:szCs w:val="26"/>
          <w:rtl/>
        </w:rPr>
        <w:t>המטרה היא לפשט את הסעיף ומכיוון שהצטרפו עוד גופים נוספים לביקורתו של מבקר המדינה כמו איגודים מקצועיים, יש לכתוב בפשטות כי בכל גוף שבו נעשית ביקורת מבקר המדינה - המבקר הפנימי יבדוק תיקון הליקויים שמבקר המדינה הצביע עלי</w:t>
      </w:r>
      <w:r>
        <w:rPr>
          <w:rFonts w:cs="David"/>
          <w:sz w:val="26"/>
          <w:szCs w:val="26"/>
          <w:rtl/>
        </w:rPr>
        <w:t xml:space="preserve">הם.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המבקר הפנימי חייב לבצע את עבודתו על פי כללי האתיקה</w:t>
      </w:r>
      <w:r>
        <w:rPr>
          <w:rFonts w:cs="David"/>
          <w:sz w:val="26"/>
          <w:szCs w:val="26"/>
        </w:rPr>
        <w:t xml:space="preserve"> </w:t>
      </w:r>
      <w:r>
        <w:rPr>
          <w:rFonts w:cs="David"/>
          <w:sz w:val="26"/>
          <w:szCs w:val="26"/>
          <w:rtl/>
        </w:rPr>
        <w:t>ותקנים מקצועיים אובייקטיביים, שיאפשרו לו את מירב</w:t>
      </w:r>
      <w:r>
        <w:rPr>
          <w:rFonts w:cs="David"/>
          <w:sz w:val="26"/>
          <w:szCs w:val="26"/>
        </w:rPr>
        <w:t xml:space="preserve"> </w:t>
      </w:r>
      <w:r>
        <w:rPr>
          <w:rFonts w:cs="David"/>
          <w:sz w:val="26"/>
          <w:szCs w:val="26"/>
          <w:rtl/>
        </w:rPr>
        <w:t>האי תלות והחופש המקצועי. לשכת המבקרים הפנימיים</w:t>
      </w:r>
      <w:r>
        <w:rPr>
          <w:rFonts w:cs="David"/>
          <w:sz w:val="26"/>
          <w:szCs w:val="26"/>
        </w:rPr>
        <w:t xml:space="preserve"> </w:t>
      </w:r>
      <w:r>
        <w:rPr>
          <w:rFonts w:cs="David"/>
          <w:sz w:val="26"/>
          <w:szCs w:val="26"/>
          <w:rtl/>
        </w:rPr>
        <w:t>בישראל מספקת לו את הכלים הללו למבקר שאם יעוגנו  בחוק, הרי שיבטיחו את הנ"ל כאחד המרכיבים החיוניים בביצו</w:t>
      </w:r>
      <w:r>
        <w:rPr>
          <w:rFonts w:cs="David"/>
          <w:sz w:val="26"/>
          <w:szCs w:val="26"/>
          <w:rtl/>
        </w:rPr>
        <w:t>ע ביקורת פנימית מקצועית אובייקטיבית אפקטיבית</w:t>
      </w:r>
      <w:r>
        <w:rPr>
          <w:rFonts w:cs="David"/>
          <w:sz w:val="26"/>
          <w:szCs w:val="26"/>
        </w:rPr>
        <w:t xml:space="preserve"> </w:t>
      </w:r>
      <w:r>
        <w:rPr>
          <w:rFonts w:cs="David"/>
          <w:sz w:val="26"/>
          <w:szCs w:val="26"/>
          <w:rtl/>
        </w:rPr>
        <w:t xml:space="preserve">ובלתי תלויה. לשכת המבקרים הפנימיים שוקדת על כתיבת תקנים ועדכונם בשיתוף עם לשכת המבקרים הפנימיים העולמית ועל כן ההפניה  אליה, שכן היא הגורם המקצועי  היחיד העוסק בנושא זה.  </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5</w:t>
      </w:r>
    </w:p>
    <w:p w:rsidR="00000000" w:rsidRDefault="00493636">
      <w:pPr>
        <w:spacing w:line="360" w:lineRule="auto"/>
        <w:jc w:val="both"/>
        <w:rPr>
          <w:rFonts w:cs="David"/>
          <w:sz w:val="26"/>
          <w:szCs w:val="26"/>
          <w:rtl/>
        </w:rPr>
      </w:pPr>
      <w:r>
        <w:rPr>
          <w:rFonts w:cs="David"/>
          <w:sz w:val="26"/>
          <w:szCs w:val="26"/>
          <w:rtl/>
        </w:rPr>
        <w:t>כמו כן נוסף סעיף לפיו המבקר הפנ</w:t>
      </w:r>
      <w:r>
        <w:rPr>
          <w:rFonts w:cs="David"/>
          <w:sz w:val="26"/>
          <w:szCs w:val="26"/>
          <w:rtl/>
        </w:rPr>
        <w:t>ימי יטפל בתלונות הציבור כחלק מתפקידו בארגון  ותמחק ההוראה הקיימת בסעיף 8(א) לחוק הביקורת הפנימית לנושא זה.  ההכרה בחשיבותן של פניות הציבור הגיעה עוד בכנסת הארבע עשרה אל תודעת הכנסת, שהחליטה אז על הקמת ועדה מיוחדת לצורך הטיפול בנושא. מטרת הסעיף הזה היא לעגן</w:t>
      </w:r>
      <w:r>
        <w:rPr>
          <w:rFonts w:cs="David"/>
          <w:sz w:val="26"/>
          <w:szCs w:val="26"/>
          <w:rtl/>
        </w:rPr>
        <w:t xml:space="preserve"> בחקיקה את דרכי הטיפול הנאות של גופי המדינה בפניות הציבור כדי שיוכלו לקבל מענה יעיל והוגן לתלונותיהם.  בתיקון לסעיף מוצע כי המבקר הפנימי יטפל בתלונות הציבור שקשורות לגוף בו הוא מכהן כמבקר פנימי כמו כן מוצע לעגן בחוק את הטיפול בחשיפת שחיתויות בגוף ציבורי על</w:t>
      </w:r>
      <w:r>
        <w:rPr>
          <w:rFonts w:cs="David"/>
          <w:sz w:val="26"/>
          <w:szCs w:val="26"/>
          <w:rtl/>
        </w:rPr>
        <w:t xml:space="preserve"> ידי עובד של אותו גוף ולקבוע כי תלונה מסוג זה תועבר גם כן לטיפולו של המבקר הפנימי.  הצעת חוק זהה לתיקון בנושא זה  הונחה על שולחן הכנסת הארבע עשרה וחמש עשרה.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ההוראה לפיה לא יגלה המבקר הפנימי את מקור המידע בדבר חושף השחיתויות נועדה לתת גיבוי ותמריץ לחושפ</w:t>
      </w:r>
      <w:r>
        <w:rPr>
          <w:rFonts w:cs="David"/>
          <w:sz w:val="26"/>
          <w:szCs w:val="26"/>
          <w:rtl/>
        </w:rPr>
        <w:t xml:space="preserve">י שחיתויות החוששים מחשיפת זהותם.  חשיפת שהותם עלולה לגרור פעולות שונות כנגד חושפי השחיתות, לרבות פיטוריהם.  יש לזכור כי חושפי שחיתויות מתקשים למצוא מקום עבודה גם לאחר שפוטרו. ממקום עבודתם הקודם. </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6</w:t>
      </w:r>
    </w:p>
    <w:p w:rsidR="00000000" w:rsidRDefault="00493636">
      <w:pPr>
        <w:spacing w:line="360" w:lineRule="auto"/>
        <w:jc w:val="both"/>
        <w:rPr>
          <w:rFonts w:cs="David"/>
          <w:sz w:val="26"/>
          <w:szCs w:val="26"/>
          <w:rtl/>
        </w:rPr>
      </w:pPr>
      <w:r>
        <w:rPr>
          <w:rFonts w:cs="David"/>
          <w:sz w:val="26"/>
          <w:szCs w:val="26"/>
          <w:rtl/>
        </w:rPr>
        <w:t>הרעיון לשנות את הכפיפות בסעיפים 5 (א) ו – 5 (ד) במקו</w:t>
      </w:r>
      <w:r>
        <w:rPr>
          <w:rFonts w:cs="David"/>
          <w:sz w:val="26"/>
          <w:szCs w:val="26"/>
          <w:rtl/>
        </w:rPr>
        <w:t xml:space="preserve">ם ממונה אחד לשניים באה כדי למנוע שכפיפות המבקר הפנימי תהיה למנכ"ל בלבד אלא גם לדרג העליון יותר בארגון בו הוא מכהן כמבקר פנימי .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המטרה היא לחזק ככל האפשר את אי תלותו של מבקר פנימי בעבודתו בארגון בו הוא עובד, כאשר חובתו המקצועית היא לבצע את עבודתו המקצועית</w:t>
      </w:r>
      <w:r>
        <w:rPr>
          <w:rFonts w:cs="David"/>
          <w:sz w:val="26"/>
          <w:szCs w:val="26"/>
          <w:rtl/>
        </w:rPr>
        <w:t xml:space="preserve"> כפי שהיא מפורטת בסעיף 4 לחוק. במידה רבה חוזקה אי תלותו של המבקר הפנימי על ידי קביעת דרכים מיוחדות להפסקת עבודתו שלא ברצונו, חופש גישה למידע בארגון ועוד.</w:t>
      </w:r>
      <w:r>
        <w:rPr>
          <w:rFonts w:cs="David"/>
          <w:sz w:val="26"/>
          <w:szCs w:val="26"/>
          <w:rtl/>
        </w:rPr>
        <w:br/>
        <w:t>נראה לנו כי על מנת לחזק אי תלותו של המבקר הפנימי חיזוק נוסף, יש לבטל סעיף (ה) הקובע כי הוא נושא באחריו</w:t>
      </w:r>
      <w:r>
        <w:rPr>
          <w:rFonts w:cs="David"/>
          <w:sz w:val="26"/>
          <w:szCs w:val="26"/>
          <w:rtl/>
        </w:rPr>
        <w:t xml:space="preserve">ת ישירה בפני הממונה עליו כפי שהדבר נעשה בתיקונים לפקודת החברות, הפיקוח על עסקי ביטוח והצעת חוק קופות הגמל לפחות.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עם זאת, יש לכתוב כי מבחינה ארגונית כפוף המבקר הפנימי לממונה עליו וזאת על מנת לקבוע כי לצורך ראייתו כעובד הארגון הריהו ככל עובד אחר בכל הנוגע </w:t>
      </w:r>
      <w:r>
        <w:rPr>
          <w:rFonts w:cs="David"/>
          <w:sz w:val="26"/>
          <w:szCs w:val="26"/>
          <w:rtl/>
        </w:rPr>
        <w:t>לסדרי עבודה, משמעת ושכר הנהוגים בארגון. הרעיון של ממונה ארגוני בלבד התקבל בחוק החברות התשנ"ט–1999, בסעיף 148 . הצעתנו להעביר תיקון זה לחוק הביקורת הפנימית ולכל החוקים האחרים בהם ישנו פרק על המבקר הפנימי, כמו פקודת הבנקים, חוק הפיקוח על עסקי ביטוח, חוק החבר</w:t>
      </w:r>
      <w:r>
        <w:rPr>
          <w:rFonts w:cs="David"/>
          <w:sz w:val="26"/>
          <w:szCs w:val="26"/>
          <w:rtl/>
        </w:rPr>
        <w:t>ות הממשלתיות, פקודת העיריות, צו המועצות המקומיות ועוד.</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7</w:t>
      </w:r>
    </w:p>
    <w:p w:rsidR="00000000" w:rsidRDefault="00493636">
      <w:pPr>
        <w:spacing w:line="360" w:lineRule="auto"/>
        <w:jc w:val="both"/>
        <w:rPr>
          <w:rFonts w:cs="David"/>
          <w:sz w:val="26"/>
          <w:szCs w:val="26"/>
          <w:rtl/>
        </w:rPr>
      </w:pPr>
      <w:r>
        <w:rPr>
          <w:rFonts w:cs="David"/>
          <w:sz w:val="26"/>
          <w:szCs w:val="26"/>
          <w:rtl/>
        </w:rPr>
        <w:t>על מנת להבטיח את המינהל התקין ויישום תוצאות הביקורת הפנימית, בארגונים  בהם לא קיים דירקטוריון כמו בחברות, מוצע שהדיווח יימסר לגורמים המפורטים לעיל.</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8</w:t>
      </w:r>
    </w:p>
    <w:p w:rsidR="00000000" w:rsidRDefault="00493636">
      <w:pPr>
        <w:spacing w:line="360" w:lineRule="auto"/>
        <w:jc w:val="both"/>
        <w:rPr>
          <w:rFonts w:cs="David"/>
          <w:sz w:val="26"/>
          <w:szCs w:val="26"/>
          <w:rtl/>
        </w:rPr>
      </w:pPr>
      <w:r>
        <w:rPr>
          <w:rFonts w:cs="David"/>
          <w:sz w:val="26"/>
          <w:szCs w:val="26"/>
          <w:rtl/>
        </w:rPr>
        <w:t>הנוסח הקיים מאפשר לממונה למנוע ביקורת</w:t>
      </w:r>
      <w:r>
        <w:rPr>
          <w:rFonts w:cs="David"/>
          <w:sz w:val="26"/>
          <w:szCs w:val="26"/>
          <w:rtl/>
        </w:rPr>
        <w:t xml:space="preserve"> בנושאים מסוימים ע"י אי אישור הכנסתם לתוכנית העבודה של המבקר הפנימי.</w:t>
      </w:r>
    </w:p>
    <w:p w:rsidR="00000000" w:rsidRDefault="00493636">
      <w:pPr>
        <w:spacing w:line="360" w:lineRule="auto"/>
        <w:jc w:val="both"/>
        <w:rPr>
          <w:rFonts w:cs="David"/>
          <w:sz w:val="26"/>
          <w:szCs w:val="26"/>
          <w:rtl/>
        </w:rPr>
      </w:pPr>
      <w:r>
        <w:rPr>
          <w:rFonts w:cs="David"/>
          <w:sz w:val="26"/>
          <w:szCs w:val="26"/>
          <w:rtl/>
        </w:rPr>
        <w:t>במידה וישנם נושאים מיוחדים שהממונה מעוניין בבדיקתם, הוא יכול להטיל על המבקר הפנימי את המשימות הללו בהתאם לסעיף 7(ב) לחוק. המבקר חייב לבצע משימות אלו ובלבד שיוקצו לו המשאבים לכך, בהתאם לדר</w:t>
      </w:r>
      <w:r>
        <w:rPr>
          <w:rFonts w:cs="David"/>
          <w:sz w:val="26"/>
          <w:szCs w:val="26"/>
          <w:rtl/>
        </w:rPr>
        <w:t xml:space="preserve">ישתו של המבקר הפנימי.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התיקון המוצע יחזק את אי תלותו של המבקר הפנימי בביצוע עבודתו, ע"י חיזוק עצמאותו בקביעת תוכנית העבודה שלו. תיקון הסעיף בחוק הביקורת הפנימית, יעביר את השינוי באופן מידי לאותם חוקים בהם הסעיף מאומץ.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כאמור, קביעת תוכנית עבודה מחייבת מש</w:t>
      </w:r>
      <w:r>
        <w:rPr>
          <w:rFonts w:cs="David"/>
          <w:sz w:val="26"/>
          <w:szCs w:val="26"/>
          <w:rtl/>
        </w:rPr>
        <w:t xml:space="preserve">אבים: כ"א, כספים וכד'. בקביעתה ע"י המבקר  הפנימי אין כל שוני בינו ובין מנהל אחר שנדרש להציג תוכנית עבודה עבור היחידה עליה הוא אחראי. תוכנית הביקורת הינה תוכנית עבודה שיש ללוותה בדרישה לתקציבי ביצוע. לכל מנהל לא קל להעביר אישור על תוכנית עבודה ותקציב ועליו </w:t>
      </w:r>
      <w:r>
        <w:rPr>
          <w:rFonts w:cs="David"/>
          <w:sz w:val="26"/>
          <w:szCs w:val="26"/>
          <w:rtl/>
        </w:rPr>
        <w:t xml:space="preserve">לנהל מו"מ מקצועי עם הממונים עליו . תיקון ברוח זו התקבל בחוק החברות התשנ"ט–1999 . </w:t>
      </w:r>
    </w:p>
    <w:p w:rsidR="00000000" w:rsidRDefault="00493636">
      <w:pPr>
        <w:spacing w:line="360" w:lineRule="auto"/>
        <w:jc w:val="both"/>
        <w:rPr>
          <w:rFonts w:cs="David"/>
          <w:b/>
          <w:bCs/>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9</w:t>
      </w:r>
    </w:p>
    <w:p w:rsidR="00000000" w:rsidRDefault="00493636">
      <w:pPr>
        <w:spacing w:line="360" w:lineRule="auto"/>
        <w:jc w:val="both"/>
        <w:rPr>
          <w:rFonts w:cs="David"/>
          <w:sz w:val="26"/>
          <w:szCs w:val="26"/>
          <w:rtl/>
        </w:rPr>
      </w:pPr>
      <w:r>
        <w:rPr>
          <w:rFonts w:cs="David"/>
          <w:sz w:val="26"/>
          <w:szCs w:val="26"/>
          <w:rtl/>
        </w:rPr>
        <w:t>דוחות, חוו"ד ומסמכים אחרים וכן הודעה שנתקבלה במשרדו, מיועדים להיות בתוך הארגון בו עובד המבקר הפנימי. חובת הדיווח של המבקר מיועדת להימסר למי שנקבע לכך בחוק ו/או בתיקונ</w:t>
      </w:r>
      <w:r>
        <w:rPr>
          <w:rFonts w:cs="David"/>
          <w:sz w:val="26"/>
          <w:szCs w:val="26"/>
          <w:rtl/>
        </w:rPr>
        <w:t xml:space="preserve">י החוקים האחרים.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כאשר עולה חשד לביצוע עבירה פלילית, מתוך ממצאי הביקורת הפנימית ישנה הוראה מיוחדת לכך בסעיף 11 לחוק הביקורת הפנימית הקובעת על חובת המבקר הפנימי לדווח עליה ולמי.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סעיף 10 בנוסחו הנוכחי אינו מונע הצגתו בהליך משפטי של דוח ביקורת או כל מסמך א</w:t>
      </w:r>
      <w:r>
        <w:rPr>
          <w:rFonts w:cs="David"/>
          <w:sz w:val="26"/>
          <w:szCs w:val="26"/>
          <w:rtl/>
        </w:rPr>
        <w:t>חר שהוציא המבקר או הודעה שנמסרה לו, אלא רק מונע היותו ראיה בהליך משפטי. עולה מהאמור לעיל כי השופט אינו יכול להסתמך על הכתוב בו לצורך מסקנותיו בפסק דינו. היו מקרים בהם ביקשו בעלי דין, כנגד מוסדות כלשהם במשפטים אזרחיים, מבית המשפט לחייב את המוסדות להביא את ד</w:t>
      </w:r>
      <w:r>
        <w:rPr>
          <w:rFonts w:cs="David"/>
          <w:sz w:val="26"/>
          <w:szCs w:val="26"/>
          <w:rtl/>
        </w:rPr>
        <w:t>וחות הביקורת הפנימית בנושאים השנויים במחלוקת ביניהם, ובית המשפט נתן צווים כאלה. גילוי דוח הביקורת אפשר לבעלי הדין לחקור, על סמך האמור בדוח הביקורת, ולהגיע לראיות עצמאיות הנוגעות לעניינו.</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סעיף 10</w:t>
      </w:r>
    </w:p>
    <w:p w:rsidR="00000000" w:rsidRDefault="00493636">
      <w:pPr>
        <w:spacing w:line="360" w:lineRule="auto"/>
        <w:jc w:val="both"/>
        <w:rPr>
          <w:rFonts w:cs="David"/>
          <w:sz w:val="26"/>
          <w:szCs w:val="26"/>
          <w:rtl/>
        </w:rPr>
      </w:pPr>
      <w:r>
        <w:rPr>
          <w:rFonts w:cs="David"/>
          <w:sz w:val="26"/>
          <w:szCs w:val="26"/>
          <w:rtl/>
        </w:rPr>
        <w:t>בסעיף 12 ישנה הגנה על המבקר הפנימי אולם היא אינה מספיקה</w:t>
      </w:r>
      <w:r>
        <w:rPr>
          <w:rFonts w:cs="David"/>
          <w:sz w:val="26"/>
          <w:szCs w:val="26"/>
        </w:rPr>
        <w:t xml:space="preserve"> </w:t>
      </w:r>
      <w:r>
        <w:rPr>
          <w:rFonts w:cs="David"/>
          <w:sz w:val="26"/>
          <w:szCs w:val="26"/>
          <w:rtl/>
        </w:rPr>
        <w:t>ואינ</w:t>
      </w:r>
      <w:r>
        <w:rPr>
          <w:rFonts w:cs="David"/>
          <w:sz w:val="26"/>
          <w:szCs w:val="26"/>
          <w:rtl/>
        </w:rPr>
        <w:t>נה עונה על לפרצות שבנסיבות המקרים התגלעו בה במיוחד</w:t>
      </w:r>
      <w:r>
        <w:rPr>
          <w:rFonts w:cs="David"/>
          <w:sz w:val="26"/>
          <w:szCs w:val="26"/>
        </w:rPr>
        <w:t xml:space="preserve"> </w:t>
      </w:r>
      <w:r>
        <w:rPr>
          <w:rFonts w:cs="David"/>
          <w:sz w:val="26"/>
          <w:szCs w:val="26"/>
          <w:rtl/>
        </w:rPr>
        <w:t>במקרים בהם מועסקים מבקרים פנימיים בהסכמים המוגבלים בתקופה מסוימת שלאחריה מסרבים להעסיקו ללא כל הסבר נאות</w:t>
      </w:r>
      <w:r>
        <w:rPr>
          <w:rFonts w:cs="David"/>
          <w:sz w:val="26"/>
          <w:szCs w:val="26"/>
        </w:rPr>
        <w:t xml:space="preserve"> </w:t>
      </w:r>
      <w:r>
        <w:rPr>
          <w:rFonts w:cs="David"/>
          <w:sz w:val="26"/>
          <w:szCs w:val="26"/>
          <w:rtl/>
        </w:rPr>
        <w:t>וטענה שתקופת כהונתו של המבקר הפנימי על פי ההסכם איתו הסתיימה.  נשוא העסקת מבקרים פנימיים עפ"י חוזה ה</w:t>
      </w:r>
      <w:r>
        <w:rPr>
          <w:rFonts w:cs="David"/>
          <w:sz w:val="26"/>
          <w:szCs w:val="26"/>
          <w:rtl/>
        </w:rPr>
        <w:t xml:space="preserve">ולכת ומתרחבת ועל מנת לקיים ביקורת פנימית נאותה יש לקרב את מצבו ככל האפשר למצבו של מבקר פנימי עובד הגוף הציבורי בכל הנוגע לאבטחת העסקתו וע"י כך אבטחת אי התלות שלו בעת ביצוע עבודתו. </w:t>
      </w:r>
    </w:p>
    <w:p w:rsidR="00000000" w:rsidRDefault="00493636">
      <w:pPr>
        <w:pStyle w:val="9"/>
        <w:spacing w:after="0" w:line="360" w:lineRule="auto"/>
        <w:jc w:val="both"/>
        <w:rPr>
          <w:rFonts w:cs="David"/>
          <w:szCs w:val="26"/>
          <w:rtl/>
        </w:rPr>
      </w:pPr>
    </w:p>
    <w:p w:rsidR="00000000" w:rsidRDefault="00493636">
      <w:pPr>
        <w:pStyle w:val="9"/>
        <w:spacing w:after="0" w:line="360" w:lineRule="auto"/>
        <w:jc w:val="both"/>
        <w:rPr>
          <w:rFonts w:cs="David"/>
          <w:szCs w:val="26"/>
          <w:rtl/>
        </w:rPr>
      </w:pPr>
      <w:r>
        <w:rPr>
          <w:rFonts w:cs="David"/>
          <w:szCs w:val="26"/>
          <w:rtl/>
        </w:rPr>
        <w:t>סעיף 11</w:t>
      </w:r>
    </w:p>
    <w:p w:rsidR="00000000" w:rsidRDefault="00493636">
      <w:pPr>
        <w:spacing w:line="360" w:lineRule="auto"/>
        <w:jc w:val="both"/>
        <w:rPr>
          <w:rFonts w:cs="David"/>
          <w:sz w:val="26"/>
          <w:szCs w:val="26"/>
          <w:rtl/>
        </w:rPr>
      </w:pPr>
      <w:r>
        <w:rPr>
          <w:rFonts w:cs="David"/>
          <w:sz w:val="26"/>
          <w:szCs w:val="26"/>
          <w:rtl/>
        </w:rPr>
        <w:t>עם הנהגת רישיון ביקורת פנימית בישראל יעסקו בביקורת פנימית רק  בעלי</w:t>
      </w:r>
      <w:r>
        <w:rPr>
          <w:rFonts w:cs="David"/>
          <w:sz w:val="26"/>
          <w:szCs w:val="26"/>
          <w:rtl/>
        </w:rPr>
        <w:t xml:space="preserve"> רישיון לעסוק בביקורת פנימית גם אם הם אינם המבקר הראשי של הארגון כפי שנעשה הדבר לגבי עו"ד ו/או רואי חשבון.   ואולם יש מקום לאפשר העסקת עובדים מומחים למקצועות מיוחדים על ידי המבקר הפנימי בתחום התמחותם.  כמו כן ניתנת אפשרות להעסיק עובדי ביקורת בתקופת ניסיון </w:t>
      </w:r>
      <w:r>
        <w:rPr>
          <w:rFonts w:cs="David"/>
          <w:sz w:val="26"/>
          <w:szCs w:val="26"/>
          <w:rtl/>
        </w:rPr>
        <w:t xml:space="preserve">לקראת קבלת רישיון מבקר פנימי. </w:t>
      </w:r>
    </w:p>
    <w:p w:rsidR="00000000" w:rsidRDefault="00493636">
      <w:pPr>
        <w:spacing w:line="360" w:lineRule="auto"/>
        <w:jc w:val="both"/>
        <w:rPr>
          <w:rFonts w:cs="David"/>
          <w:sz w:val="26"/>
          <w:szCs w:val="26"/>
          <w:rtl/>
        </w:rPr>
      </w:pPr>
    </w:p>
    <w:p w:rsidR="00000000" w:rsidRDefault="00493636">
      <w:pPr>
        <w:pStyle w:val="8"/>
        <w:spacing w:after="0" w:line="360" w:lineRule="auto"/>
        <w:jc w:val="both"/>
        <w:rPr>
          <w:rFonts w:cs="David"/>
          <w:szCs w:val="26"/>
          <w:rtl/>
        </w:rPr>
      </w:pPr>
      <w:r>
        <w:rPr>
          <w:rFonts w:cs="David"/>
          <w:szCs w:val="26"/>
          <w:rtl/>
        </w:rPr>
        <w:t>סעיף 12</w:t>
      </w:r>
    </w:p>
    <w:p w:rsidR="00000000" w:rsidRDefault="00493636">
      <w:pPr>
        <w:spacing w:line="360" w:lineRule="auto"/>
        <w:jc w:val="both"/>
        <w:rPr>
          <w:rFonts w:cs="David"/>
          <w:sz w:val="26"/>
          <w:szCs w:val="26"/>
          <w:rtl/>
        </w:rPr>
      </w:pPr>
      <w:r>
        <w:rPr>
          <w:rFonts w:cs="David"/>
          <w:sz w:val="26"/>
          <w:szCs w:val="26"/>
          <w:rtl/>
        </w:rPr>
        <w:t>להחיל את הסעיף הזה גם לכל אותם חוקים ופקודות החלים על גופים החייבים בביקורת פנימית ולהגדיר גובה הקנס ו/או הסנקציות האחרות ו/או הנוספות על מנת שיהיו מרתיעים .</w:t>
      </w:r>
    </w:p>
    <w:p w:rsidR="00000000" w:rsidRDefault="00493636">
      <w:pPr>
        <w:spacing w:line="360" w:lineRule="auto"/>
        <w:jc w:val="both"/>
        <w:rPr>
          <w:rFonts w:cs="David"/>
          <w:sz w:val="26"/>
          <w:szCs w:val="26"/>
          <w:rtl/>
        </w:rPr>
      </w:pPr>
    </w:p>
    <w:p w:rsidR="00000000" w:rsidRDefault="00493636">
      <w:pPr>
        <w:pStyle w:val="7"/>
        <w:spacing w:after="0" w:line="360" w:lineRule="auto"/>
        <w:jc w:val="both"/>
        <w:rPr>
          <w:rFonts w:cs="David"/>
          <w:szCs w:val="26"/>
          <w:rtl/>
        </w:rPr>
      </w:pPr>
      <w:r>
        <w:rPr>
          <w:rFonts w:cs="David"/>
          <w:szCs w:val="26"/>
          <w:rtl/>
        </w:rPr>
        <w:t>סעיף 13</w:t>
      </w:r>
    </w:p>
    <w:p w:rsidR="00000000" w:rsidRDefault="00493636">
      <w:pPr>
        <w:spacing w:line="360" w:lineRule="auto"/>
        <w:jc w:val="both"/>
        <w:rPr>
          <w:rFonts w:cs="David"/>
          <w:sz w:val="26"/>
          <w:szCs w:val="26"/>
          <w:rtl/>
        </w:rPr>
      </w:pPr>
      <w:r>
        <w:rPr>
          <w:rFonts w:cs="David"/>
          <w:sz w:val="26"/>
          <w:szCs w:val="26"/>
          <w:rtl/>
        </w:rPr>
        <w:t>הוראת מעבר נדרשת ומתייחסת לשתי אוכלוסיות. האחת כא</w:t>
      </w:r>
      <w:r>
        <w:rPr>
          <w:rFonts w:cs="David"/>
          <w:sz w:val="26"/>
          <w:szCs w:val="26"/>
          <w:rtl/>
        </w:rPr>
        <w:t>לה שבעת חקיקת התיקון ממלאים בפועל את התפקיד של מבקר פנימי ואוכלוסייה שנייה הם כאלה שעבדו תקופה מסוימת כמבקרים פנימיים ואין להם רישיון מבקר פנימי אולם רוצים להחליף מקום עבודה, או שפוטרו ומחפשים מקום עבודה אחר בתחום התמחותם בביקורת פנימית או גמלאים שמחפשים מ</w:t>
      </w:r>
      <w:r>
        <w:rPr>
          <w:rFonts w:cs="David"/>
          <w:sz w:val="26"/>
          <w:szCs w:val="26"/>
          <w:rtl/>
        </w:rPr>
        <w:t>קום כנ"ל. הוראת המעבר קובעת כי אלו אשר מכהנים בפועל בעת חקיקת התיקון לא ייפגעו כל עוד הם ממשיכים לעבוד באותו מקום עבודה ולאלה אשר הפסיקו לעבוד ומחפשים מקום עבודה אחר ואין להם רישיון מבקר פנימי, תהיה מועצת המבקרים הפנימיים, עפ"י קריטריונים שתקבע לעצמה, רשאי</w:t>
      </w:r>
      <w:r>
        <w:rPr>
          <w:rFonts w:cs="David"/>
          <w:sz w:val="26"/>
          <w:szCs w:val="26"/>
          <w:rtl/>
        </w:rPr>
        <w:t>ת להעניק רישיון לכהן כמבקר פנימי.</w:t>
      </w:r>
    </w:p>
    <w:p w:rsidR="00000000" w:rsidRDefault="00493636">
      <w:pPr>
        <w:spacing w:line="360" w:lineRule="auto"/>
        <w:jc w:val="both"/>
        <w:rPr>
          <w:rFonts w:cs="David"/>
          <w:sz w:val="26"/>
          <w:szCs w:val="26"/>
          <w:rtl/>
        </w:rPr>
      </w:pPr>
    </w:p>
    <w:p w:rsidR="00000000" w:rsidRDefault="00493636">
      <w:pPr>
        <w:pStyle w:val="6"/>
        <w:spacing w:after="0" w:line="360" w:lineRule="auto"/>
        <w:jc w:val="both"/>
        <w:rPr>
          <w:rFonts w:cs="David"/>
          <w:szCs w:val="26"/>
          <w:rtl/>
        </w:rPr>
      </w:pPr>
      <w:r>
        <w:rPr>
          <w:rFonts w:cs="David"/>
          <w:szCs w:val="26"/>
          <w:rtl/>
        </w:rPr>
        <w:t>תיקון חוק החברות</w:t>
      </w:r>
    </w:p>
    <w:p w:rsidR="00000000" w:rsidRDefault="00493636">
      <w:pPr>
        <w:spacing w:line="360" w:lineRule="auto"/>
        <w:jc w:val="both"/>
        <w:rPr>
          <w:rFonts w:cs="David"/>
          <w:sz w:val="26"/>
          <w:szCs w:val="26"/>
          <w:rtl/>
        </w:rPr>
      </w:pPr>
      <w:r>
        <w:rPr>
          <w:rFonts w:cs="David"/>
          <w:sz w:val="26"/>
          <w:szCs w:val="26"/>
          <w:rtl/>
        </w:rPr>
        <w:t>סעיף 152 (ב) עוסק במקרה בו הוגש דין וחשבון של המבקר הפנימי, כאמור בסעיף קטן (א), ועל החובה שתהיה על  הנהלת החברה או ועדת הביקורת שלה, לקיים דיון בממצאיו של המבקר הפנימי תוך 45 ימים מיום הגשתו. לא פעלה הנה</w:t>
      </w:r>
      <w:r>
        <w:rPr>
          <w:rFonts w:cs="David"/>
          <w:sz w:val="26"/>
          <w:szCs w:val="26"/>
          <w:rtl/>
        </w:rPr>
        <w:t xml:space="preserve">לת החברה או ועדת הביקורת כאמור, יהיה רשאי כל אחד מחבריה לפנות ליו"ר הדירקטוריון או ליו"ר ועדת הביקורת בכתב ולדרוש קיום הדיון. הייתה דרישה כאמור, יורה יו"ר הדירקטוריון או יו"ר ועדת ביקורת על קיום הדיון תוך 30 ימים מקבלת הדרישה.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סעיף 147 בזמנו הועבר רק סעי</w:t>
      </w:r>
      <w:r>
        <w:rPr>
          <w:rFonts w:cs="David"/>
          <w:sz w:val="26"/>
          <w:szCs w:val="26"/>
          <w:rtl/>
        </w:rPr>
        <w:t>ף 3 (א) מחוק הביקורת הפנימית לחוקים אלו וזאת משום שלא רצו להעביר לחברות ציבוריות וקרנות נאמנות את האפשרות של מינוי מבקר פנימי שאינו עומד בדרישות סעיף 3(א). האפשרות קיימת עפ"י סעיפי המשנה האחרים של סעיף 3. אם התיקון יתקבל וסעיף 3 יוחלף יש להחיל את כל סעיף 3</w:t>
      </w:r>
      <w:r>
        <w:rPr>
          <w:rFonts w:cs="David"/>
          <w:sz w:val="26"/>
          <w:szCs w:val="26"/>
          <w:rtl/>
        </w:rPr>
        <w:t xml:space="preserve"> בחוקים אלו, שכן עתה סעיף 3 דן בנושא הרישיון.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סעיף 371 א' - הוראת המעבר תחול על כל הגופים בהם חייבת להיות ביקורת פנימית ושהמבקר הפנימי ו/או עובדים אחרים העוסקים בביקורת פנימית חייבים להיות בעלי רישיון לביקורת פנימית.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מוצעים להעביר לחוק החברות הוראות </w:t>
      </w:r>
      <w:r>
        <w:rPr>
          <w:rFonts w:cs="David"/>
          <w:sz w:val="26"/>
          <w:szCs w:val="26"/>
          <w:rtl/>
        </w:rPr>
        <w:t xml:space="preserve">הקיימות בחוק הביקורת הפנימית בנושא של חשד לעבירה פלילית ושל אי מינוי מבקר פנימי או מינוי של מבקר אשר אינו עונה לדרישות  או אי מסירת מידע או מניעת גישה לצרכי ביקורת. </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תיקון פקודת הבנקאות</w:t>
      </w:r>
    </w:p>
    <w:p w:rsidR="00000000" w:rsidRDefault="00493636">
      <w:pPr>
        <w:spacing w:line="360" w:lineRule="auto"/>
        <w:jc w:val="both"/>
        <w:rPr>
          <w:rFonts w:cs="David"/>
          <w:sz w:val="26"/>
          <w:szCs w:val="26"/>
          <w:rtl/>
        </w:rPr>
      </w:pPr>
      <w:r>
        <w:rPr>
          <w:rFonts w:cs="David"/>
          <w:sz w:val="26"/>
          <w:szCs w:val="26"/>
          <w:rtl/>
        </w:rPr>
        <w:t>חוקים אלו תוקנו מיד עם חקיקת חוק הביקורת הפנימית ב- 1992 ואולם התיקון</w:t>
      </w:r>
      <w:r>
        <w:rPr>
          <w:rFonts w:cs="David"/>
          <w:sz w:val="26"/>
          <w:szCs w:val="26"/>
          <w:rtl/>
        </w:rPr>
        <w:t xml:space="preserve"> שנעשה מאוחר יותר בחוק הביקורת הפנימית ע"י הוספת סעיף 6א',  בדבר דיון בדוח המבקר הפנימי, לא הועבר לחוקים הנ"ל ומן הראוי להעבירו.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סעיף 3 שונה בחוק הביקורת הפנימית ועל כן המשפט שהיה אינו קיים יותר בסעיף 3 החדש.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ב- תשנ"ט – 1999 נחקק חוק החברות ובו פרק על</w:t>
      </w:r>
      <w:r>
        <w:rPr>
          <w:rFonts w:cs="David"/>
          <w:sz w:val="26"/>
          <w:szCs w:val="26"/>
          <w:rtl/>
        </w:rPr>
        <w:t xml:space="preserve"> המבקר הפנימי בחברה ציבורית.  נראה לנו כי יש להעביר את ההוראות האלו גם לפקודת הבנקים שכן אלו חברות מסחריות בעלות אותו אופי ולכן מן הראוי כי תהיינה הוראות זהות או דומות לגביהן  כמו כן מוצעים להעביר לפקודת הבנקים הוראות הקיימות בחוק הביקורת הפנימית בנושא של </w:t>
      </w:r>
      <w:r>
        <w:rPr>
          <w:rFonts w:cs="David"/>
          <w:sz w:val="26"/>
          <w:szCs w:val="26"/>
          <w:rtl/>
        </w:rPr>
        <w:t xml:space="preserve">דיון בדו"חות ביקורת פנימית, חשד לעבירה פלילית ושל אי מינוי מבקר פנימי או מינוי  של מבקר פנימי שאינו עונה לדרישות או אי מסירת מידע או מניעת גישה לצרכי ביקורת.   </w:t>
      </w:r>
    </w:p>
    <w:p w:rsidR="00000000" w:rsidRDefault="00493636">
      <w:pPr>
        <w:spacing w:line="360" w:lineRule="auto"/>
        <w:jc w:val="both"/>
        <w:rPr>
          <w:rFonts w:cs="David"/>
          <w:sz w:val="26"/>
          <w:szCs w:val="26"/>
          <w:rtl/>
        </w:rPr>
      </w:pPr>
    </w:p>
    <w:p w:rsidR="00000000" w:rsidRDefault="00493636">
      <w:pPr>
        <w:pStyle w:val="5"/>
        <w:spacing w:after="0" w:line="360" w:lineRule="auto"/>
        <w:jc w:val="both"/>
        <w:rPr>
          <w:rFonts w:cs="David"/>
          <w:szCs w:val="26"/>
          <w:rtl/>
        </w:rPr>
      </w:pPr>
      <w:r>
        <w:rPr>
          <w:rFonts w:cs="David"/>
          <w:szCs w:val="26"/>
          <w:rtl/>
        </w:rPr>
        <w:t>תיקון חוק הפיקוח על עסקי ביטוח</w:t>
      </w:r>
    </w:p>
    <w:p w:rsidR="00000000" w:rsidRDefault="00493636">
      <w:pPr>
        <w:spacing w:line="360" w:lineRule="auto"/>
        <w:jc w:val="both"/>
        <w:rPr>
          <w:rFonts w:cs="David"/>
          <w:sz w:val="26"/>
          <w:szCs w:val="26"/>
          <w:rtl/>
        </w:rPr>
      </w:pPr>
      <w:r>
        <w:rPr>
          <w:rFonts w:cs="David"/>
          <w:sz w:val="26"/>
          <w:szCs w:val="26"/>
          <w:rtl/>
        </w:rPr>
        <w:t>חוק זה תוקן מיד עם חקיקת חוק הביקורת הפנימית ב- 1992 ואולם התיק</w:t>
      </w:r>
      <w:r>
        <w:rPr>
          <w:rFonts w:cs="David"/>
          <w:sz w:val="26"/>
          <w:szCs w:val="26"/>
          <w:rtl/>
        </w:rPr>
        <w:t xml:space="preserve">ון שנעשה מאוחר יותר בחוק הביקורת הפנימית ע"י הוספת סעיף 6א',  בדבר דיון בדוח המבקר הפנימי, לא הועבר לחוק הנ"ל ומן הראוי להעבירו.   </w:t>
      </w:r>
    </w:p>
    <w:p w:rsidR="00000000" w:rsidRDefault="00493636">
      <w:pPr>
        <w:spacing w:line="360" w:lineRule="auto"/>
        <w:jc w:val="both"/>
        <w:rPr>
          <w:rFonts w:cs="David"/>
          <w:sz w:val="26"/>
          <w:szCs w:val="26"/>
          <w:rtl/>
        </w:rPr>
      </w:pPr>
      <w:r>
        <w:rPr>
          <w:rFonts w:cs="David"/>
          <w:sz w:val="26"/>
          <w:szCs w:val="26"/>
          <w:rtl/>
        </w:rPr>
        <w:t>בתשנ"ט – 1999 נחקק חוק החברות ובו פרק על המבקר הפנימי. נראה לנו כי יש להעביר את ההוראות מחוק החברות גם לחוק הנוגע לחברות ביט</w:t>
      </w:r>
      <w:r>
        <w:rPr>
          <w:rFonts w:cs="David"/>
          <w:sz w:val="26"/>
          <w:szCs w:val="26"/>
          <w:rtl/>
        </w:rPr>
        <w:t>וח עקב הדמיון הרב באופיין.  כמו כן מוצע להעביר הוראות הקיימות בחוק הביקורת הפנימית הנוגעות לדיון בדו"חות ביקורת פנימית,  לחשד לעבירה פלילית ולאי מינוי מבקר פנימי או מינוי מבקר פנימי שאינו עונה לדרישות או מניעת מסירת מידע למבקר הפנימי ואי מניעת גישה או בדיק</w:t>
      </w:r>
      <w:r>
        <w:rPr>
          <w:rFonts w:cs="David"/>
          <w:sz w:val="26"/>
          <w:szCs w:val="26"/>
          <w:rtl/>
        </w:rPr>
        <w:t xml:space="preserve">ה  לצרכי הביקורת הפנימית .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b/>
          <w:bCs/>
          <w:sz w:val="26"/>
          <w:szCs w:val="26"/>
          <w:u w:val="single"/>
          <w:rtl/>
        </w:rPr>
        <w:t xml:space="preserve">תיקון חוק המועצה להשכלה גבוהה </w:t>
      </w:r>
    </w:p>
    <w:p w:rsidR="00000000" w:rsidRDefault="00493636">
      <w:pPr>
        <w:spacing w:line="360" w:lineRule="auto"/>
        <w:jc w:val="both"/>
        <w:rPr>
          <w:rFonts w:cs="David"/>
          <w:sz w:val="26"/>
          <w:szCs w:val="26"/>
          <w:rtl/>
        </w:rPr>
      </w:pPr>
      <w:r>
        <w:rPr>
          <w:rFonts w:cs="David"/>
          <w:sz w:val="26"/>
          <w:szCs w:val="26"/>
          <w:rtl/>
        </w:rPr>
        <w:t>התיקונים הם אלה המחויבים מהשינוי של חוק הביקורת הפנימית סעיף 3 והחלת הוראת המעבר גם על מבקרים במוסדות להשכלה גבוהה וכן הוספת הוראות הקיימות בחוק הביקורת הפנימית  בדבר חשד לעבירה פלילית ואי מנוי מב</w:t>
      </w:r>
      <w:r>
        <w:rPr>
          <w:rFonts w:cs="David"/>
          <w:sz w:val="26"/>
          <w:szCs w:val="26"/>
          <w:rtl/>
        </w:rPr>
        <w:t xml:space="preserve">קר פנימי או מינוי מבקר פנימי שאינו עונה לדרישות על פי החוק או אי מסירת מידע או מניעת גישה או בדיקה על ידי המבקר הפנימי בעבודת הביקורת. </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rtl/>
        </w:rPr>
      </w:pPr>
      <w:r>
        <w:rPr>
          <w:rFonts w:cs="David"/>
          <w:b/>
          <w:bCs/>
          <w:sz w:val="26"/>
          <w:szCs w:val="26"/>
          <w:rtl/>
        </w:rPr>
        <w:t>תיקון חוק השקעות משותפות בנאמנות</w:t>
      </w:r>
    </w:p>
    <w:p w:rsidR="00000000" w:rsidRDefault="00493636">
      <w:pPr>
        <w:spacing w:line="360" w:lineRule="auto"/>
        <w:jc w:val="both"/>
        <w:rPr>
          <w:rFonts w:cs="David"/>
          <w:sz w:val="26"/>
          <w:szCs w:val="26"/>
          <w:rtl/>
        </w:rPr>
      </w:pPr>
      <w:r>
        <w:rPr>
          <w:rFonts w:cs="David"/>
          <w:sz w:val="26"/>
          <w:szCs w:val="26"/>
          <w:rtl/>
        </w:rPr>
        <w:t xml:space="preserve">סעיף 99 - בזמנו הועבר רק סעיף 3 (א) מחוק הביקורת הפנימית לחוקים אלו וזאת משום שלא רצו </w:t>
      </w:r>
      <w:r>
        <w:rPr>
          <w:rFonts w:cs="David"/>
          <w:sz w:val="26"/>
          <w:szCs w:val="26"/>
          <w:rtl/>
        </w:rPr>
        <w:t>להעביר לחברות ציבוריות וקרנות נאמנות את האפשרות של מינוי מבקר פנימי שאינו עומד בדרישות סעיף 3(א). האפשרות קיימת עפ"י סעיפי המשנה האחרים של סעיף 3. אם התיקון יתקבל וסעיף 3 יוחלף יש להחיל את כל סעיף 3 בחוקים אלו, שכן עתה סעיף 3 דן בנושא הרישיון. כמו כן יש לה</w:t>
      </w:r>
      <w:r>
        <w:rPr>
          <w:rFonts w:cs="David"/>
          <w:sz w:val="26"/>
          <w:szCs w:val="26"/>
          <w:rtl/>
        </w:rPr>
        <w:t xml:space="preserve">חיל בחוק זה את הוראת המעבר הנוגעת לעניין . </w:t>
      </w:r>
    </w:p>
    <w:p w:rsidR="00000000" w:rsidRDefault="00493636">
      <w:pPr>
        <w:spacing w:line="360" w:lineRule="auto"/>
        <w:jc w:val="both"/>
        <w:rPr>
          <w:rFonts w:cs="David"/>
          <w:sz w:val="26"/>
          <w:szCs w:val="26"/>
          <w:rtl/>
        </w:rPr>
      </w:pPr>
      <w:r>
        <w:rPr>
          <w:rFonts w:cs="David"/>
          <w:sz w:val="26"/>
          <w:szCs w:val="26"/>
          <w:rtl/>
        </w:rPr>
        <w:t>כמו כן מועברות הוראות הקיימות בחוק הביקורת הפנימית בעניין דיון בדו"חות ביקורת פנימית חשד לעבירה פלילית אי מינוי מבקר פנימי או מינוי מבקר פנימי שאינו עונה לדרישות או מניעת מסירת מידע או אי העברת מידע או מניעת כניס</w:t>
      </w:r>
      <w:r>
        <w:rPr>
          <w:rFonts w:cs="David"/>
          <w:sz w:val="26"/>
          <w:szCs w:val="26"/>
          <w:rtl/>
        </w:rPr>
        <w:t xml:space="preserve">ה או ערכית ביקרות על ידי המבקר הפנימי.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p>
    <w:p w:rsidR="00000000" w:rsidRDefault="00493636">
      <w:pPr>
        <w:pStyle w:val="4"/>
        <w:spacing w:after="0" w:line="360" w:lineRule="auto"/>
        <w:jc w:val="both"/>
        <w:rPr>
          <w:rFonts w:cs="David"/>
          <w:szCs w:val="26"/>
          <w:rtl/>
        </w:rPr>
      </w:pPr>
      <w:r>
        <w:rPr>
          <w:rFonts w:cs="David"/>
          <w:szCs w:val="26"/>
          <w:rtl/>
        </w:rPr>
        <w:t>תיקון חוק החברות הממשלתיות</w:t>
      </w:r>
    </w:p>
    <w:p w:rsidR="00000000" w:rsidRDefault="00493636">
      <w:pPr>
        <w:spacing w:line="360" w:lineRule="auto"/>
        <w:jc w:val="both"/>
        <w:rPr>
          <w:rFonts w:cs="David"/>
          <w:sz w:val="26"/>
          <w:szCs w:val="26"/>
          <w:rtl/>
        </w:rPr>
      </w:pPr>
      <w:r>
        <w:rPr>
          <w:rFonts w:cs="David"/>
          <w:sz w:val="26"/>
          <w:szCs w:val="26"/>
          <w:rtl/>
        </w:rPr>
        <w:t xml:space="preserve">סעיף 49 (א) – יש להחיל על מבקר פנימי בחברות ממשלתיות הוראות מחוק הביקורת הפנימית שלא חלו עליו קודם לכן וכן הוראות הנובעות מהתיקון הנוכחי. </w:t>
      </w:r>
    </w:p>
    <w:p w:rsidR="00000000" w:rsidRDefault="00493636">
      <w:pPr>
        <w:spacing w:line="360" w:lineRule="auto"/>
        <w:jc w:val="both"/>
        <w:rPr>
          <w:rFonts w:cs="David"/>
          <w:sz w:val="26"/>
          <w:szCs w:val="26"/>
          <w:rtl/>
        </w:rPr>
      </w:pPr>
      <w:r>
        <w:rPr>
          <w:rFonts w:cs="David"/>
          <w:sz w:val="26"/>
          <w:szCs w:val="26"/>
          <w:rtl/>
        </w:rPr>
        <w:t xml:space="preserve"> </w:t>
      </w:r>
    </w:p>
    <w:p w:rsidR="00000000" w:rsidRDefault="00493636">
      <w:pPr>
        <w:spacing w:line="360" w:lineRule="auto"/>
        <w:jc w:val="both"/>
        <w:rPr>
          <w:rFonts w:cs="David"/>
          <w:sz w:val="26"/>
          <w:szCs w:val="26"/>
          <w:rtl/>
        </w:rPr>
      </w:pPr>
      <w:r>
        <w:rPr>
          <w:rFonts w:cs="David"/>
          <w:sz w:val="26"/>
          <w:szCs w:val="26"/>
          <w:rtl/>
        </w:rPr>
        <w:t>סעיף 49 א' - בעת חקיקת חוק הביקורת הפנימי</w:t>
      </w:r>
      <w:r>
        <w:rPr>
          <w:rFonts w:cs="David"/>
          <w:sz w:val="26"/>
          <w:szCs w:val="26"/>
          <w:rtl/>
        </w:rPr>
        <w:t>ת חייבו ביקורת פנימית גם חברות שני"ע הערך שלהן נסחרות בבורסה ע"י תיקון פקודת החברות (נוסח חדש) . באותו מועד חייבו בביקורת פנימית גם חברות ממשלתיות אם ני"ע הערך שלהן נסחרות בבורסה. תיקון בחוק החברות הממשלתיות קבע כי באותן חברות ממשלתיות ינהגו בהתאם לתיקון ב</w:t>
      </w:r>
      <w:r>
        <w:rPr>
          <w:rFonts w:cs="David"/>
          <w:sz w:val="26"/>
          <w:szCs w:val="26"/>
          <w:rtl/>
        </w:rPr>
        <w:t>פקודת החברות (נוסח חדש). פקודת החברות (נוסח חדש) בוטלה עם חקיקת חוק החברות החדש. בחוק החברות החדש נכתב פרק מבקר פנימי נפרד בסעיפים   146 עד 153, ואולם לא תיקנו את חוק החברות הממשלתיות באותו מועד ולכן לכאורה עדיין חל עליהן הנוסח שהופיע בפקודת החברות (נוסח ח</w:t>
      </w:r>
      <w:r>
        <w:rPr>
          <w:rFonts w:cs="David"/>
          <w:sz w:val="26"/>
          <w:szCs w:val="26"/>
          <w:rtl/>
        </w:rPr>
        <w:t>דש). נוכח האמור לעיל מוצע לבטל את הסעיף בחוק החברות הממשלתיות שהעביר את הנוסח מפקודת החברות (נוסח חדש) ולהעביר לשם את פרק המבקר הפנימי כפי שהוא מופיע בחוק החברות, התשנ"ט – 1999.  לאחר תיקון זה יהיה ברור כי על חברות ממשלתיות שמתקיים בהן האמור בהגדרת חברה צי</w:t>
      </w:r>
      <w:r>
        <w:rPr>
          <w:rFonts w:cs="David"/>
          <w:sz w:val="26"/>
          <w:szCs w:val="26"/>
          <w:rtl/>
        </w:rPr>
        <w:t>בורית בחוק החברות התשנ"ט – 1999 יחולו הוראות פרק המבקר הפנימי הכתוב בחוק חברות החדש ולא הפרק הכתוב בחוק החברות ( נוסח חדש).</w:t>
      </w:r>
    </w:p>
    <w:p w:rsidR="00000000" w:rsidRDefault="00493636">
      <w:pPr>
        <w:spacing w:line="360" w:lineRule="auto"/>
        <w:jc w:val="both"/>
        <w:rPr>
          <w:rFonts w:cs="David"/>
          <w:sz w:val="26"/>
          <w:szCs w:val="26"/>
          <w:rtl/>
        </w:rPr>
      </w:pPr>
    </w:p>
    <w:p w:rsidR="00000000" w:rsidRDefault="00493636">
      <w:pPr>
        <w:pStyle w:val="3"/>
        <w:spacing w:after="0" w:line="360" w:lineRule="auto"/>
        <w:jc w:val="both"/>
        <w:rPr>
          <w:rFonts w:cs="David"/>
          <w:szCs w:val="26"/>
          <w:rtl/>
        </w:rPr>
      </w:pPr>
      <w:r>
        <w:rPr>
          <w:rFonts w:cs="David"/>
          <w:szCs w:val="26"/>
          <w:rtl/>
        </w:rPr>
        <w:t>תיקון פקודת העיריות</w:t>
      </w:r>
    </w:p>
    <w:p w:rsidR="00000000" w:rsidRDefault="00493636">
      <w:pPr>
        <w:spacing w:line="360" w:lineRule="auto"/>
        <w:jc w:val="both"/>
        <w:rPr>
          <w:rFonts w:cs="David"/>
          <w:sz w:val="26"/>
          <w:szCs w:val="26"/>
          <w:rtl/>
        </w:rPr>
      </w:pPr>
      <w:r>
        <w:rPr>
          <w:rFonts w:cs="David"/>
          <w:sz w:val="26"/>
          <w:szCs w:val="26"/>
          <w:rtl/>
        </w:rPr>
        <w:t>סעיף 167 עם החקיקה בדבר הצורך ברישיון מבקר פנימי יש לתקן גם את הסעיפים הנוגעים בכך בחוקים הנוגעים לרשויות מקומי</w:t>
      </w:r>
      <w:r>
        <w:rPr>
          <w:rFonts w:cs="David"/>
          <w:sz w:val="26"/>
          <w:szCs w:val="26"/>
          <w:rtl/>
        </w:rPr>
        <w:t xml:space="preserve">ות. </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 xml:space="preserve">170 - בנוסח הקיים, נושאי הביקורת יהיו לפי שיקול דעתו של המבקר הפנימי ודרישת ראש העירייה לבקר עניין פלוני והמלצות ועדת ביקורת במשקל שווה בעוד שהנוסח בסעיף 7 החדש לחוק הביקורת הפנימית קובע את עצמאותו של המבקר הפנימי מצד אחד בקביעת תוכנית עבודתו והתאום </w:t>
      </w:r>
      <w:r>
        <w:rPr>
          <w:rFonts w:cs="David"/>
          <w:sz w:val="26"/>
          <w:szCs w:val="26"/>
          <w:rtl/>
        </w:rPr>
        <w:t>הנדרש עם ראש העירייה מצד שני, שכן מן הראוי הוא שמבקר פנימי יהיה קשוב לראש הארגון אותו הוא מבקר. גם לראש הרשות המקומית ו/או לבעלי תפקידים אחרים  יכולות להיות הצעות ראויות לנושאי ביקורת. בנוסח הקיים היום יכול ראש הראשות להעמיס על המבקר הפנימי דרישות למטלות ב</w:t>
      </w:r>
      <w:r>
        <w:rPr>
          <w:rFonts w:cs="David"/>
          <w:sz w:val="26"/>
          <w:szCs w:val="26"/>
          <w:rtl/>
        </w:rPr>
        <w:t>יקורת פנימית עד כי לא יוכל לבצע את מה שלדעתו חיוני לבקר.</w:t>
      </w:r>
    </w:p>
    <w:p w:rsidR="00000000" w:rsidRDefault="00493636">
      <w:pPr>
        <w:spacing w:line="360" w:lineRule="auto"/>
        <w:jc w:val="both"/>
        <w:rPr>
          <w:rFonts w:cs="David"/>
          <w:sz w:val="26"/>
          <w:szCs w:val="26"/>
          <w:rtl/>
        </w:rPr>
      </w:pPr>
    </w:p>
    <w:p w:rsidR="00000000" w:rsidRDefault="00493636">
      <w:pPr>
        <w:spacing w:line="360" w:lineRule="auto"/>
        <w:jc w:val="both"/>
        <w:rPr>
          <w:rFonts w:cs="David"/>
          <w:b/>
          <w:bCs/>
          <w:sz w:val="26"/>
          <w:szCs w:val="26"/>
          <w:u w:val="single"/>
          <w:rtl/>
        </w:rPr>
      </w:pPr>
      <w:r>
        <w:rPr>
          <w:rFonts w:cs="David"/>
          <w:b/>
          <w:bCs/>
          <w:sz w:val="26"/>
          <w:szCs w:val="26"/>
          <w:u w:val="single"/>
          <w:rtl/>
        </w:rPr>
        <w:t xml:space="preserve">תיקון חוק החברות, פקודת הבנקאות, חוק הפיקוח על עסקי ביטוח וחוק השקעות משותפות בנאמנות </w:t>
      </w:r>
    </w:p>
    <w:p w:rsidR="00000000" w:rsidRDefault="00493636">
      <w:pPr>
        <w:spacing w:line="360" w:lineRule="auto"/>
        <w:jc w:val="both"/>
        <w:rPr>
          <w:rFonts w:cs="David"/>
          <w:b/>
          <w:bCs/>
          <w:sz w:val="26"/>
          <w:szCs w:val="26"/>
          <w:u w:val="single"/>
          <w:rtl/>
        </w:rPr>
      </w:pPr>
    </w:p>
    <w:p w:rsidR="00000000" w:rsidRDefault="00493636">
      <w:pPr>
        <w:spacing w:line="360" w:lineRule="auto"/>
        <w:jc w:val="both"/>
        <w:rPr>
          <w:rFonts w:cs="David"/>
          <w:sz w:val="26"/>
          <w:szCs w:val="26"/>
          <w:rtl/>
        </w:rPr>
      </w:pPr>
      <w:r>
        <w:rPr>
          <w:rFonts w:cs="David"/>
          <w:sz w:val="26"/>
          <w:szCs w:val="26"/>
          <w:rtl/>
        </w:rPr>
        <w:t>גם בגופים אלה צריכה להיות הוראה בדבר חשד לעבירה פלילית שהתגלתה במהלך ביצוע הביקורת הפנימית.</w:t>
      </w:r>
    </w:p>
    <w:p w:rsidR="00000000" w:rsidRDefault="00493636">
      <w:pPr>
        <w:spacing w:line="360" w:lineRule="auto"/>
        <w:jc w:val="both"/>
        <w:rPr>
          <w:rFonts w:cs="David"/>
          <w:sz w:val="26"/>
          <w:szCs w:val="26"/>
          <w:rtl/>
        </w:rPr>
      </w:pPr>
    </w:p>
    <w:p w:rsidR="00000000" w:rsidRDefault="00493636">
      <w:pPr>
        <w:spacing w:line="360" w:lineRule="auto"/>
        <w:jc w:val="both"/>
        <w:rPr>
          <w:rFonts w:cs="David"/>
          <w:sz w:val="26"/>
          <w:szCs w:val="26"/>
          <w:rtl/>
        </w:rPr>
      </w:pPr>
      <w:r>
        <w:rPr>
          <w:rFonts w:cs="David"/>
          <w:sz w:val="26"/>
          <w:szCs w:val="26"/>
          <w:rtl/>
        </w:rPr>
        <w:t>הצעת חוק דומה בעי</w:t>
      </w:r>
      <w:r>
        <w:rPr>
          <w:rFonts w:cs="David"/>
          <w:sz w:val="26"/>
          <w:szCs w:val="26"/>
          <w:rtl/>
        </w:rPr>
        <w:t>קרה הונחה על שולחן הכנסת השש-עשרה על ידי חבר הכנסת חמי דורון וקבוצת חברי כנסת (פ/1481) ועל ידי חבר הכנסת זבולון אורלב (פ/3741)</w:t>
      </w:r>
    </w:p>
    <w:p w:rsidR="00000000" w:rsidRDefault="00493636">
      <w:pPr>
        <w:spacing w:line="360" w:lineRule="auto"/>
        <w:jc w:val="both"/>
        <w:rPr>
          <w:rFonts w:cs="David"/>
          <w:sz w:val="26"/>
          <w:szCs w:val="26"/>
          <w:rtl/>
        </w:rPr>
      </w:pPr>
      <w:r>
        <w:rPr>
          <w:rFonts w:cs="David"/>
          <w:sz w:val="26"/>
          <w:szCs w:val="26"/>
          <w:rtl/>
        </w:rPr>
        <w:t>---------------------------------</w:t>
      </w:r>
    </w:p>
    <w:p w:rsidR="00000000" w:rsidRDefault="00493636">
      <w:pPr>
        <w:pStyle w:val="a3"/>
        <w:spacing w:line="360" w:lineRule="auto"/>
        <w:jc w:val="left"/>
        <w:rPr>
          <w:rFonts w:cs="David"/>
          <w:b w:val="0"/>
          <w:bCs w:val="0"/>
          <w:u w:val="none"/>
          <w:rtl/>
        </w:rPr>
      </w:pPr>
      <w:r>
        <w:rPr>
          <w:rFonts w:cs="David"/>
          <w:b w:val="0"/>
          <w:bCs w:val="0"/>
          <w:u w:val="none"/>
          <w:rtl/>
        </w:rPr>
        <w:t>הוגשה ליו"ר הכנסת והסגנים</w:t>
      </w:r>
    </w:p>
    <w:p w:rsidR="00000000" w:rsidRDefault="00493636">
      <w:pPr>
        <w:pStyle w:val="a3"/>
        <w:spacing w:line="360" w:lineRule="auto"/>
        <w:jc w:val="left"/>
        <w:rPr>
          <w:rFonts w:cs="David"/>
          <w:b w:val="0"/>
          <w:bCs w:val="0"/>
          <w:u w:val="none"/>
          <w:rtl/>
        </w:rPr>
      </w:pPr>
      <w:r>
        <w:rPr>
          <w:rFonts w:cs="David"/>
          <w:b w:val="0"/>
          <w:bCs w:val="0"/>
          <w:u w:val="none"/>
          <w:rtl/>
        </w:rPr>
        <w:t>והונחה על שולחן הכנסת ביום</w:t>
      </w:r>
    </w:p>
    <w:p w:rsidR="00000000" w:rsidRDefault="00493636">
      <w:pPr>
        <w:pStyle w:val="a3"/>
        <w:spacing w:line="360" w:lineRule="auto"/>
        <w:jc w:val="left"/>
        <w:rPr>
          <w:rFonts w:cs="David"/>
          <w:b w:val="0"/>
          <w:bCs w:val="0"/>
          <w:u w:val="none"/>
        </w:rPr>
      </w:pPr>
      <w:r>
        <w:rPr>
          <w:rFonts w:cs="David"/>
          <w:b w:val="0"/>
          <w:bCs w:val="0"/>
          <w:u w:val="none"/>
          <w:rtl/>
        </w:rPr>
        <w:t>ז' בתמוז התשס"ו - 3.7.06</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3636">
      <w:r>
        <w:separator/>
      </w:r>
    </w:p>
  </w:endnote>
  <w:endnote w:type="continuationSeparator" w:id="0">
    <w:p w:rsidR="00000000" w:rsidRDefault="0049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3636">
      <w:r>
        <w:separator/>
      </w:r>
    </w:p>
  </w:footnote>
  <w:footnote w:type="continuationSeparator" w:id="0">
    <w:p w:rsidR="00000000" w:rsidRDefault="00493636">
      <w:r>
        <w:continuationSeparator/>
      </w:r>
    </w:p>
  </w:footnote>
  <w:footnote w:id="1">
    <w:p w:rsidR="00000000" w:rsidRDefault="00493636">
      <w:pPr>
        <w:pStyle w:val="a9"/>
      </w:pPr>
      <w:r>
        <w:rPr>
          <w:rStyle w:val="ab"/>
          <w:rFonts w:cs="David"/>
        </w:rPr>
        <w:footnoteRef/>
      </w:r>
      <w:r>
        <w:rPr>
          <w:rFonts w:cs="David"/>
        </w:rPr>
        <w:t xml:space="preserve"> </w:t>
      </w:r>
      <w:r>
        <w:rPr>
          <w:rFonts w:cs="David"/>
          <w:rtl/>
        </w:rPr>
        <w:t>ס"ח התשנ"ב, עמ' 198.</w:t>
      </w:r>
    </w:p>
  </w:footnote>
  <w:footnote w:id="2">
    <w:p w:rsidR="00000000" w:rsidRDefault="00493636">
      <w:pPr>
        <w:pStyle w:val="a9"/>
      </w:pPr>
      <w:r>
        <w:rPr>
          <w:rStyle w:val="ab"/>
          <w:rFonts w:cs="David"/>
        </w:rPr>
        <w:footnoteRef/>
      </w:r>
      <w:r>
        <w:rPr>
          <w:rFonts w:cs="David"/>
        </w:rPr>
        <w:t xml:space="preserve"> </w:t>
      </w:r>
      <w:r>
        <w:rPr>
          <w:rFonts w:cs="David"/>
          <w:rtl/>
        </w:rPr>
        <w:t>ס"ח התשל"ה, עמ' 132.</w:t>
      </w:r>
    </w:p>
  </w:footnote>
  <w:footnote w:id="3">
    <w:p w:rsidR="00000000" w:rsidRDefault="00493636">
      <w:pPr>
        <w:pStyle w:val="a9"/>
      </w:pPr>
      <w:r>
        <w:rPr>
          <w:rStyle w:val="ab"/>
          <w:rFonts w:cs="David"/>
        </w:rPr>
        <w:footnoteRef/>
      </w:r>
      <w:r>
        <w:rPr>
          <w:rFonts w:cs="David"/>
        </w:rPr>
        <w:t xml:space="preserve"> </w:t>
      </w:r>
      <w:r>
        <w:rPr>
          <w:rFonts w:cs="David"/>
          <w:rtl/>
        </w:rPr>
        <w:t>ס"ח התשמ"ה, עמ' 60.</w:t>
      </w:r>
    </w:p>
  </w:footnote>
  <w:footnote w:id="4">
    <w:p w:rsidR="00000000" w:rsidRDefault="00493636">
      <w:pPr>
        <w:pStyle w:val="a9"/>
      </w:pPr>
      <w:r>
        <w:rPr>
          <w:rStyle w:val="ab"/>
          <w:rFonts w:cs="David"/>
        </w:rPr>
        <w:footnoteRef/>
      </w:r>
      <w:r>
        <w:rPr>
          <w:rFonts w:cs="David"/>
        </w:rPr>
        <w:t xml:space="preserve"> </w:t>
      </w:r>
      <w:r>
        <w:rPr>
          <w:rFonts w:cs="David"/>
          <w:rtl/>
        </w:rPr>
        <w:t>ס"ח התשנ"ד, עמ' 156.</w:t>
      </w:r>
    </w:p>
  </w:footnote>
  <w:footnote w:id="5">
    <w:p w:rsidR="00000000" w:rsidRDefault="00493636">
      <w:pPr>
        <w:pStyle w:val="a9"/>
      </w:pPr>
      <w:r>
        <w:rPr>
          <w:rStyle w:val="ab"/>
          <w:rFonts w:cs="David"/>
        </w:rPr>
        <w:footnoteRef/>
      </w:r>
      <w:r>
        <w:rPr>
          <w:rFonts w:cs="David"/>
        </w:rPr>
        <w:t xml:space="preserve"> </w:t>
      </w:r>
      <w:r>
        <w:rPr>
          <w:rFonts w:cs="David"/>
          <w:rtl/>
        </w:rPr>
        <w:t>ס"ח התשל"א, עמ' 130.</w:t>
      </w:r>
    </w:p>
  </w:footnote>
  <w:footnote w:id="6">
    <w:p w:rsidR="00000000" w:rsidRDefault="00493636">
      <w:pPr>
        <w:pStyle w:val="a9"/>
      </w:pPr>
      <w:r>
        <w:rPr>
          <w:rStyle w:val="ab"/>
        </w:rPr>
        <w:footnoteRef/>
      </w:r>
      <w:r>
        <w:rPr>
          <w:rFonts w:cs="Times New Roman"/>
        </w:rPr>
        <w:t xml:space="preserve"> </w:t>
      </w:r>
      <w:r>
        <w:rPr>
          <w:rFonts w:cs="David"/>
          <w:rtl/>
        </w:rPr>
        <w:t>ס"ח התשי"ח, עמ' 191.</w:t>
      </w:r>
    </w:p>
  </w:footnote>
  <w:footnote w:id="7">
    <w:p w:rsidR="00000000" w:rsidRDefault="00493636">
      <w:pPr>
        <w:pStyle w:val="a9"/>
      </w:pPr>
      <w:r>
        <w:rPr>
          <w:rStyle w:val="ab"/>
        </w:rPr>
        <w:footnoteRef/>
      </w:r>
      <w:r>
        <w:rPr>
          <w:rFonts w:cs="Times New Roman"/>
        </w:rPr>
        <w:t xml:space="preserve"> </w:t>
      </w:r>
      <w:r>
        <w:rPr>
          <w:rFonts w:cs="David"/>
          <w:rtl/>
        </w:rPr>
        <w:t>ס"ח התשנ"ט, עמ' 189.</w:t>
      </w:r>
    </w:p>
  </w:footnote>
  <w:footnote w:id="8">
    <w:p w:rsidR="00000000" w:rsidRDefault="00493636">
      <w:pPr>
        <w:pStyle w:val="a9"/>
      </w:pPr>
      <w:r>
        <w:rPr>
          <w:rStyle w:val="ab"/>
        </w:rPr>
        <w:footnoteRef/>
      </w:r>
      <w:r>
        <w:rPr>
          <w:rStyle w:val="ab"/>
        </w:rPr>
        <w:t xml:space="preserve"> </w:t>
      </w:r>
      <w:r>
        <w:rPr>
          <w:rFonts w:cs="Times New Roman"/>
          <w:rtl/>
        </w:rPr>
        <w:t xml:space="preserve"> </w:t>
      </w:r>
      <w:r>
        <w:rPr>
          <w:rFonts w:cs="David"/>
          <w:rtl/>
        </w:rPr>
        <w:t>ע"ר 1941, תוס' 1, עמ' (ע) (69), א' 85.</w:t>
      </w:r>
    </w:p>
  </w:footnote>
  <w:footnote w:id="9">
    <w:p w:rsidR="00000000" w:rsidRDefault="00493636">
      <w:pPr>
        <w:pStyle w:val="a9"/>
      </w:pPr>
      <w:r>
        <w:rPr>
          <w:rStyle w:val="ab"/>
        </w:rPr>
        <w:footnoteRef/>
      </w:r>
      <w:r>
        <w:rPr>
          <w:rStyle w:val="ab"/>
        </w:rPr>
        <w:t xml:space="preserve"> </w:t>
      </w:r>
      <w:r>
        <w:rPr>
          <w:rFonts w:cs="Times New Roman"/>
          <w:rtl/>
        </w:rPr>
        <w:t xml:space="preserve"> </w:t>
      </w:r>
      <w:r>
        <w:rPr>
          <w:rFonts w:cs="David"/>
          <w:rtl/>
        </w:rPr>
        <w:t>ס"ח התשמ"א, עמ' 208.</w:t>
      </w:r>
    </w:p>
  </w:footnote>
  <w:footnote w:id="10">
    <w:p w:rsidR="00000000" w:rsidRDefault="00493636">
      <w:pPr>
        <w:pStyle w:val="a9"/>
      </w:pPr>
      <w:r>
        <w:rPr>
          <w:rStyle w:val="ab"/>
          <w:rFonts w:cs="David"/>
        </w:rPr>
        <w:footnoteRef/>
      </w:r>
      <w:r>
        <w:rPr>
          <w:rStyle w:val="ab"/>
          <w:rFonts w:cs="David"/>
        </w:rPr>
        <w:t xml:space="preserve"> </w:t>
      </w:r>
      <w:r>
        <w:rPr>
          <w:rFonts w:cs="David"/>
          <w:rtl/>
        </w:rPr>
        <w:t>ס"ח התשי"ח, עמ</w:t>
      </w:r>
      <w:r>
        <w:rPr>
          <w:rFonts w:cs="David"/>
          <w:rtl/>
        </w:rPr>
        <w:t>' 191.</w:t>
      </w:r>
    </w:p>
  </w:footnote>
  <w:footnote w:id="11">
    <w:p w:rsidR="00000000" w:rsidRDefault="00493636">
      <w:pPr>
        <w:pStyle w:val="a9"/>
      </w:pPr>
      <w:r>
        <w:rPr>
          <w:rStyle w:val="ab"/>
          <w:rFonts w:cs="David"/>
        </w:rPr>
        <w:footnoteRef/>
      </w:r>
      <w:r>
        <w:rPr>
          <w:rStyle w:val="ab"/>
          <w:rFonts w:cs="David"/>
        </w:rPr>
        <w:t xml:space="preserve"> </w:t>
      </w:r>
      <w:r>
        <w:rPr>
          <w:rFonts w:cs="David"/>
          <w:rtl/>
        </w:rPr>
        <w:t xml:space="preserve"> ס"ח התשנ"ד, עמ' 308.</w:t>
      </w:r>
    </w:p>
  </w:footnote>
  <w:footnote w:id="12">
    <w:p w:rsidR="00000000" w:rsidRDefault="00493636">
      <w:pPr>
        <w:pStyle w:val="a9"/>
      </w:pPr>
      <w:r>
        <w:rPr>
          <w:rStyle w:val="ab"/>
          <w:rFonts w:cs="David"/>
        </w:rPr>
        <w:footnoteRef/>
      </w:r>
      <w:r>
        <w:rPr>
          <w:rFonts w:cs="David"/>
        </w:rPr>
        <w:t xml:space="preserve"> </w:t>
      </w:r>
      <w:r>
        <w:rPr>
          <w:rFonts w:cs="David"/>
          <w:rtl/>
        </w:rPr>
        <w:t xml:space="preserve"> ס"ח התשל"</w:t>
      </w:r>
      <w:r>
        <w:rPr>
          <w:rFonts w:cs="David"/>
          <w:rtl/>
        </w:rPr>
        <w:t>ה, עמ' 132.</w:t>
      </w:r>
    </w:p>
  </w:footnote>
  <w:footnote w:id="13">
    <w:p w:rsidR="00000000" w:rsidRDefault="00493636">
      <w:pPr>
        <w:pStyle w:val="a9"/>
      </w:pPr>
      <w:r>
        <w:rPr>
          <w:rStyle w:val="ab"/>
        </w:rPr>
        <w:footnoteRef/>
      </w:r>
      <w:r>
        <w:rPr>
          <w:rFonts w:cs="Times New Roman"/>
        </w:rPr>
        <w:t xml:space="preserve"> </w:t>
      </w:r>
      <w:r>
        <w:rPr>
          <w:rFonts w:cs="Times New Roman"/>
          <w:rtl/>
        </w:rPr>
        <w:t xml:space="preserve"> </w:t>
      </w:r>
      <w:r>
        <w:rPr>
          <w:rFonts w:cs="David"/>
          <w:rtl/>
        </w:rPr>
        <w:t>דיני מדינת ישראל, נוסח חדש 8, עמ' 197.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3636">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28</w:t>
    </w:r>
    <w:r>
      <w:rPr>
        <w:rStyle w:val="a7"/>
      </w:rPr>
      <w:fldChar w:fldCharType="end"/>
    </w:r>
  </w:p>
  <w:p w:rsidR="00000000" w:rsidRDefault="0049363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85EFB"/>
    <w:multiLevelType w:val="hybridMultilevel"/>
    <w:tmpl w:val="9C586166"/>
    <w:lvl w:ilvl="0" w:tplc="D15430DA">
      <w:start w:val="9"/>
      <w:numFmt w:val="hebrew1"/>
      <w:lvlText w:val="(%1)"/>
      <w:lvlJc w:val="left"/>
      <w:pPr>
        <w:tabs>
          <w:tab w:val="num" w:pos="750"/>
        </w:tabs>
        <w:ind w:left="750" w:hanging="570"/>
      </w:pPr>
      <w:rPr>
        <w:rFonts w:cs="Times New Roman" w:hint="default"/>
        <w:sz w:val="24"/>
        <w:szCs w:val="24"/>
      </w:rPr>
    </w:lvl>
    <w:lvl w:ilvl="1" w:tplc="040D0019">
      <w:start w:val="1"/>
      <w:numFmt w:val="lowerLetter"/>
      <w:lvlText w:val="%2."/>
      <w:lvlJc w:val="left"/>
      <w:pPr>
        <w:tabs>
          <w:tab w:val="num" w:pos="1260"/>
        </w:tabs>
        <w:ind w:left="1260" w:hanging="360"/>
      </w:pPr>
      <w:rPr>
        <w:rFonts w:cs="Times New Roman"/>
      </w:rPr>
    </w:lvl>
    <w:lvl w:ilvl="2" w:tplc="040D001B">
      <w:start w:val="1"/>
      <w:numFmt w:val="lowerRoman"/>
      <w:lvlText w:val="%3."/>
      <w:lvlJc w:val="right"/>
      <w:pPr>
        <w:tabs>
          <w:tab w:val="num" w:pos="1980"/>
        </w:tabs>
        <w:ind w:left="1980" w:hanging="180"/>
      </w:pPr>
      <w:rPr>
        <w:rFonts w:cs="Times New Roman"/>
      </w:rPr>
    </w:lvl>
    <w:lvl w:ilvl="3" w:tplc="040D000F">
      <w:start w:val="1"/>
      <w:numFmt w:val="decimal"/>
      <w:lvlText w:val="%4."/>
      <w:lvlJc w:val="left"/>
      <w:pPr>
        <w:tabs>
          <w:tab w:val="num" w:pos="2700"/>
        </w:tabs>
        <w:ind w:left="2700" w:hanging="360"/>
      </w:pPr>
      <w:rPr>
        <w:rFonts w:cs="Times New Roman"/>
      </w:rPr>
    </w:lvl>
    <w:lvl w:ilvl="4" w:tplc="040D0019">
      <w:start w:val="1"/>
      <w:numFmt w:val="lowerLetter"/>
      <w:lvlText w:val="%5."/>
      <w:lvlJc w:val="left"/>
      <w:pPr>
        <w:tabs>
          <w:tab w:val="num" w:pos="3420"/>
        </w:tabs>
        <w:ind w:left="3420" w:hanging="360"/>
      </w:pPr>
      <w:rPr>
        <w:rFonts w:cs="Times New Roman"/>
      </w:rPr>
    </w:lvl>
    <w:lvl w:ilvl="5" w:tplc="040D001B">
      <w:start w:val="1"/>
      <w:numFmt w:val="lowerRoman"/>
      <w:lvlText w:val="%6."/>
      <w:lvlJc w:val="right"/>
      <w:pPr>
        <w:tabs>
          <w:tab w:val="num" w:pos="4140"/>
        </w:tabs>
        <w:ind w:left="4140" w:hanging="180"/>
      </w:pPr>
      <w:rPr>
        <w:rFonts w:cs="Times New Roman"/>
      </w:rPr>
    </w:lvl>
    <w:lvl w:ilvl="6" w:tplc="040D000F">
      <w:start w:val="1"/>
      <w:numFmt w:val="decimal"/>
      <w:lvlText w:val="%7."/>
      <w:lvlJc w:val="left"/>
      <w:pPr>
        <w:tabs>
          <w:tab w:val="num" w:pos="4860"/>
        </w:tabs>
        <w:ind w:left="4860" w:hanging="360"/>
      </w:pPr>
      <w:rPr>
        <w:rFonts w:cs="Times New Roman"/>
      </w:rPr>
    </w:lvl>
    <w:lvl w:ilvl="7" w:tplc="040D0019">
      <w:start w:val="1"/>
      <w:numFmt w:val="lowerLetter"/>
      <w:lvlText w:val="%8."/>
      <w:lvlJc w:val="left"/>
      <w:pPr>
        <w:tabs>
          <w:tab w:val="num" w:pos="5580"/>
        </w:tabs>
        <w:ind w:left="5580" w:hanging="360"/>
      </w:pPr>
      <w:rPr>
        <w:rFonts w:cs="Times New Roman"/>
      </w:rPr>
    </w:lvl>
    <w:lvl w:ilvl="8" w:tplc="040D001B">
      <w:start w:val="1"/>
      <w:numFmt w:val="lowerRoman"/>
      <w:lvlText w:val="%9."/>
      <w:lvlJc w:val="right"/>
      <w:pPr>
        <w:tabs>
          <w:tab w:val="num" w:pos="6300"/>
        </w:tabs>
        <w:ind w:left="6300" w:hanging="180"/>
      </w:pPr>
      <w:rPr>
        <w:rFonts w:cs="Times New Roman"/>
      </w:rPr>
    </w:lvl>
  </w:abstractNum>
  <w:abstractNum w:abstractNumId="1">
    <w:nsid w:val="7AA26C89"/>
    <w:multiLevelType w:val="hybridMultilevel"/>
    <w:tmpl w:val="2DF8DDA4"/>
    <w:lvl w:ilvl="0" w:tplc="206082B8">
      <w:start w:val="2"/>
      <w:numFmt w:val="hebrew1"/>
      <w:lvlText w:val="(%1)"/>
      <w:lvlJc w:val="left"/>
      <w:pPr>
        <w:tabs>
          <w:tab w:val="num" w:pos="960"/>
        </w:tabs>
        <w:ind w:left="960" w:hanging="600"/>
      </w:pPr>
      <w:rPr>
        <w:rFonts w:ascii="Times New Roman" w:hAnsi="Times New Roman" w:cs="Times New Roman" w:hint="default"/>
        <w:sz w:val="24"/>
        <w:szCs w:val="24"/>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7C773567"/>
    <w:multiLevelType w:val="hybridMultilevel"/>
    <w:tmpl w:val="C6A40AEC"/>
    <w:lvl w:ilvl="0" w:tplc="DF6A869E">
      <w:start w:val="4"/>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nsid w:val="7F5E0287"/>
    <w:multiLevelType w:val="hybridMultilevel"/>
    <w:tmpl w:val="8FE83096"/>
    <w:lvl w:ilvl="0" w:tplc="3020CCA6">
      <w:start w:val="1"/>
      <w:numFmt w:val="hebrew1"/>
      <w:lvlText w:val="%1."/>
      <w:lvlJc w:val="left"/>
      <w:pPr>
        <w:tabs>
          <w:tab w:val="num" w:pos="720"/>
        </w:tabs>
        <w:ind w:left="720" w:hanging="360"/>
      </w:pPr>
      <w:rPr>
        <w:rFonts w:ascii="Times New Roman" w:hAnsi="Times New Roman" w:cs="Times New Roman" w:hint="default"/>
        <w:sz w:val="24"/>
        <w:szCs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9552áé÷åøú ôðéîéú - òéãåã äáé÷åøú.doc"/>
    <w:docVar w:name="StartMode" w:val="2"/>
  </w:docVars>
  <w:rsids>
    <w:rsidRoot w:val="00493636"/>
    <w:rsid w:val="00493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annotation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spacing w:after="120"/>
      <w:jc w:val="center"/>
      <w:outlineLvl w:val="1"/>
    </w:pPr>
    <w:rPr>
      <w:rFonts w:eastAsia="SimSun" w:cs="SimSun"/>
      <w:b/>
      <w:bCs/>
      <w:sz w:val="26"/>
      <w:szCs w:val="26"/>
      <w:u w:val="single"/>
    </w:rPr>
  </w:style>
  <w:style w:type="paragraph" w:styleId="3">
    <w:name w:val="heading 3"/>
    <w:basedOn w:val="a"/>
    <w:next w:val="a"/>
    <w:link w:val="30"/>
    <w:uiPriority w:val="99"/>
    <w:qFormat/>
    <w:pPr>
      <w:keepNext/>
      <w:spacing w:after="120"/>
      <w:outlineLvl w:val="2"/>
    </w:pPr>
    <w:rPr>
      <w:rFonts w:eastAsia="SimSun" w:cs="SimSun"/>
      <w:b/>
      <w:bCs/>
      <w:sz w:val="26"/>
    </w:rPr>
  </w:style>
  <w:style w:type="paragraph" w:styleId="4">
    <w:name w:val="heading 4"/>
    <w:basedOn w:val="a"/>
    <w:next w:val="a"/>
    <w:link w:val="40"/>
    <w:uiPriority w:val="99"/>
    <w:qFormat/>
    <w:pPr>
      <w:keepNext/>
      <w:spacing w:after="120"/>
      <w:outlineLvl w:val="3"/>
    </w:pPr>
    <w:rPr>
      <w:rFonts w:eastAsia="SimSun" w:cs="SimSun"/>
      <w:b/>
      <w:bCs/>
      <w:sz w:val="26"/>
    </w:rPr>
  </w:style>
  <w:style w:type="paragraph" w:styleId="5">
    <w:name w:val="heading 5"/>
    <w:basedOn w:val="a"/>
    <w:next w:val="a"/>
    <w:link w:val="50"/>
    <w:uiPriority w:val="99"/>
    <w:qFormat/>
    <w:pPr>
      <w:keepNext/>
      <w:spacing w:after="120"/>
      <w:outlineLvl w:val="4"/>
    </w:pPr>
    <w:rPr>
      <w:rFonts w:eastAsia="SimSun" w:cs="SimSun"/>
      <w:b/>
      <w:bCs/>
      <w:sz w:val="26"/>
    </w:rPr>
  </w:style>
  <w:style w:type="paragraph" w:styleId="6">
    <w:name w:val="heading 6"/>
    <w:basedOn w:val="a"/>
    <w:next w:val="a"/>
    <w:link w:val="60"/>
    <w:uiPriority w:val="99"/>
    <w:qFormat/>
    <w:pPr>
      <w:keepNext/>
      <w:spacing w:after="120"/>
      <w:outlineLvl w:val="5"/>
    </w:pPr>
    <w:rPr>
      <w:rFonts w:eastAsia="SimSun" w:cs="SimSun"/>
      <w:b/>
      <w:bCs/>
      <w:sz w:val="26"/>
    </w:rPr>
  </w:style>
  <w:style w:type="paragraph" w:styleId="7">
    <w:name w:val="heading 7"/>
    <w:basedOn w:val="a"/>
    <w:next w:val="a"/>
    <w:link w:val="70"/>
    <w:uiPriority w:val="99"/>
    <w:qFormat/>
    <w:pPr>
      <w:keepNext/>
      <w:spacing w:after="120"/>
      <w:outlineLvl w:val="6"/>
    </w:pPr>
    <w:rPr>
      <w:rFonts w:eastAsia="SimSun" w:cs="SimSun"/>
      <w:b/>
      <w:bCs/>
      <w:sz w:val="26"/>
    </w:rPr>
  </w:style>
  <w:style w:type="paragraph" w:styleId="8">
    <w:name w:val="heading 8"/>
    <w:basedOn w:val="a"/>
    <w:next w:val="a"/>
    <w:link w:val="80"/>
    <w:uiPriority w:val="99"/>
    <w:qFormat/>
    <w:pPr>
      <w:keepNext/>
      <w:spacing w:after="120"/>
      <w:outlineLvl w:val="7"/>
    </w:pPr>
    <w:rPr>
      <w:rFonts w:eastAsia="SimSun" w:cs="SimSun"/>
      <w:b/>
      <w:bCs/>
      <w:sz w:val="26"/>
    </w:rPr>
  </w:style>
  <w:style w:type="paragraph" w:styleId="9">
    <w:name w:val="heading 9"/>
    <w:basedOn w:val="a"/>
    <w:next w:val="a"/>
    <w:link w:val="90"/>
    <w:uiPriority w:val="99"/>
    <w:qFormat/>
    <w:pPr>
      <w:keepNext/>
      <w:spacing w:after="120"/>
      <w:outlineLvl w:val="8"/>
    </w:pPr>
    <w:rPr>
      <w:rFonts w:eastAsia="SimSun" w:cs="SimSun"/>
      <w:b/>
      <w:bCs/>
      <w:sz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character" w:styleId="a8">
    <w:name w:val="annotation reference"/>
    <w:basedOn w:val="a0"/>
    <w:uiPriority w:val="99"/>
    <w:rPr>
      <w:rFonts w:cs="Times New Roman"/>
      <w:sz w:val="16"/>
      <w:szCs w:val="16"/>
    </w:rPr>
  </w:style>
  <w:style w:type="paragraph" w:styleId="a9">
    <w:name w:val="footnote text"/>
    <w:basedOn w:val="a"/>
    <w:link w:val="aa"/>
    <w:uiPriority w:val="99"/>
    <w:rPr>
      <w:rFonts w:eastAsia="SimSun" w:cs="SimSun"/>
      <w:sz w:val="20"/>
      <w:szCs w:val="20"/>
    </w:rPr>
  </w:style>
  <w:style w:type="character" w:customStyle="1" w:styleId="aa">
    <w:name w:val="טקסט הערת שוליים תו"/>
    <w:basedOn w:val="a0"/>
    <w:link w:val="a9"/>
    <w:uiPriority w:val="99"/>
    <w:semiHidden/>
    <w:rPr>
      <w:rFonts w:ascii="Times New Roman" w:hAnsi="Times New Roman" w:cs="Times New Roman"/>
      <w:sz w:val="20"/>
      <w:szCs w:val="20"/>
      <w:lang w:eastAsia="he-IL"/>
    </w:rPr>
  </w:style>
  <w:style w:type="character" w:styleId="ab">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5500</Words>
  <Characters>27505</Characters>
  <Application>Microsoft Office Word</Application>
  <DocSecurity>0</DocSecurity>
  <Lines>229</Lines>
  <Paragraphs>65</Paragraphs>
  <ScaleCrop>false</ScaleCrop>
  <Company>knesset</Company>
  <LinksUpToDate>false</LinksUpToDate>
  <CharactersWithSpaces>32940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הביקורת הפנימית (תיקון - עידוד הביקורת הפנימית), התשס"ו-2006</dc:title>
  <dc:subject/>
  <dc:creator>יורי שטרן</dc:creator>
  <cp:keywords/>
  <dc:description/>
  <cp:lastModifiedBy>שמואל כוכב</cp:lastModifiedBy>
  <cp:revision>2</cp:revision>
  <dcterms:created xsi:type="dcterms:W3CDTF">2015-02-03T19:31:00Z</dcterms:created>
  <dcterms:modified xsi:type="dcterms:W3CDTF">2015-02-03T19:31:00Z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03581706</vt:lpwstr>
  </property>
  <property fmtid="{D5CDD505-2E9C-101B-9397-08002B2CF9AE}" pid="10" name="מספר הצעת חוק למיון">
    <vt:lpwstr>828</vt:lpwstr>
  </property>
  <property fmtid="{D5CDD505-2E9C-101B-9397-08002B2CF9AE}" pid="11" name="SDDocDate">
    <vt:lpwstr>2006-06-28T00:00:00Z</vt:lpwstr>
  </property>
  <property fmtid="{D5CDD505-2E9C-101B-9397-08002B2CF9AE}" pid="12" name="SDHebDate">
    <vt:lpwstr>ב'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פ/828/17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