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6130A">
      <w:pPr>
        <w:pStyle w:val="ad"/>
        <w:bidi w:val="0"/>
        <w:rPr>
          <w:rFonts w:cs="David"/>
          <w:u w:val="none"/>
          <w:rtl/>
        </w:rPr>
      </w:pPr>
      <w:bookmarkStart w:id="0" w:name="_GoBack"/>
      <w:bookmarkEnd w:id="0"/>
      <w:r>
        <w:rPr>
          <w:rFonts w:cs="David" w:hint="cs"/>
          <w:u w:val="none"/>
          <w:rtl/>
        </w:rPr>
        <w:t>הכנסת</w:t>
      </w:r>
      <w:r>
        <w:rPr>
          <w:rFonts w:cs="David"/>
          <w:u w:val="none"/>
          <w:rtl/>
        </w:rPr>
        <w:t xml:space="preserve"> </w:t>
      </w:r>
      <w:r>
        <w:rPr>
          <w:rFonts w:cs="David" w:hint="cs"/>
          <w:u w:val="none"/>
          <w:rtl/>
        </w:rPr>
        <w:t>השמונה</w:t>
      </w:r>
      <w:r>
        <w:rPr>
          <w:rFonts w:cs="David"/>
          <w:u w:val="none"/>
          <w:rtl/>
        </w:rPr>
        <w:t>-</w:t>
      </w:r>
      <w:r>
        <w:rPr>
          <w:rFonts w:cs="David" w:hint="cs"/>
          <w:u w:val="none"/>
          <w:rtl/>
        </w:rPr>
        <w:t>עשרה</w:t>
      </w:r>
    </w:p>
    <w:p w:rsidR="00000000" w:rsidRDefault="0026130A">
      <w:pPr>
        <w:pStyle w:val="ad"/>
        <w:bidi w:val="0"/>
        <w:rPr>
          <w:rFonts w:cs="David"/>
          <w:b w:val="0"/>
          <w:bCs w:val="0"/>
          <w:sz w:val="26"/>
          <w:szCs w:val="26"/>
          <w:u w:val="none"/>
        </w:rPr>
      </w:pPr>
    </w:p>
    <w:p w:rsidR="00000000" w:rsidRDefault="0026130A">
      <w:pPr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</w:p>
    <w:p w:rsidR="00000000" w:rsidRDefault="0026130A">
      <w:pPr>
        <w:pStyle w:val="David"/>
        <w:ind w:left="2880" w:firstLine="720"/>
        <w:rPr>
          <w:rFonts w:cs="David"/>
          <w:b/>
          <w:bCs/>
          <w:rtl/>
        </w:rPr>
      </w:pPr>
      <w:r>
        <w:rPr>
          <w:rFonts w:cs="David" w:hint="cs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של</w:t>
      </w:r>
      <w:r>
        <w:rPr>
          <w:rFonts w:cs="David"/>
          <w:rtl/>
        </w:rPr>
        <w:t xml:space="preserve">  </w:t>
      </w:r>
      <w:bookmarkStart w:id="1" w:name="MKsSingleOrMulti"/>
      <w:r>
        <w:rPr>
          <w:rFonts w:cs="David" w:hint="cs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הכנסת</w:t>
      </w:r>
      <w:bookmarkEnd w:id="1"/>
      <w:r>
        <w:rPr>
          <w:rFonts w:cs="David"/>
        </w:rPr>
        <w:tab/>
      </w:r>
      <w:r>
        <w:rPr>
          <w:rFonts w:cs="David"/>
        </w:rPr>
        <w:tab/>
      </w:r>
      <w:r>
        <w:rPr>
          <w:rFonts w:cs="David" w:hint="cs"/>
          <w:b/>
          <w:bCs/>
          <w:rtl/>
        </w:rPr>
        <w:t>ציון</w:t>
      </w:r>
      <w:r>
        <w:rPr>
          <w:rFonts w:cs="David"/>
          <w:b/>
          <w:bCs/>
          <w:rtl/>
        </w:rPr>
        <w:t xml:space="preserve"> </w:t>
      </w:r>
      <w:r>
        <w:rPr>
          <w:rFonts w:cs="David" w:hint="cs"/>
          <w:b/>
          <w:bCs/>
          <w:rtl/>
        </w:rPr>
        <w:t>פיניאן</w:t>
      </w:r>
    </w:p>
    <w:p w:rsidR="00000000" w:rsidRDefault="0026130A">
      <w:pPr>
        <w:pStyle w:val="David"/>
        <w:ind w:left="2880" w:firstLine="72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  <w:r>
        <w:rPr>
          <w:rFonts w:cs="David"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  <w:r>
        <w:rPr>
          <w:rFonts w:cs="David"/>
          <w:b/>
          <w:bCs/>
          <w:u w:val="single"/>
          <w:rtl/>
        </w:rPr>
        <w:tab/>
      </w:r>
    </w:p>
    <w:p w:rsidR="00000000" w:rsidRDefault="0026130A">
      <w:pPr>
        <w:pStyle w:val="David"/>
        <w:ind w:left="2880" w:firstLine="720"/>
        <w:rPr>
          <w:rFonts w:cs="David"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פ</w:t>
      </w:r>
      <w:r>
        <w:rPr>
          <w:rFonts w:cs="David"/>
          <w:rtl/>
        </w:rPr>
        <w:t>/969/18</w:t>
      </w:r>
    </w:p>
    <w:p w:rsidR="00000000" w:rsidRDefault="0026130A">
      <w:pPr>
        <w:ind w:firstLine="0"/>
        <w:rPr>
          <w:rFonts w:cs="David"/>
          <w:sz w:val="26"/>
          <w:szCs w:val="26"/>
          <w:rtl/>
        </w:rPr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3.5pt;width:125.85pt;height:16.5pt;z-index:251658240" stroked="f">
            <v:textbox style="mso-next-textbox:#_x0000_s1026" inset="0,0,0,0">
              <w:txbxContent>
                <w:p w:rsidR="00000000" w:rsidRDefault="0026130A">
                  <w:pPr>
                    <w:rPr>
                      <w:rFonts w:cs="Hadasa Roso SL"/>
                      <w:rtl/>
                    </w:rPr>
                  </w:pPr>
                </w:p>
              </w:txbxContent>
            </v:textbox>
            <w10:anchorlock/>
          </v:shape>
        </w:pict>
      </w:r>
      <w:r>
        <w:rPr>
          <w:rFonts w:cs="David"/>
          <w:sz w:val="26"/>
          <w:szCs w:val="26"/>
        </w:rPr>
        <w:t xml:space="preserve">                        </w:t>
      </w:r>
    </w:p>
    <w:p w:rsidR="00000000" w:rsidRDefault="0026130A">
      <w:pPr>
        <w:pStyle w:val="HeadHatzaotHok"/>
        <w:rPr>
          <w:rFonts w:cs="David"/>
          <w:sz w:val="26"/>
          <w:rtl/>
        </w:rPr>
      </w:pPr>
      <w:r>
        <w:rPr>
          <w:rFonts w:cs="David"/>
          <w:sz w:val="26"/>
          <w:rtl/>
        </w:rPr>
        <w:t>הצעת חוק הרשויות המקומיות (בחירת ראש הרשות וסגניו וכהונתם)(תיקון – הגבלת כהונת ראש רשות מקומית), התשס"ט–2009</w:t>
      </w:r>
    </w:p>
    <w:p w:rsidR="00000000" w:rsidRDefault="0026130A">
      <w:pPr>
        <w:rPr>
          <w:rFonts w:cs="David"/>
          <w:sz w:val="26"/>
          <w:szCs w:val="26"/>
          <w:rtl/>
        </w:rPr>
      </w:pPr>
    </w:p>
    <w:tbl>
      <w:tblPr>
        <w:bidiVisual/>
        <w:tblW w:w="9638" w:type="dxa"/>
        <w:tblInd w:w="1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ind w:right="0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תיקון סעיף 4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ind w:right="0"/>
              <w:jc w:val="both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1.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בחוק הרשויות המקומיות (בחירת ראש הרשות וסגניו וכהונתם), התשל"ה</w:t>
            </w:r>
            <w:r>
              <w:rPr>
                <w:rFonts w:cs="David"/>
              </w:rPr>
              <w:t>–</w:t>
            </w:r>
            <w:r>
              <w:rPr>
                <w:rFonts w:cs="David"/>
                <w:sz w:val="26"/>
                <w:rtl/>
              </w:rPr>
              <w:t>1975</w:t>
            </w:r>
            <w:r>
              <w:rPr>
                <w:rStyle w:val="a7"/>
                <w:rFonts w:cs="David"/>
                <w:sz w:val="26"/>
                <w:rtl/>
              </w:rPr>
              <w:footnoteReference w:id="2"/>
            </w:r>
            <w:r>
              <w:rPr>
                <w:rFonts w:cs="David"/>
                <w:sz w:val="26"/>
                <w:rtl/>
              </w:rPr>
              <w:t xml:space="preserve">, בסעיף 4 – 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ind w:right="0"/>
              <w:rPr>
                <w:rFonts w:cs="David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  <w:sz w:val="26"/>
                <w:rtl/>
              </w:rPr>
            </w:pP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(1)</w:t>
            </w:r>
            <w:r>
              <w:rPr>
                <w:rFonts w:cs="David"/>
                <w:sz w:val="26"/>
                <w:rtl/>
              </w:rPr>
              <w:tab/>
              <w:t>בסעיף קטן (ב), במקום "בסעיפים קטנים (ג) ו-(ד)" יבוא "בסעיפים קטנים (ג) עד (ה)";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ind w:right="0"/>
              <w:rPr>
                <w:rFonts w:cs="David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  <w:sz w:val="26"/>
                <w:rtl/>
              </w:rPr>
            </w:pP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(2)</w:t>
            </w:r>
            <w:r>
              <w:rPr>
                <w:rFonts w:cs="David"/>
                <w:sz w:val="26"/>
                <w:rtl/>
              </w:rPr>
              <w:tab/>
              <w:t>אחרי סעיף קטן (ד) יבוא: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rPr>
                <w:rFonts w:cs="David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</w:rPr>
            </w:pP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"(ה)</w:t>
            </w:r>
            <w:r>
              <w:rPr>
                <w:rFonts w:cs="David"/>
                <w:sz w:val="26"/>
                <w:rtl/>
              </w:rPr>
              <w:tab/>
              <w:t>מי שכיהן כ</w:t>
            </w:r>
            <w:r>
              <w:rPr>
                <w:rFonts w:cs="David"/>
                <w:sz w:val="26"/>
                <w:rtl/>
              </w:rPr>
              <w:t>ראש רשות מקומית שלוש תקופות כהונה לא יהיה מועמד לראש הרשות בבחירות שייערכו לאחר תום תקופת כהונתו השלישית."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הוראת מעבר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2.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מי שמכהן כראש רשות מקומית ערב תחילתו של חוק זה, יראו אותו כאילו מכהן בתקופת כהונה ראשונה.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תיקון חוק המועצות האזוריות (בחירת ראש המועצ</w:t>
            </w:r>
            <w:r>
              <w:rPr>
                <w:rFonts w:cs="David"/>
                <w:sz w:val="26"/>
                <w:rtl/>
              </w:rPr>
              <w:t>ה)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3.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בחוק המועצות האזוריות (בחירת ראש המועצה), התשמ"ח–1988</w:t>
            </w:r>
            <w:r>
              <w:rPr>
                <w:rStyle w:val="a7"/>
                <w:rFonts w:cs="David"/>
                <w:sz w:val="26"/>
                <w:rtl/>
              </w:rPr>
              <w:footnoteReference w:id="3"/>
            </w:r>
            <w:r>
              <w:rPr>
                <w:rFonts w:cs="David"/>
                <w:sz w:val="26"/>
                <w:rtl/>
              </w:rPr>
              <w:t>, בסעיף 4, בסופו יבוא:</w:t>
            </w:r>
          </w:p>
        </w:tc>
      </w:tr>
      <w:tr w:rsidR="00000000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SideHeading"/>
              <w:rPr>
                <w:rFonts w:cs="David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Text"/>
              <w:rPr>
                <w:rFonts w:cs="David"/>
                <w:sz w:val="26"/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6130A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"(ד)</w:t>
            </w:r>
            <w:r>
              <w:rPr>
                <w:rFonts w:cs="David"/>
                <w:sz w:val="26"/>
                <w:rtl/>
              </w:rPr>
              <w:tab/>
              <w:t>על אף האמור בסעיף קטן (ב), מי שכיהן כראש המועצה שלוש תקופות כהונה לא יהיה מועמד לראש המועצה בבחירות שייערכו לאחר תום תקופת כהונתו השלישית."</w:t>
            </w:r>
          </w:p>
        </w:tc>
      </w:tr>
    </w:tbl>
    <w:p w:rsidR="00000000" w:rsidRDefault="0026130A">
      <w:pPr>
        <w:pStyle w:val="HeadDivrei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ד</w:t>
      </w:r>
      <w:r>
        <w:rPr>
          <w:rFonts w:cs="David"/>
          <w:sz w:val="26"/>
          <w:rtl/>
        </w:rPr>
        <w:t>ברי  הסבר</w:t>
      </w:r>
    </w:p>
    <w:p w:rsidR="00000000" w:rsidRDefault="0026130A">
      <w:pPr>
        <w:spacing w:line="360" w:lineRule="auto"/>
        <w:rPr>
          <w:rFonts w:ascii="Courier New" w:hAnsi="Courier New" w:cs="David"/>
          <w:sz w:val="26"/>
          <w:szCs w:val="26"/>
          <w:rtl/>
        </w:rPr>
      </w:pPr>
      <w:r>
        <w:rPr>
          <w:rFonts w:ascii="Courier New" w:hAnsi="Courier New" w:cs="David"/>
          <w:sz w:val="26"/>
          <w:szCs w:val="26"/>
          <w:rtl/>
        </w:rPr>
        <w:t>חוק הרשויות המקומיות (בחירת ראש הרשות וסגניו וכהונתם), התשל"ה</w:t>
      </w:r>
      <w:r>
        <w:rPr>
          <w:rFonts w:ascii="Courier New" w:hAnsi="Courier New" w:cs="David"/>
          <w:sz w:val="26"/>
          <w:szCs w:val="26"/>
        </w:rPr>
        <w:t>-</w:t>
      </w:r>
      <w:r>
        <w:rPr>
          <w:rFonts w:ascii="Courier New" w:hAnsi="Courier New" w:cs="David"/>
          <w:sz w:val="26"/>
          <w:szCs w:val="26"/>
          <w:rtl/>
        </w:rPr>
        <w:t xml:space="preserve">1975 מתיר לראש רשות מקומית לכהן ללא הגבלה. במקומות רבים בארץ מכהנים ראשי רשויות למשך תקופה ארוכה מאוד, </w:t>
      </w:r>
    </w:p>
    <w:p w:rsidR="00000000" w:rsidRDefault="0026130A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ascii="Courier New" w:hAnsi="Courier New" w:cs="David"/>
          <w:sz w:val="26"/>
          <w:szCs w:val="26"/>
          <w:rtl/>
        </w:rPr>
        <w:t>כשהם חוסמים את הדרך למועמדים חדשים. לפיכך, מוצע לתקן את החוק באופן שיגביל את משך</w:t>
      </w:r>
      <w:r>
        <w:rPr>
          <w:rFonts w:ascii="Courier New" w:hAnsi="Courier New" w:cs="David"/>
          <w:sz w:val="26"/>
          <w:szCs w:val="26"/>
          <w:rtl/>
        </w:rPr>
        <w:t xml:space="preserve"> </w:t>
      </w:r>
      <w:r>
        <w:rPr>
          <w:rFonts w:ascii="Courier New" w:hAnsi="Courier New" w:cs="David"/>
          <w:sz w:val="26"/>
          <w:szCs w:val="26"/>
          <w:rtl/>
        </w:rPr>
        <w:lastRenderedPageBreak/>
        <w:t>זמן כהונת ראש רשות מקומית ויגדיל את הסיכוי של מועמדים חדשים לכהן בתפקיד.</w:t>
      </w:r>
    </w:p>
    <w:p w:rsidR="00000000" w:rsidRDefault="0026130A">
      <w:pPr>
        <w:pStyle w:val="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לאור העובדה כי שלטון ממושך יכול להביא נבחרי ציבור לפעול בניגוד לטוהר המידות וסדרי שלטון תקין, יש לחתור לשינוי התרבות השלטונית והציבורית בישראל.</w:t>
      </w:r>
    </w:p>
    <w:p w:rsidR="00000000" w:rsidRDefault="0026130A">
      <w:pPr>
        <w:pStyle w:val="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 xml:space="preserve">הצעות חוק דומות בעיקרן הונחו על שולחן </w:t>
      </w:r>
      <w:r>
        <w:rPr>
          <w:rFonts w:cs="David"/>
          <w:sz w:val="26"/>
          <w:rtl/>
        </w:rPr>
        <w:t xml:space="preserve">הכנסת החמש-עשרה על ידי חברת הכנסת נעמי חזן (פ/742), על ידי חבר הכנסת אברהם יחזקאל (פ/293, פ/3875) ועל ידי חברת הכנסת יהודית נאות (פ/2550). </w:t>
      </w:r>
    </w:p>
    <w:p w:rsidR="00000000" w:rsidRDefault="0026130A">
      <w:pPr>
        <w:pStyle w:val="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הצעות חוק דומות בעיקרן הונחו על שולחן הכנסת השש-עשרה על ידי חבר הכנסת רשף חן וקבוצת חברי הכנסת (פ/284), על ידי חבר ה</w:t>
      </w:r>
      <w:r>
        <w:rPr>
          <w:rFonts w:cs="David"/>
          <w:sz w:val="26"/>
          <w:rtl/>
        </w:rPr>
        <w:t xml:space="preserve">כנסת אילן ליבוביץ וקבוצת חברי הכנסת (פ/1692), על ידי חברת הכנסת גילה פינקלשטיין (פ/1993),  ועל ידי חבר הכנסת אריה אלדד (פ/3982). </w:t>
      </w:r>
    </w:p>
    <w:p w:rsidR="00000000" w:rsidRDefault="0026130A">
      <w:pPr>
        <w:pStyle w:val="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הצעות חוק דומות בעיקרן הונחו על שולחן הכנסת השבע-עשרה על ידי חבר הכנסת מתן וילנאי (פ/480/17) ועל ידי חבר הכנסת אריה אלדד (פ/13</w:t>
      </w:r>
      <w:r>
        <w:rPr>
          <w:rFonts w:cs="David"/>
          <w:sz w:val="26"/>
          <w:rtl/>
        </w:rPr>
        <w:t>13/17).</w:t>
      </w:r>
    </w:p>
    <w:p w:rsidR="00000000" w:rsidRDefault="0026130A">
      <w:pPr>
        <w:pStyle w:val="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הצעת חוק דומה בעיקרה הונחה על שולחן הכנסת השמונה-עשרה על ידי חבר הכנסת אריה אלדד (פ/834/18).</w:t>
      </w:r>
    </w:p>
    <w:p w:rsidR="00000000" w:rsidRDefault="0026130A">
      <w:pPr>
        <w:pStyle w:val="ad"/>
        <w:jc w:val="left"/>
        <w:rPr>
          <w:rFonts w:cs="David"/>
          <w:u w:val="none"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David"/>
          <w:rtl/>
        </w:rPr>
      </w:pPr>
    </w:p>
    <w:p w:rsidR="00000000" w:rsidRDefault="0026130A">
      <w:pPr>
        <w:rPr>
          <w:rFonts w:cs="Hadasa Roso SL"/>
          <w:rtl/>
        </w:rPr>
      </w:pPr>
    </w:p>
    <w:p w:rsidR="00000000" w:rsidRDefault="0026130A">
      <w:pP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</w:pP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>---------------------------------</w:t>
      </w:r>
    </w:p>
    <w:p w:rsidR="00000000" w:rsidRDefault="0026130A">
      <w:pP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</w:pP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הוגשה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ליו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>"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ר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הכנסת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והסגנים</w:t>
      </w:r>
    </w:p>
    <w:p w:rsidR="00000000" w:rsidRDefault="0026130A">
      <w:pP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</w:pP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והונחה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על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שולחן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הכנסת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ביום</w:t>
      </w:r>
    </w:p>
    <w:p w:rsidR="00000000" w:rsidRDefault="0026130A">
      <w:pP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</w:pP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י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'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באייר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התשס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>"</w:t>
      </w:r>
      <w:r>
        <w:rPr>
          <w:rFonts w:ascii="Arial" w:eastAsia="Arial Unicode MS" w:hAnsi="Arial" w:cs="David" w:hint="eastAsia"/>
          <w:snapToGrid w:val="0"/>
          <w:spacing w:val="0"/>
          <w:sz w:val="26"/>
          <w:szCs w:val="26"/>
          <w:rtl/>
        </w:rPr>
        <w:t>ט</w:t>
      </w:r>
      <w:r>
        <w:rPr>
          <w:rFonts w:ascii="Arial" w:eastAsia="Arial Unicode MS" w:hAnsi="Arial" w:cs="David"/>
          <w:snapToGrid w:val="0"/>
          <w:spacing w:val="0"/>
          <w:sz w:val="26"/>
          <w:szCs w:val="26"/>
          <w:rtl/>
        </w:rPr>
        <w:t xml:space="preserve"> – 4.5.09</w:t>
      </w: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130A">
      <w:pPr>
        <w:rPr>
          <w:rFonts w:cs="Hadasa Roso SL"/>
        </w:rPr>
      </w:pPr>
      <w:r>
        <w:rPr>
          <w:rFonts w:cs="Hadasa Roso SL"/>
        </w:rPr>
        <w:separator/>
      </w:r>
    </w:p>
  </w:endnote>
  <w:endnote w:type="continuationSeparator" w:id="0">
    <w:p w:rsidR="00000000" w:rsidRDefault="0026130A">
      <w:pPr>
        <w:rPr>
          <w:rFonts w:cs="Hadasa Roso SL"/>
        </w:rPr>
      </w:pPr>
      <w:r>
        <w:rPr>
          <w:rFonts w:cs="Hadasa Roso SL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??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6130A">
    <w:pPr>
      <w:pStyle w:val="ab"/>
      <w:framePr w:wrap="auto" w:vAnchor="text" w:hAnchor="text" w:xAlign="center" w:y="1"/>
      <w:rPr>
        <w:rStyle w:val="af"/>
        <w:rFonts w:cs="Hadasa Roso SL"/>
      </w:rPr>
    </w:pPr>
    <w:r>
      <w:rPr>
        <w:rStyle w:val="af"/>
        <w:rFonts w:cs="Hadasa Roso SL"/>
      </w:rPr>
      <w:fldChar w:fldCharType="begin"/>
    </w:r>
    <w:r>
      <w:rPr>
        <w:rStyle w:val="af"/>
        <w:rFonts w:cs="Hadasa Roso SL"/>
      </w:rPr>
      <w:instrText xml:space="preserve">PAGE  </w:instrText>
    </w:r>
    <w:r>
      <w:rPr>
        <w:rStyle w:val="af"/>
        <w:rFonts w:cs="Hadasa Roso SL"/>
      </w:rPr>
      <w:fldChar w:fldCharType="separate"/>
    </w:r>
    <w:r>
      <w:rPr>
        <w:rStyle w:val="af"/>
        <w:rFonts w:cs="Hadasa Roso SL"/>
        <w:noProof/>
        <w:rtl/>
      </w:rPr>
      <w:t>2</w:t>
    </w:r>
    <w:r>
      <w:rPr>
        <w:rStyle w:val="af"/>
        <w:rFonts w:cs="Hadasa Roso SL"/>
      </w:rPr>
      <w:fldChar w:fldCharType="end"/>
    </w:r>
  </w:p>
  <w:p w:rsidR="00000000" w:rsidRDefault="0026130A">
    <w:pPr>
      <w:pStyle w:val="ab"/>
      <w:rPr>
        <w:rFonts w:cs="Hadasa Roso S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6130A">
    <w:pPr>
      <w:pStyle w:val="ab"/>
      <w:rPr>
        <w:rFonts w:cs="Hadasa Roso S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6130A">
      <w:pPr>
        <w:rPr>
          <w:rFonts w:cs="Hadasa Roso SL"/>
        </w:rPr>
      </w:pPr>
      <w:r>
        <w:rPr>
          <w:rFonts w:cs="Hadasa Roso SL"/>
        </w:rPr>
        <w:separator/>
      </w:r>
    </w:p>
  </w:footnote>
  <w:footnote w:type="continuationSeparator" w:id="0">
    <w:p w:rsidR="00000000" w:rsidRDefault="0026130A">
      <w:pPr>
        <w:rPr>
          <w:rFonts w:cs="Hadasa Roso SL"/>
        </w:rPr>
      </w:pPr>
      <w:r>
        <w:rPr>
          <w:rFonts w:cs="Hadasa Roso SL"/>
        </w:rPr>
        <w:continuationSeparator/>
      </w:r>
    </w:p>
  </w:footnote>
  <w:footnote w:type="continuationNotice" w:id="1">
    <w:p w:rsidR="00000000" w:rsidRDefault="0026130A">
      <w:pPr>
        <w:rPr>
          <w:rFonts w:cs="Hadasa Roso SL"/>
        </w:rPr>
      </w:pPr>
    </w:p>
  </w:footnote>
  <w:footnote w:id="2">
    <w:p w:rsidR="00000000" w:rsidRDefault="0026130A">
      <w:pPr>
        <w:pStyle w:val="a5"/>
      </w:pPr>
      <w:r>
        <w:rPr>
          <w:rStyle w:val="a7"/>
          <w:rFonts w:cs="David"/>
        </w:rPr>
        <w:footnoteRef/>
      </w:r>
      <w:r>
        <w:rPr>
          <w:rFonts w:cs="David"/>
          <w:sz w:val="20"/>
          <w:rtl/>
        </w:rPr>
        <w:t xml:space="preserve"> ס"ח התשל"ה, עמ' 211.</w:t>
      </w:r>
    </w:p>
  </w:footnote>
  <w:footnote w:id="3">
    <w:p w:rsidR="00000000" w:rsidRDefault="0026130A">
      <w:pPr>
        <w:pStyle w:val="a5"/>
      </w:pPr>
      <w:r>
        <w:rPr>
          <w:rStyle w:val="a7"/>
          <w:rFonts w:cs="David"/>
        </w:rPr>
        <w:footnoteRef/>
      </w:r>
      <w:r>
        <w:rPr>
          <w:rFonts w:cs="David"/>
          <w:sz w:val="20"/>
          <w:rtl/>
        </w:rPr>
        <w:t xml:space="preserve"> ס"ח התשמ"ח, עמ' 213.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6130A">
    <w:pPr>
      <w:pStyle w:val="a9"/>
      <w:rPr>
        <w:rFonts w:cs="Hadasa Roso S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6130A">
    <w:pPr>
      <w:pStyle w:val="a9"/>
      <w:rPr>
        <w:rFonts w:cs="Hadasa Roso S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</w:pPr>
      <w:rPr>
        <w:rFonts w:cs="Times New Roman"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</w:pPr>
      <w:rPr>
        <w:rFonts w:cs="Times New Roman"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321483lsCopyOriginal.doc"/>
    <w:docVar w:name="StartMode" w:val="3"/>
  </w:docVars>
  <w:rsids>
    <w:rsidRoot w:val="0026130A"/>
    <w:rsid w:val="0026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MS Mincho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/>
      <w:autoSpaceDE/>
      <w:autoSpaceDN/>
      <w:adjustRightInd/>
      <w:spacing w:before="0" w:line="240" w:lineRule="auto"/>
      <w:ind w:firstLine="0"/>
      <w:jc w:val="center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28"/>
      <w:szCs w:val="28"/>
      <w:u w:val="single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color w:val="000000"/>
      <w:spacing w:val="1"/>
      <w:kern w:val="32"/>
      <w:sz w:val="32"/>
      <w:szCs w:val="32"/>
      <w:lang w:eastAsia="ja-JP"/>
    </w:rPr>
  </w:style>
  <w:style w:type="paragraph" w:customStyle="1" w:styleId="Noparagraphstyle">
    <w:name w:val="[No paragraph style]"/>
    <w:uiPriority w:val="9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paragraph" w:customStyle="1" w:styleId="Cover1-Reshumot">
    <w:name w:val="Cover 1-Reshumot"/>
    <w:basedOn w:val="a"/>
    <w:uiPriority w:val="9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Arial Unicode MS"/>
      <w:spacing w:val="0"/>
      <w:sz w:val="20"/>
      <w:szCs w:val="26"/>
    </w:rPr>
  </w:style>
  <w:style w:type="paragraph" w:customStyle="1" w:styleId="Cover2-HatzaotHok">
    <w:name w:val="Cover 2-HatzaotHok"/>
    <w:basedOn w:val="Cover1-Reshumot"/>
    <w:uiPriority w:val="99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Pr>
      <w:b/>
      <w:bCs/>
      <w:spacing w:val="60"/>
    </w:rPr>
  </w:style>
  <w:style w:type="paragraph" w:customStyle="1" w:styleId="Cover4-Date">
    <w:name w:val="Cover 4-Date"/>
    <w:basedOn w:val="a"/>
    <w:uiPriority w:val="9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Arial Unicode MS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uiPriority w:val="9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Arial Unicode MS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uiPriority w:val="9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Arial Unicode MS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uiPriority w:val="99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uiPriority w:val="99"/>
    <w:semiHidden/>
    <w:rPr>
      <w:rFonts w:ascii="Hadasa Roso SL" w:eastAsia="MS Mincho" w:hAnsi="Hadasa Roso SL" w:cs="MS Mincho"/>
      <w:color w:val="000000"/>
      <w:spacing w:val="1"/>
      <w:sz w:val="20"/>
      <w:szCs w:val="20"/>
      <w:lang w:eastAsia="ja-JP"/>
    </w:rPr>
  </w:style>
  <w:style w:type="paragraph" w:customStyle="1" w:styleId="TableText">
    <w:name w:val="Table Text"/>
    <w:basedOn w:val="a"/>
    <w:uiPriority w:val="9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Arial Unicode MS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</w:style>
  <w:style w:type="paragraph" w:customStyle="1" w:styleId="TableBlock">
    <w:name w:val="Table Block"/>
    <w:basedOn w:val="TableText"/>
    <w:uiPriority w:val="99"/>
    <w:pPr>
      <w:ind w:right="0"/>
      <w:jc w:val="both"/>
    </w:pPr>
  </w:style>
  <w:style w:type="paragraph" w:customStyle="1" w:styleId="TableHead">
    <w:name w:val="Table Head"/>
    <w:basedOn w:val="TableText"/>
    <w:uiPriority w:val="9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</w:style>
  <w:style w:type="paragraph" w:customStyle="1" w:styleId="TableInnerSideHeading">
    <w:name w:val="Table InnerSideHeading"/>
    <w:basedOn w:val="TableSideHeading"/>
    <w:uiPriority w:val="99"/>
  </w:style>
  <w:style w:type="paragraph" w:customStyle="1" w:styleId="Hesber">
    <w:name w:val="Hesber"/>
    <w:basedOn w:val="a"/>
    <w:uiPriority w:val="99"/>
    <w:pPr>
      <w:snapToGrid w:val="0"/>
      <w:spacing w:before="0" w:line="360" w:lineRule="auto"/>
    </w:pPr>
    <w:rPr>
      <w:rFonts w:ascii="Arial" w:eastAsia="Arial Unicode MS" w:hAnsi="Arial" w:cs="Arial Unicode MS"/>
      <w:spacing w:val="0"/>
      <w:sz w:val="20"/>
      <w:szCs w:val="26"/>
    </w:rPr>
  </w:style>
  <w:style w:type="paragraph" w:styleId="a5">
    <w:name w:val="footnote text"/>
    <w:basedOn w:val="a"/>
    <w:link w:val="a6"/>
    <w:autoRedefine/>
    <w:uiPriority w:val="9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Arial Unicode MS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Pr>
      <w:rFonts w:ascii="Hadasa Roso SL" w:eastAsia="MS Mincho" w:hAnsi="Hadasa Roso SL" w:cs="MS Mincho"/>
      <w:color w:val="000000"/>
      <w:spacing w:val="1"/>
      <w:sz w:val="20"/>
      <w:szCs w:val="20"/>
      <w:lang w:eastAsia="ja-JP"/>
    </w:rPr>
  </w:style>
  <w:style w:type="character" w:styleId="a7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HesberHeading">
    <w:name w:val="Hesber Heading"/>
    <w:basedOn w:val="Hesber"/>
    <w:uiPriority w:val="9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uiPriority w:val="99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uiPriority w:val="99"/>
    <w:pPr>
      <w:ind w:left="624" w:hanging="624"/>
    </w:pPr>
  </w:style>
  <w:style w:type="paragraph" w:styleId="a9">
    <w:name w:val="head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semiHidden/>
    <w:rPr>
      <w:rFonts w:ascii="Hadasa Roso SL" w:eastAsia="MS Mincho" w:hAnsi="Hadasa Roso SL" w:cs="MS Mincho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rPr>
      <w:rFonts w:ascii="Hadasa Roso SL" w:eastAsia="MS Mincho" w:hAnsi="Hadasa Roso SL" w:cs="MS Mincho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uiPriority w:val="9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Arial Unicode MS"/>
      <w:b/>
      <w:spacing w:val="40"/>
      <w:sz w:val="20"/>
      <w:szCs w:val="26"/>
    </w:rPr>
  </w:style>
  <w:style w:type="paragraph" w:customStyle="1" w:styleId="Ragil">
    <w:name w:val="Ragil"/>
    <w:basedOn w:val="a"/>
    <w:uiPriority w:val="99"/>
    <w:pPr>
      <w:snapToGrid w:val="0"/>
      <w:spacing w:before="0" w:line="360" w:lineRule="auto"/>
      <w:jc w:val="left"/>
    </w:pPr>
    <w:rPr>
      <w:rFonts w:ascii="Arial" w:eastAsia="Arial Unicode MS" w:hAnsi="Arial" w:cs="Arial Unicode MS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ae">
    <w:name w:val="כותרת טקסט תו"/>
    <w:basedOn w:val="a0"/>
    <w:link w:val="ad"/>
    <w:uiPriority w:val="10"/>
    <w:rPr>
      <w:rFonts w:asciiTheme="majorHAnsi" w:eastAsiaTheme="majorEastAsia" w:hAnsiTheme="majorHAnsi" w:cstheme="majorBidi"/>
      <w:b/>
      <w:bCs/>
      <w:color w:val="000000"/>
      <w:spacing w:val="1"/>
      <w:kern w:val="28"/>
      <w:sz w:val="32"/>
      <w:szCs w:val="32"/>
      <w:lang w:eastAsia="ja-JP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uiPriority w:val="99"/>
    <w:pPr>
      <w:ind w:firstLine="0"/>
      <w:jc w:val="lef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1825</Characters>
  <Application>Microsoft Office Word</Application>
  <DocSecurity>0</DocSecurity>
  <Lines>15</Lines>
  <Paragraphs>4</Paragraphs>
  <ScaleCrop>false</ScaleCrop>
  <Company> 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הרשויות המקומיות (בחירת ראש הרשות וסגניו וכהונתו)(תיקון -הגבלת כהונת ראש הרשות המקומית), התשס"ט 2009</dc:title>
  <dc:subject/>
  <dc:creator>Knesset</dc:creator>
  <cp:keywords/>
  <dc:description/>
  <cp:lastModifiedBy>שמואל כוכב</cp:lastModifiedBy>
  <cp:revision>2</cp:revision>
  <dcterms:created xsi:type="dcterms:W3CDTF">2015-02-03T19:38:00Z</dcterms:created>
  <dcterms:modified xsi:type="dcterms:W3CDTF">2015-02-03T19:38:00Z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01343009</vt:lpwstr>
  </property>
  <property fmtid="{D5CDD505-2E9C-101B-9397-08002B2CF9AE}" pid="3" name="ContentTypeId">
    <vt:lpwstr>0x010100D2889987F19D9A4EA3E715683F9311D62A009006708AF7741D4EAEBEE3220EA32DEB</vt:lpwstr>
  </property>
  <property fmtid="{D5CDD505-2E9C-101B-9397-08002B2CF9AE}" pid="4" name="ContentType">
    <vt:lpwstr>חקיקה - HatzaaTromit</vt:lpwstr>
  </property>
  <property fmtid="{D5CDD505-2E9C-101B-9397-08002B2CF9AE}" pid="5" name="SDCategoryID">
    <vt:lpwstr>7fc2ca30016a;#</vt:lpwstr>
  </property>
  <property fmtid="{D5CDD505-2E9C-101B-9397-08002B2CF9AE}" pid="6" name="מספר הצעת חוק למיון">
    <vt:lpwstr>969.000000000000</vt:lpwstr>
  </property>
  <property fmtid="{D5CDD505-2E9C-101B-9397-08002B2CF9AE}" pid="7" name="DocID">
    <vt:lpwstr>224014.000000000</vt:lpwstr>
  </property>
  <property fmtid="{D5CDD505-2E9C-101B-9397-08002B2CF9AE}" pid="8" name="SDCategories">
    <vt:lpwstr>:חקיקה:נוסח לדיון מוקדם;#</vt:lpwstr>
  </property>
  <property fmtid="{D5CDD505-2E9C-101B-9397-08002B2CF9AE}" pid="9" name="SDDocDate">
    <vt:lpwstr>2009-05-04T16:10:00Z</vt:lpwstr>
  </property>
  <property fmtid="{D5CDD505-2E9C-101B-9397-08002B2CF9AE}" pid="10" name="SDHebDate">
    <vt:lpwstr>י' באייר, התשס"ט</vt:lpwstr>
  </property>
  <property fmtid="{D5CDD505-2E9C-101B-9397-08002B2CF9AE}" pid="11" name="Vaada">
    <vt:lpwstr/>
  </property>
  <property fmtid="{D5CDD505-2E9C-101B-9397-08002B2CF9AE}" pid="12" name="תאריך הנחה">
    <vt:lpwstr>2009-05-04T00:00:00Z</vt:lpwstr>
  </property>
  <property fmtid="{D5CDD505-2E9C-101B-9397-08002B2CF9AE}" pid="13" name="ItemID">
    <vt:lpwstr>321483.000000000</vt:lpwstr>
  </property>
  <property fmtid="{D5CDD505-2E9C-101B-9397-08002B2CF9AE}" pid="14" name="ProposerID">
    <vt:lpwstr/>
  </property>
  <property fmtid="{D5CDD505-2E9C-101B-9397-08002B2CF9AE}" pid="15" name="Proposer">
    <vt:lpwstr/>
  </property>
  <property fmtid="{D5CDD505-2E9C-101B-9397-08002B2CF9AE}" pid="16" name="SDAuthor">
    <vt:lpwstr/>
  </property>
  <property fmtid="{D5CDD505-2E9C-101B-9397-08002B2CF9AE}" pid="17" name="MechaberMismach">
    <vt:lpwstr>ציון פיניאן</vt:lpwstr>
  </property>
  <property fmtid="{D5CDD505-2E9C-101B-9397-08002B2CF9AE}" pid="18" name="YozemID">
    <vt:lpwstr>000012958</vt:lpwstr>
  </property>
  <property fmtid="{D5CDD505-2E9C-101B-9397-08002B2CF9AE}" pid="19" name="MisHatzaatChok">
    <vt:lpwstr>/פ969/18</vt:lpwstr>
  </property>
  <property fmtid="{D5CDD505-2E9C-101B-9397-08002B2CF9AE}" pid="20" name="YozemHatzaa_ChakList">
    <vt:lpwstr>ציון פיניאן</vt:lpwstr>
  </property>
</Properties>
</file>