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282ADD">
      <w:pPr>
        <w:spacing w:line="360" w:lineRule="auto"/>
        <w:rPr>
          <w:rtl/>
        </w:rPr>
      </w:pPr>
      <w:bookmarkStart w:id="0" w:name="_GoBack"/>
      <w:bookmarkEnd w:id="0"/>
    </w:p>
    <w:p w:rsidR="00000000" w:rsidRDefault="00282ADD">
      <w:pPr>
        <w:pStyle w:val="a3"/>
        <w:spacing w:line="360" w:lineRule="auto"/>
        <w:jc w:val="left"/>
        <w:rPr>
          <w:rFonts w:cs="David"/>
          <w:b w:val="0"/>
          <w:bCs w:val="0"/>
          <w:sz w:val="24"/>
          <w:szCs w:val="24"/>
          <w:u w:val="none"/>
          <w:rtl/>
        </w:rPr>
      </w:pPr>
    </w:p>
    <w:p w:rsidR="00000000" w:rsidRDefault="00282ADD">
      <w:pPr>
        <w:pStyle w:val="a3"/>
        <w:spacing w:line="360" w:lineRule="auto"/>
        <w:rPr>
          <w:rFonts w:cs="David"/>
          <w:b w:val="0"/>
          <w:bCs w:val="0"/>
          <w:sz w:val="26"/>
          <w:szCs w:val="26"/>
          <w:u w:val="none"/>
          <w:rtl/>
        </w:rPr>
      </w:pPr>
      <w:r>
        <w:rPr>
          <w:rFonts w:cs="David"/>
          <w:u w:val="none"/>
          <w:rtl/>
        </w:rPr>
        <w:t>הכנסת השבע-עשרה</w:t>
      </w:r>
    </w:p>
    <w:p w:rsidR="00000000" w:rsidRDefault="00282ADD">
      <w:pPr>
        <w:spacing w:line="360" w:lineRule="auto"/>
        <w:rPr>
          <w:rFonts w:cs="David"/>
          <w:sz w:val="26"/>
          <w:szCs w:val="26"/>
          <w:rtl/>
        </w:rPr>
      </w:pPr>
    </w:p>
    <w:tbl>
      <w:tblPr>
        <w:bidiVisual/>
        <w:tblW w:w="0" w:type="auto"/>
        <w:tblInd w:w="3047" w:type="dxa"/>
        <w:tblBorders>
          <w:bottom w:val="single" w:sz="4" w:space="0" w:color="auto"/>
        </w:tblBorders>
        <w:tblLook w:val="0000" w:firstRow="0" w:lastRow="0" w:firstColumn="0" w:lastColumn="0" w:noHBand="0" w:noVBand="0"/>
      </w:tblPr>
      <w:tblGrid>
        <w:gridCol w:w="2864"/>
        <w:gridCol w:w="2088"/>
      </w:tblGrid>
      <w:tr w:rsidR="00000000">
        <w:tblPrEx>
          <w:tblCellMar>
            <w:top w:w="0" w:type="dxa"/>
            <w:bottom w:w="0" w:type="dxa"/>
          </w:tblCellMar>
        </w:tblPrEx>
        <w:tc>
          <w:tcPr>
            <w:tcW w:w="2864" w:type="dxa"/>
            <w:tcBorders>
              <w:top w:val="nil"/>
              <w:left w:val="nil"/>
              <w:bottom w:val="single" w:sz="4" w:space="0" w:color="auto"/>
              <w:right w:val="nil"/>
            </w:tcBorders>
          </w:tcPr>
          <w:p w:rsidR="00000000" w:rsidRDefault="00282ADD">
            <w:pPr>
              <w:spacing w:after="120" w:line="360" w:lineRule="auto"/>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p>
        </w:tc>
        <w:tc>
          <w:tcPr>
            <w:tcW w:w="2088" w:type="dxa"/>
            <w:tcBorders>
              <w:top w:val="nil"/>
              <w:left w:val="nil"/>
              <w:bottom w:val="single" w:sz="4" w:space="0" w:color="auto"/>
              <w:right w:val="nil"/>
            </w:tcBorders>
          </w:tcPr>
          <w:p w:rsidR="00000000" w:rsidRDefault="00282ADD">
            <w:pPr>
              <w:spacing w:after="120" w:line="360" w:lineRule="auto"/>
              <w:rPr>
                <w:rFonts w:cs="David"/>
                <w:b/>
                <w:bCs/>
                <w:sz w:val="26"/>
                <w:szCs w:val="26"/>
              </w:rPr>
            </w:pPr>
            <w:r>
              <w:rPr>
                <w:rFonts w:cs="David"/>
                <w:b/>
                <w:bCs/>
                <w:sz w:val="26"/>
                <w:szCs w:val="26"/>
                <w:rtl/>
              </w:rPr>
              <w:t>זבולון אורלב</w:t>
            </w:r>
          </w:p>
        </w:tc>
      </w:tr>
    </w:tbl>
    <w:p w:rsidR="00000000" w:rsidRDefault="00282ADD">
      <w:pPr>
        <w:spacing w:line="360" w:lineRule="auto"/>
        <w:jc w:val="center"/>
        <w:rPr>
          <w:rFonts w:cs="David"/>
          <w:b/>
          <w:bCs/>
          <w:rtl/>
        </w:rPr>
      </w:pPr>
      <w:r>
        <w:rPr>
          <w:rFonts w:cs="David"/>
          <w:sz w:val="26"/>
          <w:szCs w:val="26"/>
          <w:rtl/>
        </w:rPr>
        <w:tab/>
      </w:r>
      <w:r>
        <w:rPr>
          <w:rFonts w:cs="David"/>
          <w:sz w:val="26"/>
          <w:szCs w:val="26"/>
          <w:rtl/>
        </w:rPr>
        <w:tab/>
      </w:r>
      <w:r>
        <w:rPr>
          <w:rFonts w:cs="David"/>
          <w:sz w:val="26"/>
          <w:szCs w:val="26"/>
          <w:rtl/>
        </w:rPr>
        <w:tab/>
      </w:r>
      <w:r>
        <w:rPr>
          <w:rFonts w:cs="David"/>
          <w:b/>
          <w:bCs/>
          <w:rtl/>
        </w:rPr>
        <w:t xml:space="preserve">                                           פ/1285/17</w:t>
      </w:r>
    </w:p>
    <w:p w:rsidR="00000000" w:rsidRDefault="00282ADD">
      <w:pPr>
        <w:spacing w:line="360" w:lineRule="auto"/>
        <w:jc w:val="center"/>
        <w:rPr>
          <w:rFonts w:cs="David"/>
          <w:b/>
          <w:bCs/>
          <w:sz w:val="28"/>
          <w:szCs w:val="28"/>
          <w:rtl/>
        </w:rPr>
      </w:pPr>
      <w:r>
        <w:rPr>
          <w:rFonts w:cs="David"/>
          <w:b/>
          <w:bCs/>
          <w:sz w:val="28"/>
          <w:szCs w:val="28"/>
          <w:rtl/>
        </w:rPr>
        <w:t>הצעת חוק לתיקון פקודת התעבורה (חילוט רכב),ה</w:t>
      </w:r>
      <w:r>
        <w:rPr>
          <w:rFonts w:cs="David"/>
          <w:b/>
          <w:bCs/>
          <w:sz w:val="28"/>
          <w:szCs w:val="28"/>
          <w:rtl/>
        </w:rPr>
        <w:t>תשס"ו-2006</w:t>
      </w:r>
    </w:p>
    <w:p w:rsidR="00000000" w:rsidRDefault="00282ADD">
      <w:pPr>
        <w:spacing w:line="360" w:lineRule="auto"/>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68"/>
        <w:gridCol w:w="547"/>
        <w:gridCol w:w="1191"/>
        <w:gridCol w:w="567"/>
        <w:gridCol w:w="567"/>
        <w:gridCol w:w="4380"/>
      </w:tblGrid>
      <w:tr w:rsidR="00000000">
        <w:tblPrEx>
          <w:tblCellMar>
            <w:top w:w="0" w:type="dxa"/>
            <w:bottom w:w="0" w:type="dxa"/>
          </w:tblCellMar>
        </w:tblPrEx>
        <w:trPr>
          <w:cantSplit/>
        </w:trPr>
        <w:tc>
          <w:tcPr>
            <w:tcW w:w="1168" w:type="dxa"/>
            <w:vMerge w:val="restart"/>
            <w:tcBorders>
              <w:top w:val="nil"/>
              <w:left w:val="nil"/>
              <w:bottom w:val="nil"/>
              <w:right w:val="nil"/>
            </w:tcBorders>
          </w:tcPr>
          <w:p w:rsidR="00000000" w:rsidRDefault="00282ADD">
            <w:pPr>
              <w:rPr>
                <w:rFonts w:cs="David"/>
                <w:sz w:val="26"/>
                <w:szCs w:val="26"/>
              </w:rPr>
            </w:pPr>
            <w:r>
              <w:rPr>
                <w:rFonts w:cs="David"/>
                <w:sz w:val="26"/>
                <w:szCs w:val="26"/>
                <w:rtl/>
              </w:rPr>
              <w:t>הוספת סעיף</w:t>
            </w:r>
            <w:r>
              <w:rPr>
                <w:rFonts w:cs="David"/>
                <w:sz w:val="26"/>
                <w:szCs w:val="26"/>
                <w:rtl/>
              </w:rPr>
              <w:br/>
              <w:t xml:space="preserve">57ח </w:t>
            </w:r>
          </w:p>
        </w:tc>
        <w:tc>
          <w:tcPr>
            <w:tcW w:w="547" w:type="dxa"/>
            <w:tcBorders>
              <w:top w:val="nil"/>
              <w:left w:val="nil"/>
              <w:bottom w:val="nil"/>
              <w:right w:val="nil"/>
            </w:tcBorders>
          </w:tcPr>
          <w:p w:rsidR="00000000" w:rsidRDefault="00282ADD">
            <w:pPr>
              <w:spacing w:line="360" w:lineRule="auto"/>
              <w:rPr>
                <w:rFonts w:cs="David"/>
                <w:sz w:val="26"/>
                <w:szCs w:val="26"/>
              </w:rPr>
            </w:pPr>
            <w:r>
              <w:rPr>
                <w:rFonts w:cs="David"/>
                <w:sz w:val="26"/>
                <w:szCs w:val="26"/>
                <w:rtl/>
              </w:rPr>
              <w:t>1.</w:t>
            </w:r>
          </w:p>
        </w:tc>
        <w:tc>
          <w:tcPr>
            <w:tcW w:w="6705" w:type="dxa"/>
            <w:gridSpan w:val="4"/>
            <w:tcBorders>
              <w:top w:val="nil"/>
              <w:left w:val="nil"/>
              <w:bottom w:val="nil"/>
              <w:right w:val="nil"/>
            </w:tcBorders>
          </w:tcPr>
          <w:p w:rsidR="00000000" w:rsidRDefault="00282ADD">
            <w:pPr>
              <w:spacing w:line="360" w:lineRule="auto"/>
              <w:jc w:val="both"/>
              <w:rPr>
                <w:rFonts w:cs="David"/>
                <w:sz w:val="26"/>
                <w:szCs w:val="26"/>
              </w:rPr>
            </w:pPr>
            <w:r>
              <w:rPr>
                <w:rFonts w:cs="David"/>
                <w:sz w:val="26"/>
                <w:szCs w:val="26"/>
                <w:rtl/>
              </w:rPr>
              <w:t>בפקודת התעבורה</w:t>
            </w:r>
            <w:r>
              <w:rPr>
                <w:rStyle w:val="aa"/>
                <w:rFonts w:cs="David"/>
                <w:sz w:val="26"/>
                <w:szCs w:val="26"/>
                <w:rtl/>
              </w:rPr>
              <w:footnoteReference w:id="1"/>
            </w:r>
            <w:r>
              <w:rPr>
                <w:rFonts w:cs="David"/>
                <w:sz w:val="26"/>
                <w:szCs w:val="26"/>
                <w:rtl/>
              </w:rPr>
              <w:t>, (להלן – הפקודה),  אחרי סעיף 57ז יבוא:</w:t>
            </w:r>
          </w:p>
          <w:p w:rsidR="00000000" w:rsidRDefault="00282ADD">
            <w:pPr>
              <w:spacing w:line="360" w:lineRule="auto"/>
              <w:jc w:val="both"/>
              <w:rPr>
                <w:rFonts w:cs="David"/>
                <w:sz w:val="26"/>
                <w:szCs w:val="26"/>
              </w:rPr>
            </w:pPr>
          </w:p>
        </w:tc>
      </w:tr>
      <w:tr w:rsidR="00000000">
        <w:tblPrEx>
          <w:tblCellMar>
            <w:top w:w="0" w:type="dxa"/>
            <w:bottom w:w="0" w:type="dxa"/>
          </w:tblCellMar>
        </w:tblPrEx>
        <w:trPr>
          <w:cantSplit/>
        </w:trPr>
        <w:tc>
          <w:tcPr>
            <w:tcW w:w="1168" w:type="dxa"/>
            <w:vMerge/>
            <w:tcBorders>
              <w:top w:val="nil"/>
              <w:left w:val="nil"/>
              <w:bottom w:val="nil"/>
              <w:right w:val="nil"/>
            </w:tcBorders>
          </w:tcPr>
          <w:p w:rsidR="00000000" w:rsidRDefault="00282ADD">
            <w:pPr>
              <w:spacing w:line="360" w:lineRule="auto"/>
              <w:rPr>
                <w:rFonts w:cs="David"/>
                <w:sz w:val="26"/>
                <w:szCs w:val="26"/>
              </w:rPr>
            </w:pPr>
          </w:p>
        </w:tc>
        <w:tc>
          <w:tcPr>
            <w:tcW w:w="547" w:type="dxa"/>
            <w:tcBorders>
              <w:top w:val="nil"/>
              <w:left w:val="nil"/>
              <w:bottom w:val="nil"/>
              <w:right w:val="nil"/>
            </w:tcBorders>
          </w:tcPr>
          <w:p w:rsidR="00000000" w:rsidRDefault="00282ADD">
            <w:pPr>
              <w:spacing w:line="360" w:lineRule="auto"/>
              <w:rPr>
                <w:rFonts w:cs="David"/>
                <w:sz w:val="26"/>
                <w:szCs w:val="26"/>
              </w:rPr>
            </w:pPr>
          </w:p>
        </w:tc>
        <w:tc>
          <w:tcPr>
            <w:tcW w:w="1191" w:type="dxa"/>
            <w:tcBorders>
              <w:top w:val="nil"/>
              <w:left w:val="nil"/>
              <w:bottom w:val="nil"/>
              <w:right w:val="nil"/>
            </w:tcBorders>
          </w:tcPr>
          <w:p w:rsidR="00000000" w:rsidRDefault="00282ADD">
            <w:pPr>
              <w:rPr>
                <w:rFonts w:cs="David"/>
                <w:sz w:val="26"/>
                <w:szCs w:val="26"/>
              </w:rPr>
            </w:pPr>
            <w:r>
              <w:rPr>
                <w:rFonts w:cs="David"/>
                <w:sz w:val="26"/>
                <w:szCs w:val="26"/>
                <w:rtl/>
              </w:rPr>
              <w:t>"חילוט</w:t>
            </w:r>
          </w:p>
        </w:tc>
        <w:tc>
          <w:tcPr>
            <w:tcW w:w="567" w:type="dxa"/>
            <w:tcBorders>
              <w:top w:val="nil"/>
              <w:left w:val="nil"/>
              <w:bottom w:val="nil"/>
              <w:right w:val="nil"/>
            </w:tcBorders>
          </w:tcPr>
          <w:p w:rsidR="00000000" w:rsidRDefault="00282ADD">
            <w:pPr>
              <w:spacing w:line="360" w:lineRule="auto"/>
              <w:rPr>
                <w:rFonts w:cs="David"/>
                <w:sz w:val="26"/>
                <w:szCs w:val="26"/>
              </w:rPr>
            </w:pPr>
            <w:r>
              <w:rPr>
                <w:rFonts w:cs="David"/>
                <w:sz w:val="26"/>
                <w:szCs w:val="26"/>
                <w:rtl/>
              </w:rPr>
              <w:t>57ח.</w:t>
            </w:r>
          </w:p>
        </w:tc>
        <w:tc>
          <w:tcPr>
            <w:tcW w:w="567" w:type="dxa"/>
            <w:tcBorders>
              <w:top w:val="nil"/>
              <w:left w:val="nil"/>
              <w:bottom w:val="nil"/>
              <w:right w:val="nil"/>
            </w:tcBorders>
          </w:tcPr>
          <w:p w:rsidR="00000000" w:rsidRDefault="00282ADD">
            <w:pPr>
              <w:spacing w:line="360" w:lineRule="auto"/>
              <w:rPr>
                <w:rFonts w:cs="David"/>
                <w:sz w:val="26"/>
                <w:szCs w:val="26"/>
              </w:rPr>
            </w:pPr>
            <w:r>
              <w:rPr>
                <w:rFonts w:cs="David"/>
                <w:sz w:val="26"/>
                <w:szCs w:val="26"/>
                <w:rtl/>
              </w:rPr>
              <w:t>(א)</w:t>
            </w:r>
          </w:p>
        </w:tc>
        <w:tc>
          <w:tcPr>
            <w:tcW w:w="4380" w:type="dxa"/>
            <w:tcBorders>
              <w:top w:val="nil"/>
              <w:left w:val="nil"/>
              <w:bottom w:val="nil"/>
              <w:right w:val="nil"/>
            </w:tcBorders>
          </w:tcPr>
          <w:p w:rsidR="00000000" w:rsidRDefault="00282ADD">
            <w:pPr>
              <w:spacing w:line="360" w:lineRule="auto"/>
              <w:jc w:val="both"/>
              <w:rPr>
                <w:rFonts w:cs="David"/>
                <w:sz w:val="26"/>
                <w:szCs w:val="26"/>
              </w:rPr>
            </w:pPr>
            <w:r>
              <w:rPr>
                <w:rFonts w:cs="David"/>
                <w:sz w:val="26"/>
                <w:szCs w:val="26"/>
                <w:rtl/>
              </w:rPr>
              <w:t>הורשע אדם בעבירת תעבורה או בעבירה לפי חוק אחר, הכרוכה בנהיגה ברכב, והעבירה מנויה בתוספת התשיעית, רשאי בית ה</w:t>
            </w:r>
            <w:r>
              <w:rPr>
                <w:rFonts w:cs="David"/>
                <w:sz w:val="26"/>
                <w:szCs w:val="26"/>
                <w:rtl/>
              </w:rPr>
              <w:t>משפט לצוות על חילוט הרכב שבו נעברה העבירה, אם המורשע הוא בעליו של הרכב או מחזיק בו דרך קבע; על צו חילוט לפי סעיף זה, יחולו, בשינויים המחוייבים, הוראות הפרק הרביעי לפקודת סדר הדין הפלילי [נוסח משולב], התשכ"ט-1969</w:t>
            </w:r>
            <w:r>
              <w:rPr>
                <w:rStyle w:val="aa"/>
                <w:sz w:val="26"/>
                <w:szCs w:val="26"/>
                <w:rtl/>
              </w:rPr>
              <w:footnoteReference w:id="2"/>
            </w:r>
            <w:r>
              <w:rPr>
                <w:rFonts w:cs="David"/>
                <w:sz w:val="26"/>
                <w:szCs w:val="26"/>
                <w:rtl/>
              </w:rPr>
              <w:t xml:space="preserve"> ."</w:t>
            </w:r>
          </w:p>
        </w:tc>
      </w:tr>
      <w:tr w:rsidR="00000000">
        <w:tblPrEx>
          <w:tblCellMar>
            <w:top w:w="0" w:type="dxa"/>
            <w:bottom w:w="0" w:type="dxa"/>
          </w:tblCellMar>
        </w:tblPrEx>
        <w:trPr>
          <w:cantSplit/>
          <w:trHeight w:val="828"/>
        </w:trPr>
        <w:tc>
          <w:tcPr>
            <w:tcW w:w="1168" w:type="dxa"/>
            <w:tcBorders>
              <w:top w:val="nil"/>
              <w:left w:val="nil"/>
              <w:bottom w:val="nil"/>
              <w:right w:val="nil"/>
            </w:tcBorders>
          </w:tcPr>
          <w:p w:rsidR="00000000" w:rsidRDefault="00282ADD">
            <w:pPr>
              <w:rPr>
                <w:rFonts w:cs="David"/>
                <w:sz w:val="26"/>
                <w:szCs w:val="26"/>
              </w:rPr>
            </w:pPr>
            <w:r>
              <w:rPr>
                <w:rFonts w:cs="David"/>
                <w:sz w:val="26"/>
                <w:szCs w:val="26"/>
                <w:rtl/>
              </w:rPr>
              <w:t>הוספ</w:t>
            </w:r>
            <w:r>
              <w:rPr>
                <w:rFonts w:cs="David"/>
                <w:sz w:val="26"/>
                <w:szCs w:val="26"/>
                <w:rtl/>
              </w:rPr>
              <w:t>ת תוספת תשיעית</w:t>
            </w:r>
          </w:p>
        </w:tc>
        <w:tc>
          <w:tcPr>
            <w:tcW w:w="547" w:type="dxa"/>
            <w:tcBorders>
              <w:top w:val="nil"/>
              <w:left w:val="nil"/>
              <w:bottom w:val="nil"/>
              <w:right w:val="nil"/>
            </w:tcBorders>
          </w:tcPr>
          <w:p w:rsidR="00000000" w:rsidRDefault="00282ADD">
            <w:pPr>
              <w:spacing w:line="360" w:lineRule="auto"/>
              <w:rPr>
                <w:rFonts w:cs="David"/>
                <w:sz w:val="26"/>
                <w:szCs w:val="26"/>
              </w:rPr>
            </w:pPr>
            <w:r>
              <w:rPr>
                <w:rFonts w:cs="David"/>
                <w:sz w:val="26"/>
                <w:szCs w:val="26"/>
                <w:rtl/>
              </w:rPr>
              <w:t>2.</w:t>
            </w:r>
          </w:p>
        </w:tc>
        <w:tc>
          <w:tcPr>
            <w:tcW w:w="6705" w:type="dxa"/>
            <w:gridSpan w:val="4"/>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אחרי התוספת השמינית לפקודה יבוא:</w:t>
            </w:r>
          </w:p>
        </w:tc>
      </w:tr>
    </w:tbl>
    <w:p w:rsidR="00000000" w:rsidRDefault="00282ADD">
      <w:pPr>
        <w:spacing w:line="360" w:lineRule="auto"/>
        <w:jc w:val="both"/>
        <w:rPr>
          <w:rFonts w:cs="David"/>
          <w:sz w:val="26"/>
          <w:szCs w:val="26"/>
          <w:rtl/>
        </w:rPr>
      </w:pPr>
    </w:p>
    <w:tbl>
      <w:tblPr>
        <w:bidiVisual/>
        <w:tblW w:w="0" w:type="auto"/>
        <w:tblCellMar>
          <w:left w:w="57" w:type="dxa"/>
          <w:right w:w="57" w:type="dxa"/>
        </w:tblCellMar>
        <w:tblLook w:val="0000" w:firstRow="0" w:lastRow="0" w:firstColumn="0" w:lastColumn="0" w:noHBand="0" w:noVBand="0"/>
      </w:tblPr>
      <w:tblGrid>
        <w:gridCol w:w="1140"/>
        <w:gridCol w:w="546"/>
        <w:gridCol w:w="567"/>
        <w:gridCol w:w="6167"/>
      </w:tblGrid>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6734" w:type="dxa"/>
            <w:gridSpan w:val="2"/>
            <w:tcBorders>
              <w:top w:val="nil"/>
              <w:left w:val="nil"/>
              <w:bottom w:val="nil"/>
              <w:right w:val="nil"/>
            </w:tcBorders>
          </w:tcPr>
          <w:p w:rsidR="00000000" w:rsidRDefault="00282ADD">
            <w:pPr>
              <w:spacing w:line="360" w:lineRule="auto"/>
              <w:jc w:val="center"/>
              <w:rPr>
                <w:rFonts w:cs="David"/>
                <w:b/>
                <w:bCs/>
                <w:sz w:val="26"/>
                <w:szCs w:val="26"/>
                <w:rtl/>
              </w:rPr>
            </w:pPr>
            <w:r>
              <w:rPr>
                <w:rFonts w:cs="David"/>
                <w:b/>
                <w:bCs/>
                <w:sz w:val="26"/>
                <w:szCs w:val="26"/>
                <w:rtl/>
              </w:rPr>
              <w:t>"תוספת תשיעית</w:t>
            </w:r>
          </w:p>
          <w:p w:rsidR="00000000" w:rsidRDefault="00282ADD">
            <w:pPr>
              <w:spacing w:line="360" w:lineRule="auto"/>
              <w:jc w:val="center"/>
              <w:rPr>
                <w:rFonts w:cs="David"/>
                <w:b/>
                <w:bCs/>
                <w:sz w:val="26"/>
                <w:szCs w:val="26"/>
              </w:rPr>
            </w:pPr>
            <w:r>
              <w:rPr>
                <w:rFonts w:cs="David"/>
                <w:b/>
                <w:bCs/>
                <w:sz w:val="26"/>
                <w:szCs w:val="26"/>
                <w:rtl/>
              </w:rPr>
              <w:t>(סעיף 57ח)</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1.</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298 לחוק העונשין, תשל"ז-1977</w:t>
            </w:r>
            <w:r>
              <w:rPr>
                <w:rStyle w:val="aa"/>
                <w:rFonts w:cs="David"/>
                <w:sz w:val="26"/>
                <w:szCs w:val="26"/>
                <w:rtl/>
              </w:rPr>
              <w:footnoteReference w:id="3"/>
            </w:r>
            <w:r>
              <w:rPr>
                <w:rFonts w:cs="David"/>
                <w:sz w:val="26"/>
                <w:szCs w:val="26"/>
                <w:rtl/>
              </w:rPr>
              <w:t xml:space="preserve"> (להלן – 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2.</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300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3.</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304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4.</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329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5.</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333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6.</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339(1)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7.</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343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8.</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344 לחוק העונשין;</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9.</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62(2) לפקודה;</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10.</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w:t>
            </w:r>
            <w:r>
              <w:rPr>
                <w:rFonts w:cs="David"/>
                <w:sz w:val="26"/>
                <w:szCs w:val="26"/>
                <w:rtl/>
              </w:rPr>
              <w:t xml:space="preserve"> 62(3) לפקודה;</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11.</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64 לפקודה;</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12.</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64א לפקודה;</w:t>
            </w:r>
          </w:p>
        </w:tc>
      </w:tr>
      <w:tr w:rsidR="00000000">
        <w:tc>
          <w:tcPr>
            <w:tcW w:w="1140" w:type="dxa"/>
            <w:tcBorders>
              <w:top w:val="nil"/>
              <w:left w:val="nil"/>
              <w:bottom w:val="nil"/>
              <w:right w:val="nil"/>
            </w:tcBorders>
          </w:tcPr>
          <w:p w:rsidR="00000000" w:rsidRDefault="00282ADD">
            <w:pPr>
              <w:spacing w:line="360" w:lineRule="auto"/>
              <w:rPr>
                <w:rFonts w:cs="David"/>
                <w:sz w:val="26"/>
                <w:szCs w:val="26"/>
              </w:rPr>
            </w:pPr>
          </w:p>
        </w:tc>
        <w:tc>
          <w:tcPr>
            <w:tcW w:w="546" w:type="dxa"/>
            <w:tcBorders>
              <w:top w:val="nil"/>
              <w:left w:val="nil"/>
              <w:bottom w:val="nil"/>
              <w:right w:val="nil"/>
            </w:tcBorders>
          </w:tcPr>
          <w:p w:rsidR="00000000" w:rsidRDefault="00282ADD">
            <w:pPr>
              <w:spacing w:line="360" w:lineRule="auto"/>
              <w:rPr>
                <w:rFonts w:cs="David"/>
                <w:sz w:val="26"/>
                <w:szCs w:val="26"/>
              </w:rPr>
            </w:pPr>
          </w:p>
        </w:tc>
        <w:tc>
          <w:tcPr>
            <w:tcW w:w="567" w:type="dxa"/>
            <w:tcBorders>
              <w:top w:val="nil"/>
              <w:left w:val="nil"/>
              <w:bottom w:val="nil"/>
              <w:right w:val="nil"/>
            </w:tcBorders>
          </w:tcPr>
          <w:p w:rsidR="00000000" w:rsidRDefault="00282ADD">
            <w:pPr>
              <w:spacing w:line="360" w:lineRule="auto"/>
              <w:rPr>
                <w:rFonts w:cs="David"/>
                <w:sz w:val="26"/>
                <w:szCs w:val="26"/>
                <w:rtl/>
              </w:rPr>
            </w:pPr>
            <w:r>
              <w:rPr>
                <w:rFonts w:cs="David"/>
                <w:sz w:val="26"/>
                <w:szCs w:val="26"/>
                <w:rtl/>
              </w:rPr>
              <w:t>13.</w:t>
            </w:r>
          </w:p>
        </w:tc>
        <w:tc>
          <w:tcPr>
            <w:tcW w:w="6167" w:type="dxa"/>
            <w:tcBorders>
              <w:top w:val="nil"/>
              <w:left w:val="nil"/>
              <w:bottom w:val="nil"/>
              <w:right w:val="nil"/>
            </w:tcBorders>
          </w:tcPr>
          <w:p w:rsidR="00000000" w:rsidRDefault="00282ADD">
            <w:pPr>
              <w:spacing w:line="360" w:lineRule="auto"/>
              <w:jc w:val="both"/>
              <w:rPr>
                <w:rFonts w:cs="David"/>
                <w:sz w:val="26"/>
                <w:szCs w:val="26"/>
                <w:rtl/>
              </w:rPr>
            </w:pPr>
            <w:r>
              <w:rPr>
                <w:rFonts w:cs="David"/>
                <w:sz w:val="26"/>
                <w:szCs w:val="26"/>
                <w:rtl/>
              </w:rPr>
              <w:t>עבירה לפי סעיף 67 לפקודה"</w:t>
            </w:r>
          </w:p>
        </w:tc>
      </w:tr>
    </w:tbl>
    <w:p w:rsidR="00000000" w:rsidRDefault="00282ADD">
      <w:pPr>
        <w:spacing w:line="360" w:lineRule="auto"/>
        <w:rPr>
          <w:rFonts w:cs="David"/>
          <w:sz w:val="26"/>
          <w:szCs w:val="26"/>
          <w:rtl/>
        </w:rPr>
      </w:pPr>
    </w:p>
    <w:p w:rsidR="00000000" w:rsidRDefault="00282ADD">
      <w:pPr>
        <w:spacing w:line="360" w:lineRule="auto"/>
        <w:rPr>
          <w:rFonts w:cs="David"/>
          <w:sz w:val="26"/>
          <w:szCs w:val="26"/>
          <w:rtl/>
        </w:rPr>
      </w:pPr>
    </w:p>
    <w:p w:rsidR="00000000" w:rsidRDefault="00282ADD">
      <w:pPr>
        <w:spacing w:line="360" w:lineRule="auto"/>
        <w:rPr>
          <w:rFonts w:cs="David"/>
          <w:sz w:val="26"/>
          <w:szCs w:val="26"/>
          <w:rtl/>
        </w:rPr>
      </w:pPr>
    </w:p>
    <w:p w:rsidR="00000000" w:rsidRDefault="00282ADD">
      <w:pPr>
        <w:spacing w:line="360" w:lineRule="auto"/>
        <w:jc w:val="center"/>
        <w:rPr>
          <w:rFonts w:cs="David"/>
          <w:b/>
          <w:bCs/>
          <w:sz w:val="28"/>
          <w:szCs w:val="28"/>
          <w:u w:val="single"/>
          <w:rtl/>
        </w:rPr>
      </w:pPr>
    </w:p>
    <w:p w:rsidR="00000000" w:rsidRDefault="00282ADD">
      <w:pPr>
        <w:spacing w:line="360" w:lineRule="auto"/>
        <w:jc w:val="center"/>
        <w:rPr>
          <w:rFonts w:cs="David"/>
          <w:sz w:val="26"/>
          <w:szCs w:val="26"/>
          <w:rtl/>
        </w:rPr>
      </w:pPr>
      <w:r>
        <w:rPr>
          <w:rFonts w:cs="David"/>
          <w:b/>
          <w:bCs/>
          <w:sz w:val="28"/>
          <w:szCs w:val="28"/>
          <w:u w:val="single"/>
          <w:rtl/>
        </w:rPr>
        <w:t>דברי - הסבר</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r>
        <w:rPr>
          <w:rFonts w:ascii="Arial" w:hAnsi="Arial" w:cs="David"/>
          <w:sz w:val="26"/>
          <w:szCs w:val="26"/>
          <w:rtl/>
        </w:rPr>
        <w:t>בתאונות דרכים בארץ נהרגים מדי שנה יותר מחמש מאות בני אדם והן הפכו למכת מדינה. הממשלה נוקטת דרכים שונות כדי להלחם בנגע תאונו</w:t>
      </w:r>
      <w:r>
        <w:rPr>
          <w:rFonts w:ascii="Arial" w:hAnsi="Arial" w:cs="David"/>
          <w:sz w:val="26"/>
          <w:szCs w:val="26"/>
          <w:rtl/>
        </w:rPr>
        <w:t xml:space="preserve">ת ולצמצם את מספר הנפגעים בהן, ומשקיעה אמצעים ניכרים בסלילת כבישים ובשיפור בטיחותם, בחינוך, בהסברה ובאכיפת חוקי התעבורה, אולם אין די בכך". (מתוך דו"ח מבקר המדינה ת. דרכים מאי 2000). </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r>
        <w:rPr>
          <w:rFonts w:ascii="Arial" w:hAnsi="Arial" w:cs="David"/>
          <w:sz w:val="26"/>
          <w:szCs w:val="26"/>
          <w:rtl/>
        </w:rPr>
        <w:t>עד עתה לא הביאו כל האמצעים המסורתיים שננקטו לשיפור המצב, והקטל בדרכים נמש</w:t>
      </w:r>
      <w:r>
        <w:rPr>
          <w:rFonts w:ascii="Arial" w:hAnsi="Arial" w:cs="David"/>
          <w:sz w:val="26"/>
          <w:szCs w:val="26"/>
          <w:rtl/>
        </w:rPr>
        <w:t>ך. מדי שנה משפחת השכול גדלה וכמעט חמש מאות איש (!) מקפחים את חייהם, ובנוסף נפגעים כמאה איש מדי יום ביומו. אלו מספרים איומים, והמסקנה היא שיש למצוא דרכים חדשות, ואף בלתי מקובלות, לפתרון הבעיה, שכן לא ניתן לשאת משא זה לאורך ימים.</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r>
        <w:rPr>
          <w:rFonts w:ascii="Arial" w:hAnsi="Arial" w:cs="David"/>
          <w:sz w:val="26"/>
          <w:szCs w:val="26"/>
          <w:rtl/>
        </w:rPr>
        <w:t>העונשים של קנסות שונים, כמו</w:t>
      </w:r>
      <w:r>
        <w:rPr>
          <w:rFonts w:ascii="Arial" w:hAnsi="Arial" w:cs="David"/>
          <w:sz w:val="26"/>
          <w:szCs w:val="26"/>
          <w:rtl/>
        </w:rPr>
        <w:t xml:space="preserve"> גם שלילת רישיון, כנראה אינם מרתיעים דיים. כן ידועים מקרים בהם נהגים אשר רישיונם נשלל, ממשיכים לנהוג למרות זאת. </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r>
        <w:rPr>
          <w:rFonts w:ascii="Arial" w:hAnsi="Arial" w:cs="David"/>
          <w:sz w:val="26"/>
          <w:szCs w:val="26"/>
          <w:rtl/>
        </w:rPr>
        <w:t>הוראה בדבר תפיסת המכונית בה נעברה העבירה ואפשרות חילוטה לאחר ההרשעה, עשויות ליצור מהפכה הרתעתית שתשפיע על דפוסי התנהגותו של הנהג הממוצע בכביש.</w:t>
      </w:r>
      <w:r>
        <w:rPr>
          <w:rFonts w:ascii="Arial" w:hAnsi="Arial" w:cs="David"/>
          <w:sz w:val="26"/>
          <w:szCs w:val="26"/>
          <w:rtl/>
        </w:rPr>
        <w:t xml:space="preserve"> </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b/>
          <w:bCs/>
          <w:sz w:val="26"/>
          <w:szCs w:val="26"/>
          <w:u w:val="single"/>
          <w:rtl/>
        </w:rPr>
      </w:pPr>
      <w:r>
        <w:rPr>
          <w:rFonts w:ascii="Arial" w:hAnsi="Arial" w:cs="David"/>
          <w:b/>
          <w:bCs/>
          <w:sz w:val="26"/>
          <w:szCs w:val="26"/>
          <w:u w:val="single"/>
          <w:rtl/>
        </w:rPr>
        <w:t>סעיף 57ח</w:t>
      </w:r>
    </w:p>
    <w:p w:rsidR="00000000" w:rsidRDefault="00282ADD">
      <w:pPr>
        <w:spacing w:line="360" w:lineRule="auto"/>
        <w:jc w:val="both"/>
        <w:rPr>
          <w:rFonts w:ascii="Arial" w:hAnsi="Arial" w:cs="David"/>
          <w:b/>
          <w:bCs/>
          <w:sz w:val="26"/>
          <w:szCs w:val="26"/>
          <w:u w:val="single"/>
          <w:rtl/>
        </w:rPr>
      </w:pPr>
    </w:p>
    <w:p w:rsidR="00000000" w:rsidRDefault="00282ADD">
      <w:pPr>
        <w:spacing w:line="360" w:lineRule="auto"/>
        <w:jc w:val="both"/>
        <w:rPr>
          <w:rFonts w:ascii="Arial" w:hAnsi="Arial" w:cs="David"/>
          <w:sz w:val="26"/>
          <w:szCs w:val="26"/>
          <w:rtl/>
        </w:rPr>
      </w:pPr>
      <w:r>
        <w:rPr>
          <w:rFonts w:ascii="Arial" w:hAnsi="Arial" w:cs="David"/>
          <w:sz w:val="26"/>
          <w:szCs w:val="26"/>
          <w:rtl/>
        </w:rPr>
        <w:t xml:space="preserve">סעיף 57ח מוסיף ענישה חמורה בנוסף לזו הקיימת כיום בפקודת התעבורה. לפי המצב החוקי היום ניתן לאסור על שימוש ברכב בפקודת התעבורה כקבוע בסעיפים 57א', ב' ו-ג'. התיקון המוצע מאפשר לחלט את הרכב (בעבירות המנויות בתוספת השמינית) ככלי ענישה נוסף לעונשים </w:t>
      </w:r>
      <w:r>
        <w:rPr>
          <w:rFonts w:ascii="Arial" w:hAnsi="Arial" w:cs="David"/>
          <w:sz w:val="26"/>
          <w:szCs w:val="26"/>
          <w:rtl/>
        </w:rPr>
        <w:t>המנויים כיום בפקודה . יצוין, כי לבית המשפט הסמכות לחלט רכב לאוצר המדינה על-פי סעיף 36ב לפקודת הסמים המסוכנים. שם נקבע: חילוט רכוש בהליך אזרחי (תיקון תשמ"ט): "נוכח בית משפטי מחוזי על-פי בקשתו של פרקליט מחוז כי רכוש …. (2) הוא רכב ששימש כאמצעי לביצוע עבירה ש</w:t>
      </w:r>
      <w:r>
        <w:rPr>
          <w:rFonts w:ascii="Arial" w:hAnsi="Arial" w:cs="David"/>
          <w:sz w:val="26"/>
          <w:szCs w:val="26"/>
          <w:rtl/>
        </w:rPr>
        <w:t>ל עסקת סמים או כדי לאפשר ביצוע עבירה כאמור … רשאי הוא לצוות על חילוטו גם אם לא הואשם  או לא הורשע אדם בעבירה על-פי הפקודה". בגזרה שווה, כפי שנגע הסמים הוא נגע מסוכן שיש לבערו בנחישות (החוק מאפשר לחלט הרכב עוד בטרם הרשעה או אפילו לפני הגשת כתב אישום), כך גם</w:t>
      </w:r>
      <w:r>
        <w:rPr>
          <w:rFonts w:ascii="Arial" w:hAnsi="Arial" w:cs="David"/>
          <w:sz w:val="26"/>
          <w:szCs w:val="26"/>
          <w:rtl/>
        </w:rPr>
        <w:t xml:space="preserve"> נגע תאונות הדרכים הינו נגע שיש לבער בכל אמצעי. אולם בשונה מפקודת הסמים המסוכנים, החילוט יעשה אך ורק לאחר הרשעה ולאחר שניתנה לבעל הרכב הזדמנות לטעון טענותיו.</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b/>
          <w:bCs/>
          <w:sz w:val="26"/>
          <w:szCs w:val="26"/>
          <w:u w:val="single"/>
          <w:rtl/>
        </w:rPr>
      </w:pPr>
      <w:r>
        <w:rPr>
          <w:rFonts w:ascii="Arial" w:hAnsi="Arial" w:cs="David"/>
          <w:b/>
          <w:bCs/>
          <w:sz w:val="26"/>
          <w:szCs w:val="26"/>
          <w:u w:val="single"/>
          <w:rtl/>
        </w:rPr>
        <w:t>התוספת התשיעית</w:t>
      </w:r>
    </w:p>
    <w:p w:rsidR="00000000" w:rsidRDefault="00282ADD">
      <w:pPr>
        <w:spacing w:line="360" w:lineRule="auto"/>
        <w:jc w:val="both"/>
        <w:rPr>
          <w:rFonts w:ascii="Arial" w:hAnsi="Arial" w:cs="David"/>
          <w:sz w:val="26"/>
          <w:szCs w:val="26"/>
          <w:u w:val="single"/>
          <w:rtl/>
        </w:rPr>
      </w:pPr>
    </w:p>
    <w:p w:rsidR="00000000" w:rsidRDefault="00282ADD">
      <w:pPr>
        <w:spacing w:line="360" w:lineRule="auto"/>
        <w:jc w:val="both"/>
        <w:rPr>
          <w:rFonts w:ascii="Arial" w:hAnsi="Arial" w:cs="David"/>
          <w:sz w:val="26"/>
          <w:szCs w:val="26"/>
          <w:rtl/>
        </w:rPr>
      </w:pPr>
      <w:r>
        <w:rPr>
          <w:rFonts w:ascii="Arial" w:hAnsi="Arial" w:cs="David"/>
          <w:sz w:val="26"/>
          <w:szCs w:val="26"/>
          <w:rtl/>
        </w:rPr>
        <w:t>העבירות אשר בגינן יחול התיקון, הינן עבירות חמורות אשר תוצאותיהן קשות (גרימת מוות</w:t>
      </w:r>
      <w:r>
        <w:rPr>
          <w:rFonts w:ascii="Arial" w:hAnsi="Arial" w:cs="David"/>
          <w:sz w:val="26"/>
          <w:szCs w:val="26"/>
          <w:rtl/>
        </w:rPr>
        <w:t>, פציעה) או אשר מסכנות באופן ממשי חיי אדם – דהינו סיכון ממשי לציבור.</w:t>
      </w:r>
    </w:p>
    <w:p w:rsidR="00000000" w:rsidRDefault="00282ADD">
      <w:pPr>
        <w:spacing w:line="360" w:lineRule="auto"/>
        <w:jc w:val="both"/>
        <w:rPr>
          <w:rFonts w:ascii="Arial" w:hAnsi="Arial" w:cs="David"/>
          <w:sz w:val="26"/>
          <w:szCs w:val="26"/>
          <w:rtl/>
        </w:rPr>
      </w:pPr>
    </w:p>
    <w:p w:rsidR="00000000" w:rsidRDefault="00282ADD">
      <w:pPr>
        <w:spacing w:line="360" w:lineRule="auto"/>
        <w:jc w:val="both"/>
        <w:rPr>
          <w:rFonts w:ascii="Arial" w:hAnsi="Arial" w:cs="David"/>
          <w:sz w:val="26"/>
          <w:szCs w:val="26"/>
          <w:rtl/>
        </w:rPr>
      </w:pPr>
      <w:r>
        <w:rPr>
          <w:rFonts w:ascii="Arial" w:hAnsi="Arial" w:cs="David"/>
          <w:sz w:val="26"/>
          <w:szCs w:val="26"/>
          <w:rtl/>
        </w:rPr>
        <w:t xml:space="preserve">הצעת חוק דומה בעיקרה הונחה על שולחן הכנסת השש-עשרה על-ידי חברת הכנסת גילה פינקלשטיין </w:t>
      </w:r>
      <w:r>
        <w:rPr>
          <w:rFonts w:cs="David"/>
          <w:sz w:val="26"/>
          <w:szCs w:val="26"/>
          <w:rtl/>
        </w:rPr>
        <w:t>(פ/1398).</w:t>
      </w:r>
    </w:p>
    <w:p w:rsidR="00000000" w:rsidRDefault="00282ADD">
      <w:pPr>
        <w:pStyle w:val="a3"/>
        <w:spacing w:line="360" w:lineRule="auto"/>
        <w:jc w:val="left"/>
        <w:rPr>
          <w:rFonts w:cs="David"/>
          <w:u w:val="none"/>
          <w:rtl/>
        </w:rPr>
      </w:pPr>
    </w:p>
    <w:p w:rsidR="00000000" w:rsidRDefault="00282ADD">
      <w:pPr>
        <w:pStyle w:val="a3"/>
        <w:spacing w:line="360" w:lineRule="auto"/>
        <w:jc w:val="left"/>
        <w:rPr>
          <w:rFonts w:ascii="Arial" w:hAnsi="Arial" w:cs="David"/>
          <w:b w:val="0"/>
          <w:bCs w:val="0"/>
          <w:sz w:val="26"/>
          <w:szCs w:val="26"/>
          <w:u w:val="none"/>
          <w:rtl/>
        </w:rPr>
      </w:pPr>
      <w:r>
        <w:rPr>
          <w:rFonts w:ascii="Arial" w:hAnsi="Arial" w:cs="David"/>
          <w:b w:val="0"/>
          <w:bCs w:val="0"/>
          <w:sz w:val="26"/>
          <w:szCs w:val="26"/>
          <w:u w:val="none"/>
          <w:rtl/>
        </w:rPr>
        <w:t>---------------------------------</w:t>
      </w:r>
    </w:p>
    <w:p w:rsidR="00000000" w:rsidRDefault="00282ADD">
      <w:pPr>
        <w:pStyle w:val="a3"/>
        <w:spacing w:line="360" w:lineRule="auto"/>
        <w:jc w:val="left"/>
        <w:rPr>
          <w:rFonts w:ascii="Arial" w:hAnsi="Arial" w:cs="David"/>
          <w:b w:val="0"/>
          <w:bCs w:val="0"/>
          <w:sz w:val="26"/>
          <w:szCs w:val="26"/>
          <w:u w:val="none"/>
          <w:rtl/>
        </w:rPr>
      </w:pPr>
      <w:r>
        <w:rPr>
          <w:rFonts w:ascii="Arial" w:hAnsi="Arial" w:cs="David"/>
          <w:b w:val="0"/>
          <w:bCs w:val="0"/>
          <w:sz w:val="26"/>
          <w:szCs w:val="26"/>
          <w:u w:val="none"/>
          <w:rtl/>
        </w:rPr>
        <w:t>הוגשה ליו"ר הכנסת והסגנים</w:t>
      </w:r>
    </w:p>
    <w:p w:rsidR="00000000" w:rsidRDefault="00282ADD">
      <w:pPr>
        <w:pStyle w:val="a3"/>
        <w:spacing w:line="360" w:lineRule="auto"/>
        <w:jc w:val="left"/>
        <w:rPr>
          <w:rFonts w:ascii="Arial" w:hAnsi="Arial" w:cs="David"/>
          <w:b w:val="0"/>
          <w:bCs w:val="0"/>
          <w:sz w:val="26"/>
          <w:szCs w:val="26"/>
          <w:u w:val="none"/>
          <w:rtl/>
        </w:rPr>
      </w:pPr>
      <w:r>
        <w:rPr>
          <w:rFonts w:ascii="Arial" w:hAnsi="Arial" w:cs="David"/>
          <w:b w:val="0"/>
          <w:bCs w:val="0"/>
          <w:sz w:val="26"/>
          <w:szCs w:val="26"/>
          <w:u w:val="none"/>
          <w:rtl/>
        </w:rPr>
        <w:t>והונחה על שולחן הכנסת ביום</w:t>
      </w:r>
    </w:p>
    <w:p w:rsidR="00000000" w:rsidRDefault="00282ADD">
      <w:pPr>
        <w:pStyle w:val="a3"/>
        <w:spacing w:line="360" w:lineRule="auto"/>
        <w:jc w:val="left"/>
        <w:rPr>
          <w:rFonts w:ascii="Arial" w:hAnsi="Arial" w:cs="David"/>
          <w:b w:val="0"/>
          <w:bCs w:val="0"/>
          <w:sz w:val="26"/>
          <w:szCs w:val="26"/>
          <w:u w:val="none"/>
          <w:rtl/>
        </w:rPr>
      </w:pPr>
      <w:r>
        <w:rPr>
          <w:rFonts w:ascii="Arial" w:hAnsi="Arial" w:cs="David"/>
          <w:b w:val="0"/>
          <w:bCs w:val="0"/>
          <w:sz w:val="26"/>
          <w:szCs w:val="26"/>
          <w:u w:val="none"/>
          <w:rtl/>
        </w:rPr>
        <w:t>כ"א</w:t>
      </w:r>
      <w:r>
        <w:rPr>
          <w:rFonts w:ascii="Arial" w:hAnsi="Arial" w:cs="David"/>
          <w:b w:val="0"/>
          <w:bCs w:val="0"/>
          <w:sz w:val="26"/>
          <w:szCs w:val="26"/>
          <w:u w:val="none"/>
          <w:rtl/>
        </w:rPr>
        <w:t xml:space="preserve"> בתמוז התשס"ו - 17.7.06</w:t>
      </w:r>
    </w:p>
    <w:p w:rsidR="00000000" w:rsidRDefault="00282ADD">
      <w:pPr>
        <w:pStyle w:val="a3"/>
        <w:spacing w:line="360" w:lineRule="auto"/>
        <w:jc w:val="left"/>
        <w:rPr>
          <w:rFonts w:cs="David"/>
          <w:u w:val="none"/>
        </w:rPr>
      </w:pPr>
    </w:p>
    <w:sectPr w:rsidR="00000000">
      <w:headerReference w:type="default" r:id="rId7"/>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282ADD">
      <w:r>
        <w:separator/>
      </w:r>
    </w:p>
  </w:endnote>
  <w:endnote w:type="continuationSeparator" w:id="0">
    <w:p w:rsidR="00000000" w:rsidRDefault="00282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282ADD">
      <w:r>
        <w:separator/>
      </w:r>
    </w:p>
  </w:footnote>
  <w:footnote w:type="continuationSeparator" w:id="0">
    <w:p w:rsidR="00000000" w:rsidRDefault="00282ADD">
      <w:r>
        <w:continuationSeparator/>
      </w:r>
    </w:p>
  </w:footnote>
  <w:footnote w:id="1">
    <w:p w:rsidR="00000000" w:rsidRDefault="00282ADD">
      <w:pPr>
        <w:pStyle w:val="a8"/>
      </w:pPr>
      <w:r>
        <w:rPr>
          <w:rStyle w:val="aa"/>
          <w:rFonts w:cs="David"/>
        </w:rPr>
        <w:footnoteRef/>
      </w:r>
      <w:r>
        <w:rPr>
          <w:rFonts w:cs="David"/>
        </w:rPr>
        <w:t xml:space="preserve"> </w:t>
      </w:r>
      <w:r>
        <w:rPr>
          <w:rFonts w:cs="David"/>
          <w:rtl/>
        </w:rPr>
        <w:t xml:space="preserve"> דיני מדינת ישראל, נוסח חדש 7, עמ' 173. </w:t>
      </w:r>
    </w:p>
  </w:footnote>
  <w:footnote w:id="2">
    <w:p w:rsidR="00000000" w:rsidRDefault="00282ADD">
      <w:pPr>
        <w:pStyle w:val="a8"/>
      </w:pPr>
      <w:r>
        <w:rPr>
          <w:rStyle w:val="aa"/>
          <w:rFonts w:cs="David"/>
        </w:rPr>
        <w:footnoteRef/>
      </w:r>
      <w:r>
        <w:rPr>
          <w:rFonts w:cs="David"/>
          <w:rtl/>
        </w:rPr>
        <w:t xml:space="preserve"> חוקי ארץ ישראל, כרך א', עמ' 431.</w:t>
      </w:r>
    </w:p>
  </w:footnote>
  <w:footnote w:id="3">
    <w:p w:rsidR="00000000" w:rsidRDefault="00282ADD">
      <w:pPr>
        <w:pStyle w:val="a8"/>
      </w:pPr>
      <w:r>
        <w:rPr>
          <w:rStyle w:val="aa"/>
          <w:rFonts w:cs="David"/>
        </w:rPr>
        <w:footnoteRef/>
      </w:r>
      <w:r>
        <w:rPr>
          <w:rFonts w:cs="David"/>
        </w:rPr>
        <w:t xml:space="preserve"> </w:t>
      </w:r>
      <w:r>
        <w:rPr>
          <w:rFonts w:cs="David"/>
          <w:rtl/>
        </w:rPr>
        <w:t>ס"ח התשל"ז, עמ' 226.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82ADD">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2</w:t>
    </w:r>
    <w:r>
      <w:rPr>
        <w:rStyle w:val="a7"/>
      </w:rPr>
      <w:fldChar w:fldCharType="end"/>
    </w:r>
  </w:p>
  <w:p w:rsidR="00000000" w:rsidRDefault="00282ADD">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835089"/>
    <w:multiLevelType w:val="singleLevel"/>
    <w:tmpl w:val="CD8C2886"/>
    <w:lvl w:ilvl="0">
      <w:start w:val="1"/>
      <w:numFmt w:val="decimal"/>
      <w:lvlText w:val="%1."/>
      <w:lvlJc w:val="left"/>
      <w:pPr>
        <w:tabs>
          <w:tab w:val="num" w:pos="705"/>
        </w:tabs>
        <w:ind w:left="705" w:hanging="705"/>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8548àåøìá-ô÷åãú äúòáåøä(çéìåè øëá ùòáø òáéøú úðåòä).doc"/>
    <w:docVar w:name="StartMode" w:val="2"/>
  </w:docVars>
  <w:rsids>
    <w:rsidRoot w:val="00282ADD"/>
    <w:rsid w:val="00282A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3">
    <w:name w:val="heading 3"/>
    <w:basedOn w:val="a"/>
    <w:next w:val="a"/>
    <w:link w:val="30"/>
    <w:uiPriority w:val="99"/>
    <w:qFormat/>
    <w:pPr>
      <w:keepNext/>
      <w:spacing w:line="360" w:lineRule="auto"/>
      <w:jc w:val="both"/>
      <w:outlineLvl w:val="2"/>
    </w:pPr>
    <w:rPr>
      <w:rFonts w:ascii="Arial" w:hAnsi="Arial"/>
      <w:sz w:val="26"/>
      <w:szCs w:val="26"/>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567</Words>
  <Characters>2836</Characters>
  <Application>Microsoft Office Word</Application>
  <DocSecurity>0</DocSecurity>
  <Lines>23</Lines>
  <Paragraphs>6</Paragraphs>
  <ScaleCrop>false</ScaleCrop>
  <Company>knesset</Company>
  <LinksUpToDate>false</LinksUpToDate>
  <CharactersWithSpaces>3397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(חילוט רכב שעבר עבירות תנועה), התשס"ו-2006</dc:title>
  <dc:subject/>
  <dc:creator>Knesset</dc:creator>
  <cp:keywords/>
  <dc:description/>
  <cp:lastModifiedBy>שמואל כוכב</cp:lastModifiedBy>
  <cp:revision>2</cp:revision>
  <cp:lastPrinted>2006-07-12T17:30:00Z</cp:lastPrinted>
  <dcterms:created xsi:type="dcterms:W3CDTF">2015-02-03T16:46:00Z</dcterms:created>
  <dcterms:modified xsi:type="dcterms:W3CDTF">2015-02-03T16:46:00Z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03953806</vt:lpwstr>
  </property>
  <property fmtid="{D5CDD505-2E9C-101B-9397-08002B2CF9AE}" pid="10" name="מספר הצעת חוק למיון">
    <vt:lpwstr>1285</vt:lpwstr>
  </property>
  <property fmtid="{D5CDD505-2E9C-101B-9397-08002B2CF9AE}" pid="11" name="SDDocDate">
    <vt:lpwstr>2006-07-16T00:00:00Z</vt:lpwstr>
  </property>
  <property fmtid="{D5CDD505-2E9C-101B-9397-08002B2CF9AE}" pid="12" name="SDHebDate">
    <vt:lpwstr>כ'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עדי טייכר</vt:lpwstr>
  </property>
  <property fmtid="{D5CDD505-2E9C-101B-9397-08002B2CF9AE}" pid="17" name="MechaberMismach">
    <vt:lpwstr/>
  </property>
  <property fmtid="{D5CDD505-2E9C-101B-9397-08002B2CF9AE}" pid="18" name="MisHatzaatChok">
    <vt:lpwstr>פ/1285/17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