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48" w:rsidRDefault="00C76048" w:rsidP="00677E3E">
      <w:pPr>
        <w:pStyle w:val="a3"/>
        <w:spacing w:line="360" w:lineRule="auto"/>
        <w:rPr>
          <w:b w:val="0"/>
          <w:bCs w:val="0"/>
          <w:sz w:val="26"/>
          <w:szCs w:val="26"/>
          <w:u w:val="none"/>
          <w:rtl/>
        </w:rPr>
      </w:pPr>
      <w:bookmarkStart w:id="0" w:name="_GoBack"/>
      <w:bookmarkEnd w:id="0"/>
      <w:r>
        <w:rPr>
          <w:u w:val="none"/>
          <w:rtl/>
        </w:rPr>
        <w:t>הכנסת הש</w:t>
      </w:r>
      <w:r w:rsidR="0032364B">
        <w:rPr>
          <w:rFonts w:hint="cs"/>
          <w:u w:val="none"/>
          <w:rtl/>
        </w:rPr>
        <w:t>בע-</w:t>
      </w:r>
      <w:r>
        <w:rPr>
          <w:rFonts w:hint="cs"/>
          <w:u w:val="none"/>
          <w:rtl/>
        </w:rPr>
        <w:t>עשרה</w:t>
      </w:r>
    </w:p>
    <w:p w:rsidR="0032364B" w:rsidRDefault="0032364B" w:rsidP="00677E3E">
      <w:pPr>
        <w:spacing w:line="360" w:lineRule="auto"/>
        <w:rPr>
          <w:rFonts w:cs="David"/>
          <w:sz w:val="26"/>
          <w:szCs w:val="26"/>
          <w:rtl/>
        </w:rPr>
      </w:pPr>
    </w:p>
    <w:tbl>
      <w:tblPr>
        <w:bidiVisual/>
        <w:tblW w:w="0" w:type="auto"/>
        <w:jc w:val="righ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073"/>
      </w:tblGrid>
      <w:tr w:rsidR="0032364B" w:rsidRPr="00BC5974">
        <w:trPr>
          <w:jc w:val="right"/>
        </w:trPr>
        <w:tc>
          <w:tcPr>
            <w:tcW w:w="4073" w:type="dxa"/>
          </w:tcPr>
          <w:p w:rsidR="0032364B" w:rsidRPr="00BC5974" w:rsidRDefault="0032364B" w:rsidP="00677E3E">
            <w:pPr>
              <w:spacing w:after="120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הצעת חוק של חבר</w:t>
            </w:r>
            <w:r w:rsidRPr="00BC5974">
              <w:rPr>
                <w:rFonts w:cs="David"/>
                <w:sz w:val="26"/>
                <w:szCs w:val="26"/>
                <w:rtl/>
              </w:rPr>
              <w:t xml:space="preserve"> הכנסת</w:t>
            </w:r>
            <w:r>
              <w:rPr>
                <w:rFonts w:cs="David" w:hint="cs"/>
                <w:sz w:val="26"/>
                <w:szCs w:val="26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מתן וילנאי </w:t>
            </w:r>
          </w:p>
        </w:tc>
      </w:tr>
    </w:tbl>
    <w:p w:rsidR="0032364B" w:rsidRPr="003741E1" w:rsidRDefault="003741E1" w:rsidP="003741E1">
      <w:pPr>
        <w:spacing w:line="360" w:lineRule="auto"/>
        <w:jc w:val="both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                                                                                                  </w:t>
      </w:r>
      <w:r w:rsidRPr="003741E1">
        <w:rPr>
          <w:rFonts w:cs="David" w:hint="cs"/>
          <w:b/>
          <w:bCs/>
          <w:sz w:val="26"/>
          <w:szCs w:val="26"/>
          <w:rtl/>
        </w:rPr>
        <w:t>פ/607/17</w:t>
      </w:r>
    </w:p>
    <w:p w:rsidR="00C76048" w:rsidRPr="003741E1" w:rsidRDefault="00C76048" w:rsidP="00677E3E">
      <w:pPr>
        <w:spacing w:line="360" w:lineRule="auto"/>
        <w:rPr>
          <w:rFonts w:cs="David"/>
          <w:b/>
          <w:bCs/>
          <w:sz w:val="26"/>
          <w:szCs w:val="26"/>
          <w:rtl/>
        </w:rPr>
      </w:pPr>
    </w:p>
    <w:p w:rsidR="003741E1" w:rsidRDefault="003741E1" w:rsidP="00677E3E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C76048" w:rsidRDefault="0032364B" w:rsidP="00677E3E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הצעת חוק עבודת נשים (תיקון - הארכת חופשת לידה), התשס"ו-2006</w:t>
      </w:r>
    </w:p>
    <w:p w:rsidR="00C76048" w:rsidRDefault="00C76048" w:rsidP="00677E3E">
      <w:pPr>
        <w:spacing w:line="360" w:lineRule="auto"/>
        <w:rPr>
          <w:rFonts w:cs="David"/>
          <w:sz w:val="26"/>
          <w:szCs w:val="26"/>
          <w:rtl/>
        </w:rPr>
      </w:pPr>
    </w:p>
    <w:tbl>
      <w:tblPr>
        <w:bidiVisual/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4"/>
        <w:gridCol w:w="548"/>
        <w:gridCol w:w="6604"/>
      </w:tblGrid>
      <w:tr w:rsidR="00C76048">
        <w:trPr>
          <w:cantSplit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76048" w:rsidRDefault="00C76048" w:rsidP="00677E3E">
            <w:pPr>
              <w:spacing w:after="120" w:line="360" w:lineRule="auto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תיקון סעיף 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6048" w:rsidRDefault="00C76048" w:rsidP="00677E3E">
            <w:pPr>
              <w:spacing w:after="120" w:line="360" w:lineRule="auto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1.</w:t>
            </w:r>
          </w:p>
        </w:tc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</w:tcPr>
          <w:p w:rsidR="00C76048" w:rsidRDefault="00C76048" w:rsidP="00677E3E">
            <w:pPr>
              <w:spacing w:after="120" w:line="360" w:lineRule="auto"/>
              <w:jc w:val="both"/>
              <w:rPr>
                <w:rFonts w:cs="David"/>
                <w:sz w:val="26"/>
                <w:szCs w:val="26"/>
              </w:rPr>
            </w:pPr>
            <w:r>
              <w:rPr>
                <w:rFonts w:cs="David"/>
                <w:sz w:val="26"/>
                <w:szCs w:val="26"/>
                <w:rtl/>
              </w:rPr>
              <w:t>בחוק עבודת נשים, התשי"ד-1954</w:t>
            </w:r>
            <w:r>
              <w:rPr>
                <w:rStyle w:val="a7"/>
                <w:rFonts w:cs="David"/>
                <w:sz w:val="26"/>
                <w:szCs w:val="26"/>
                <w:rtl/>
              </w:rPr>
              <w:footnoteReference w:id="1"/>
            </w:r>
            <w:r>
              <w:rPr>
                <w:rFonts w:cs="David"/>
                <w:sz w:val="26"/>
                <w:szCs w:val="26"/>
                <w:rtl/>
              </w:rPr>
              <w:t>, בסעיף 6(ב), במקום "שנים עשר" יבוא "חמישה עשר".</w:t>
            </w:r>
          </w:p>
        </w:tc>
      </w:tr>
    </w:tbl>
    <w:p w:rsidR="00C76048" w:rsidRDefault="00C76048" w:rsidP="00677E3E">
      <w:pPr>
        <w:spacing w:line="360" w:lineRule="auto"/>
        <w:rPr>
          <w:rFonts w:cs="David"/>
          <w:sz w:val="26"/>
          <w:szCs w:val="26"/>
          <w:rtl/>
        </w:rPr>
      </w:pPr>
    </w:p>
    <w:p w:rsidR="00C76048" w:rsidRDefault="00C76048" w:rsidP="00677E3E">
      <w:pPr>
        <w:spacing w:line="360" w:lineRule="auto"/>
        <w:jc w:val="center"/>
        <w:rPr>
          <w:rFonts w:cs="David"/>
          <w:sz w:val="26"/>
          <w:szCs w:val="26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>דברי - הסבר</w:t>
      </w:r>
    </w:p>
    <w:p w:rsidR="00C76048" w:rsidRDefault="00C76048" w:rsidP="00677E3E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C76048" w:rsidRDefault="00C76048" w:rsidP="00677E3E">
      <w:pPr>
        <w:spacing w:line="360" w:lineRule="auto"/>
        <w:jc w:val="both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 xml:space="preserve">חוק עבודת נשים, </w:t>
      </w:r>
      <w:r w:rsidR="0032364B">
        <w:rPr>
          <w:rFonts w:cs="David" w:hint="cs"/>
          <w:sz w:val="26"/>
          <w:szCs w:val="26"/>
          <w:rtl/>
        </w:rPr>
        <w:t xml:space="preserve">התשי"ד-1954, </w:t>
      </w:r>
      <w:r>
        <w:rPr>
          <w:rFonts w:cs="David"/>
          <w:sz w:val="26"/>
          <w:szCs w:val="26"/>
          <w:rtl/>
        </w:rPr>
        <w:t>מקנה לאשה חופשת לידה בת 12 שבועות, מהם -  6 שבועות או פחות לפני הלידה.</w:t>
      </w:r>
    </w:p>
    <w:p w:rsidR="00C76048" w:rsidRDefault="00C76048" w:rsidP="00677E3E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C76048" w:rsidRDefault="00C76048" w:rsidP="00677E3E">
      <w:pPr>
        <w:spacing w:line="360" w:lineRule="auto"/>
        <w:jc w:val="both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>לאחר יובל שנים מחקיקת החוק</w:t>
      </w:r>
      <w:r w:rsidR="0032364B">
        <w:rPr>
          <w:rFonts w:cs="David" w:hint="cs"/>
          <w:sz w:val="26"/>
          <w:szCs w:val="26"/>
          <w:rtl/>
        </w:rPr>
        <w:t xml:space="preserve"> בשנת 1954</w:t>
      </w:r>
      <w:r>
        <w:rPr>
          <w:rFonts w:cs="David"/>
          <w:sz w:val="26"/>
          <w:szCs w:val="26"/>
          <w:rtl/>
        </w:rPr>
        <w:t>, יש מקום להאריך את חופשת הלידה, מהסיבות הבאות:</w:t>
      </w:r>
    </w:p>
    <w:p w:rsidR="00C76048" w:rsidRDefault="00C76048" w:rsidP="00677E3E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C76048" w:rsidRDefault="00C76048" w:rsidP="00677E3E">
      <w:pPr>
        <w:spacing w:line="360" w:lineRule="auto"/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>1.</w:t>
      </w:r>
      <w:r>
        <w:rPr>
          <w:rFonts w:cs="David"/>
          <w:sz w:val="26"/>
          <w:szCs w:val="26"/>
          <w:rtl/>
        </w:rPr>
        <w:tab/>
        <w:t>מחקרים הוכיחו את חשיבות טיפוח הקשר בין האם לתינוק דווקא בחודשים הראשונים</w:t>
      </w:r>
      <w:r w:rsidR="0032364B">
        <w:rPr>
          <w:rFonts w:cs="David" w:hint="cs"/>
          <w:sz w:val="26"/>
          <w:szCs w:val="26"/>
          <w:rtl/>
        </w:rPr>
        <w:t xml:space="preserve"> לחיי התינוק</w:t>
      </w:r>
      <w:r>
        <w:rPr>
          <w:rFonts w:cs="David"/>
          <w:sz w:val="26"/>
          <w:szCs w:val="26"/>
          <w:rtl/>
        </w:rPr>
        <w:t>, לרבות חשיבות ההנקה.</w:t>
      </w:r>
    </w:p>
    <w:p w:rsidR="00C76048" w:rsidRDefault="00C76048" w:rsidP="00677E3E">
      <w:pPr>
        <w:spacing w:line="360" w:lineRule="auto"/>
        <w:ind w:left="720" w:hanging="720"/>
        <w:jc w:val="both"/>
        <w:rPr>
          <w:rFonts w:cs="David"/>
          <w:sz w:val="26"/>
          <w:szCs w:val="26"/>
          <w:rtl/>
        </w:rPr>
      </w:pPr>
    </w:p>
    <w:p w:rsidR="00C76048" w:rsidRDefault="00C76048" w:rsidP="00677E3E">
      <w:pPr>
        <w:spacing w:line="360" w:lineRule="auto"/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>2.</w:t>
      </w:r>
      <w:r>
        <w:rPr>
          <w:rFonts w:cs="David"/>
          <w:sz w:val="26"/>
          <w:szCs w:val="26"/>
          <w:rtl/>
        </w:rPr>
        <w:tab/>
        <w:t xml:space="preserve">הנורמה הבינלאומית השתנתה – דבר שבא לידי ביטוי בהחלטת ארגון העבודה הבינלאומי, להאריך את חופשת הלידה מ-12 ל-14 שבועות ובחופשות לידה ארוכות יותר במדינות </w:t>
      </w:r>
      <w:r w:rsidR="0032364B">
        <w:rPr>
          <w:rFonts w:cs="David" w:hint="cs"/>
          <w:sz w:val="26"/>
          <w:szCs w:val="26"/>
          <w:rtl/>
        </w:rPr>
        <w:t>רבות</w:t>
      </w:r>
      <w:r>
        <w:rPr>
          <w:rFonts w:cs="David"/>
          <w:sz w:val="26"/>
          <w:szCs w:val="26"/>
          <w:rtl/>
        </w:rPr>
        <w:t xml:space="preserve"> באירופה.</w:t>
      </w:r>
    </w:p>
    <w:p w:rsidR="00C76048" w:rsidRDefault="00C76048" w:rsidP="00677E3E">
      <w:pPr>
        <w:spacing w:line="360" w:lineRule="auto"/>
        <w:ind w:left="720" w:hanging="720"/>
        <w:jc w:val="both"/>
        <w:rPr>
          <w:rFonts w:cs="David"/>
          <w:sz w:val="26"/>
          <w:szCs w:val="26"/>
          <w:rtl/>
        </w:rPr>
      </w:pPr>
    </w:p>
    <w:p w:rsidR="00C76048" w:rsidRDefault="00C76048" w:rsidP="00677E3E">
      <w:pPr>
        <w:spacing w:line="360" w:lineRule="auto"/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/>
          <w:sz w:val="26"/>
          <w:szCs w:val="26"/>
          <w:rtl/>
        </w:rPr>
        <w:t>3.</w:t>
      </w:r>
      <w:r>
        <w:rPr>
          <w:rFonts w:cs="David"/>
          <w:sz w:val="26"/>
          <w:szCs w:val="26"/>
          <w:rtl/>
        </w:rPr>
        <w:tab/>
        <w:t>הארכת חופשת הלידה תצמצם את מספר הנשים הפורשות מהעבודה בשל קשיים במציאת סידור מניח את הדעת לתינוק.</w:t>
      </w:r>
    </w:p>
    <w:p w:rsidR="00C76048" w:rsidRDefault="00C76048" w:rsidP="00677E3E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32364B" w:rsidRDefault="0032364B" w:rsidP="00677E3E">
      <w:pPr>
        <w:spacing w:line="360" w:lineRule="auto"/>
        <w:ind w:left="26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הצעות חוק דומות בעיקרן הונחו על שולחן הכנסת החמש-עשרה על-ידי חבר הכנסת אליעזר כהן (פ/1220), ועל-ידי חבר הכנסת </w:t>
      </w:r>
      <w:proofErr w:type="spellStart"/>
      <w:r>
        <w:rPr>
          <w:rFonts w:cs="David" w:hint="cs"/>
          <w:sz w:val="26"/>
          <w:szCs w:val="26"/>
          <w:rtl/>
        </w:rPr>
        <w:t>ריגר</w:t>
      </w:r>
      <w:proofErr w:type="spellEnd"/>
      <w:r>
        <w:rPr>
          <w:rFonts w:cs="David" w:hint="cs"/>
          <w:sz w:val="26"/>
          <w:szCs w:val="26"/>
          <w:rtl/>
        </w:rPr>
        <w:t xml:space="preserve"> גנדי וקבוצת חברי הכנסת (פ/1301), ועל-ידי חברת הכנסת תמר </w:t>
      </w:r>
      <w:proofErr w:type="spellStart"/>
      <w:r>
        <w:rPr>
          <w:rFonts w:cs="David" w:hint="cs"/>
          <w:sz w:val="26"/>
          <w:szCs w:val="26"/>
          <w:rtl/>
        </w:rPr>
        <w:t>גוז'ינסקי</w:t>
      </w:r>
      <w:proofErr w:type="spellEnd"/>
      <w:r>
        <w:rPr>
          <w:rFonts w:cs="David" w:hint="cs"/>
          <w:sz w:val="26"/>
          <w:szCs w:val="26"/>
          <w:rtl/>
        </w:rPr>
        <w:t xml:space="preserve"> וקבוצת חברי הכנסת (פ/2105), ועל ידי חבר הכנסת עבד-</w:t>
      </w:r>
      <w:proofErr w:type="spellStart"/>
      <w:r>
        <w:rPr>
          <w:rFonts w:cs="David" w:hint="cs"/>
          <w:sz w:val="26"/>
          <w:szCs w:val="26"/>
          <w:rtl/>
        </w:rPr>
        <w:t>אלמאלכ</w:t>
      </w:r>
      <w:proofErr w:type="spellEnd"/>
      <w:r>
        <w:rPr>
          <w:rFonts w:cs="David" w:hint="cs"/>
          <w:sz w:val="26"/>
          <w:szCs w:val="26"/>
          <w:rtl/>
        </w:rPr>
        <w:t xml:space="preserve"> דהאמשה וקבוצת חברי הכנסת (פ/2764), ועל-ידי חברת הכנסת ענת מאור (פ/3177). </w:t>
      </w:r>
    </w:p>
    <w:p w:rsidR="0032364B" w:rsidRDefault="0032364B" w:rsidP="00677E3E">
      <w:pPr>
        <w:spacing w:line="360" w:lineRule="auto"/>
        <w:ind w:left="26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lastRenderedPageBreak/>
        <w:t>הצעת חוק דומה בעיקרה הונחה על שולחן הכנסת החמש-עשרה על-ידי חבר</w:t>
      </w:r>
      <w:r w:rsidR="00885E97">
        <w:rPr>
          <w:rFonts w:cs="David" w:hint="cs"/>
          <w:sz w:val="26"/>
          <w:szCs w:val="26"/>
          <w:rtl/>
        </w:rPr>
        <w:t>ת</w:t>
      </w:r>
      <w:r>
        <w:rPr>
          <w:rFonts w:cs="David" w:hint="cs"/>
          <w:sz w:val="26"/>
          <w:szCs w:val="26"/>
          <w:rtl/>
        </w:rPr>
        <w:t xml:space="preserve"> הכנסת חוסניה </w:t>
      </w:r>
      <w:proofErr w:type="spellStart"/>
      <w:r>
        <w:rPr>
          <w:rFonts w:cs="David" w:hint="cs"/>
          <w:sz w:val="26"/>
          <w:szCs w:val="26"/>
          <w:rtl/>
        </w:rPr>
        <w:t>ג'בארה</w:t>
      </w:r>
      <w:proofErr w:type="spellEnd"/>
      <w:r>
        <w:rPr>
          <w:rFonts w:cs="David" w:hint="cs"/>
          <w:sz w:val="26"/>
          <w:szCs w:val="26"/>
          <w:rtl/>
        </w:rPr>
        <w:t xml:space="preserve"> (פ/2288) והוסרה מסדר יומה של הכנסת ביום 21.11.2001. כמו כן, הצעת חוק דומה בעיקרה הונחה על שולחן הכנסת החמש-עשרה על-ידי חבר</w:t>
      </w:r>
      <w:r w:rsidR="00946085">
        <w:rPr>
          <w:rFonts w:cs="David" w:hint="cs"/>
          <w:sz w:val="26"/>
          <w:szCs w:val="26"/>
          <w:rtl/>
        </w:rPr>
        <w:t>ת</w:t>
      </w:r>
      <w:r>
        <w:rPr>
          <w:rFonts w:cs="David" w:hint="cs"/>
          <w:sz w:val="26"/>
          <w:szCs w:val="26"/>
          <w:rtl/>
        </w:rPr>
        <w:t xml:space="preserve"> הכנסת ענת מאור (פ/2818) והוסרה מסדר יומה של הכנסת ביום 21.11.2001. </w:t>
      </w:r>
    </w:p>
    <w:p w:rsidR="0032364B" w:rsidRDefault="0032364B" w:rsidP="00677E3E">
      <w:pPr>
        <w:spacing w:line="360" w:lineRule="auto"/>
        <w:ind w:left="26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הצעת חוק זהה הונחה על שולחן הכנסת השש-עשרה על-ידי חברי הכנסת מתן וילנאי ועמרם מצנע (פ/2027). </w:t>
      </w:r>
    </w:p>
    <w:p w:rsidR="0032364B" w:rsidRDefault="0032364B" w:rsidP="00677E3E">
      <w:pPr>
        <w:spacing w:line="360" w:lineRule="auto"/>
        <w:ind w:left="26"/>
        <w:jc w:val="both"/>
        <w:rPr>
          <w:rtl/>
        </w:rPr>
      </w:pPr>
      <w:r>
        <w:rPr>
          <w:rFonts w:cs="David" w:hint="cs"/>
          <w:sz w:val="26"/>
          <w:szCs w:val="26"/>
          <w:rtl/>
        </w:rPr>
        <w:t xml:space="preserve">הצעות חוק דומות בעיקרן הונחו על שולחן הכנסת השש-עשרה על-ידי חבר </w:t>
      </w:r>
      <w:r w:rsidR="00946085">
        <w:rPr>
          <w:rFonts w:cs="David" w:hint="cs"/>
          <w:sz w:val="26"/>
          <w:szCs w:val="26"/>
          <w:rtl/>
        </w:rPr>
        <w:t xml:space="preserve">הכנסת </w:t>
      </w:r>
      <w:proofErr w:type="spellStart"/>
      <w:r w:rsidR="00946085">
        <w:rPr>
          <w:rFonts w:cs="David" w:hint="cs"/>
          <w:sz w:val="26"/>
          <w:szCs w:val="26"/>
          <w:rtl/>
        </w:rPr>
        <w:t>עסאם</w:t>
      </w:r>
      <w:proofErr w:type="spellEnd"/>
      <w:r w:rsidR="00946085">
        <w:rPr>
          <w:rFonts w:cs="David" w:hint="cs"/>
          <w:sz w:val="26"/>
          <w:szCs w:val="26"/>
          <w:rtl/>
        </w:rPr>
        <w:t xml:space="preserve"> </w:t>
      </w:r>
      <w:proofErr w:type="spellStart"/>
      <w:r w:rsidR="00946085">
        <w:rPr>
          <w:rFonts w:cs="David" w:hint="cs"/>
          <w:sz w:val="26"/>
          <w:szCs w:val="26"/>
          <w:rtl/>
        </w:rPr>
        <w:t>מח'ול</w:t>
      </w:r>
      <w:proofErr w:type="spellEnd"/>
      <w:r w:rsidR="00946085">
        <w:rPr>
          <w:rFonts w:cs="David" w:hint="cs"/>
          <w:sz w:val="26"/>
          <w:szCs w:val="26"/>
          <w:rtl/>
        </w:rPr>
        <w:t xml:space="preserve"> וקבוצת חברי הכ</w:t>
      </w:r>
      <w:r>
        <w:rPr>
          <w:rFonts w:cs="David" w:hint="cs"/>
          <w:sz w:val="26"/>
          <w:szCs w:val="26"/>
          <w:rtl/>
        </w:rPr>
        <w:t xml:space="preserve">נסת (פ/531) ועל-ידי חבר הכנסת רומן ברונפמן (פ/3086).    </w:t>
      </w:r>
    </w:p>
    <w:p w:rsidR="0032364B" w:rsidRDefault="0032364B" w:rsidP="00677E3E">
      <w:pPr>
        <w:pStyle w:val="a3"/>
        <w:spacing w:line="360" w:lineRule="auto"/>
        <w:jc w:val="left"/>
        <w:rPr>
          <w:u w:val="none"/>
          <w:rtl/>
        </w:rPr>
      </w:pPr>
    </w:p>
    <w:p w:rsidR="0032364B" w:rsidRDefault="0032364B" w:rsidP="00677E3E">
      <w:pPr>
        <w:pStyle w:val="a3"/>
        <w:spacing w:line="360" w:lineRule="auto"/>
        <w:jc w:val="left"/>
        <w:rPr>
          <w:u w:val="none"/>
          <w:rtl/>
        </w:rPr>
      </w:pPr>
    </w:p>
    <w:p w:rsidR="0032364B" w:rsidRPr="0032364B" w:rsidRDefault="0032364B" w:rsidP="00677E3E">
      <w:pPr>
        <w:pStyle w:val="a3"/>
        <w:spacing w:line="360" w:lineRule="auto"/>
        <w:jc w:val="left"/>
        <w:rPr>
          <w:b w:val="0"/>
          <w:bCs w:val="0"/>
          <w:sz w:val="26"/>
          <w:szCs w:val="26"/>
          <w:u w:val="none"/>
          <w:rtl/>
        </w:rPr>
      </w:pPr>
      <w:r w:rsidRPr="0032364B">
        <w:rPr>
          <w:b w:val="0"/>
          <w:bCs w:val="0"/>
          <w:sz w:val="26"/>
          <w:szCs w:val="26"/>
          <w:u w:val="none"/>
          <w:rtl/>
        </w:rPr>
        <w:t>---------------------------------</w:t>
      </w:r>
    </w:p>
    <w:p w:rsidR="003741E1" w:rsidRDefault="006C3DE4" w:rsidP="00677E3E">
      <w:pPr>
        <w:pStyle w:val="a3"/>
        <w:spacing w:line="360" w:lineRule="auto"/>
        <w:jc w:val="left"/>
        <w:rPr>
          <w:b w:val="0"/>
          <w:bCs w:val="0"/>
          <w:sz w:val="26"/>
          <w:szCs w:val="26"/>
          <w:u w:val="none"/>
          <w:rtl/>
        </w:rPr>
      </w:pPr>
      <w:r>
        <w:rPr>
          <w:rFonts w:hint="cs"/>
          <w:b w:val="0"/>
          <w:bCs w:val="0"/>
          <w:sz w:val="26"/>
          <w:szCs w:val="26"/>
          <w:u w:val="none"/>
          <w:rtl/>
        </w:rPr>
        <w:t>הוגשה ליו"ר הכנסת ולסגנים</w:t>
      </w:r>
    </w:p>
    <w:p w:rsidR="006C3DE4" w:rsidRDefault="006C3DE4" w:rsidP="00677E3E">
      <w:pPr>
        <w:pStyle w:val="a3"/>
        <w:spacing w:line="360" w:lineRule="auto"/>
        <w:jc w:val="left"/>
        <w:rPr>
          <w:b w:val="0"/>
          <w:bCs w:val="0"/>
          <w:sz w:val="26"/>
          <w:szCs w:val="26"/>
          <w:u w:val="none"/>
          <w:rtl/>
        </w:rPr>
      </w:pPr>
      <w:r>
        <w:rPr>
          <w:rFonts w:hint="cs"/>
          <w:b w:val="0"/>
          <w:bCs w:val="0"/>
          <w:sz w:val="26"/>
          <w:szCs w:val="26"/>
          <w:u w:val="none"/>
          <w:rtl/>
        </w:rPr>
        <w:t>והונחה על שולחן הכנסת ביום</w:t>
      </w:r>
    </w:p>
    <w:p w:rsidR="006C3DE4" w:rsidRPr="0032364B" w:rsidRDefault="006C3DE4" w:rsidP="00677E3E">
      <w:pPr>
        <w:pStyle w:val="a3"/>
        <w:spacing w:line="360" w:lineRule="auto"/>
        <w:jc w:val="left"/>
        <w:rPr>
          <w:b w:val="0"/>
          <w:bCs w:val="0"/>
          <w:sz w:val="26"/>
          <w:szCs w:val="26"/>
          <w:u w:val="none"/>
          <w:rtl/>
        </w:rPr>
      </w:pPr>
      <w:r>
        <w:rPr>
          <w:rFonts w:hint="cs"/>
          <w:b w:val="0"/>
          <w:bCs w:val="0"/>
          <w:sz w:val="26"/>
          <w:szCs w:val="26"/>
          <w:u w:val="none"/>
          <w:rtl/>
        </w:rPr>
        <w:t xml:space="preserve">כ"ג בסיוון </w:t>
      </w:r>
      <w:proofErr w:type="spellStart"/>
      <w:r>
        <w:rPr>
          <w:rFonts w:hint="cs"/>
          <w:b w:val="0"/>
          <w:bCs w:val="0"/>
          <w:sz w:val="26"/>
          <w:szCs w:val="26"/>
          <w:u w:val="none"/>
          <w:rtl/>
        </w:rPr>
        <w:t>התשס"ו</w:t>
      </w:r>
      <w:proofErr w:type="spellEnd"/>
      <w:r>
        <w:rPr>
          <w:rFonts w:hint="cs"/>
          <w:b w:val="0"/>
          <w:bCs w:val="0"/>
          <w:sz w:val="26"/>
          <w:szCs w:val="26"/>
          <w:u w:val="none"/>
          <w:rtl/>
        </w:rPr>
        <w:t xml:space="preserve"> - 19.6.06</w:t>
      </w:r>
    </w:p>
    <w:p w:rsidR="00F96C0E" w:rsidRPr="0032364B" w:rsidRDefault="00F96C0E" w:rsidP="00677E3E">
      <w:pPr>
        <w:pStyle w:val="a3"/>
        <w:spacing w:line="360" w:lineRule="auto"/>
        <w:jc w:val="left"/>
        <w:rPr>
          <w:b w:val="0"/>
          <w:bCs w:val="0"/>
          <w:sz w:val="26"/>
          <w:szCs w:val="26"/>
          <w:u w:val="none"/>
        </w:rPr>
      </w:pPr>
    </w:p>
    <w:sectPr w:rsidR="00F96C0E" w:rsidRPr="003236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DE4" w:rsidRDefault="006C3DE4">
      <w:r>
        <w:separator/>
      </w:r>
    </w:p>
  </w:endnote>
  <w:endnote w:type="continuationSeparator" w:id="0">
    <w:p w:rsidR="006C3DE4" w:rsidRDefault="006C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E4" w:rsidRDefault="006C3DE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E4" w:rsidRDefault="006C3DE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E4" w:rsidRDefault="006C3D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DE4" w:rsidRDefault="006C3DE4">
      <w:r>
        <w:separator/>
      </w:r>
    </w:p>
  </w:footnote>
  <w:footnote w:type="continuationSeparator" w:id="0">
    <w:p w:rsidR="006C3DE4" w:rsidRDefault="006C3DE4">
      <w:r>
        <w:continuationSeparator/>
      </w:r>
    </w:p>
  </w:footnote>
  <w:footnote w:id="1">
    <w:p w:rsidR="006C3DE4" w:rsidRPr="00677E3E" w:rsidRDefault="006C3DE4" w:rsidP="00C76048">
      <w:pPr>
        <w:pStyle w:val="a6"/>
        <w:rPr>
          <w:rFonts w:cs="David"/>
        </w:rPr>
      </w:pPr>
      <w:r w:rsidRPr="00677E3E">
        <w:rPr>
          <w:rStyle w:val="a7"/>
          <w:rFonts w:cs="David"/>
        </w:rPr>
        <w:footnoteRef/>
      </w:r>
      <w:r w:rsidRPr="00677E3E">
        <w:rPr>
          <w:rFonts w:cs="David"/>
        </w:rPr>
        <w:t xml:space="preserve"> </w:t>
      </w:r>
      <w:r w:rsidRPr="00677E3E">
        <w:rPr>
          <w:rFonts w:cs="David"/>
          <w:rtl/>
        </w:rPr>
        <w:t xml:space="preserve">ס"ח </w:t>
      </w:r>
      <w:proofErr w:type="spellStart"/>
      <w:r w:rsidRPr="00677E3E">
        <w:rPr>
          <w:rFonts w:cs="David"/>
          <w:rtl/>
        </w:rPr>
        <w:t>התשי"ד</w:t>
      </w:r>
      <w:proofErr w:type="spellEnd"/>
      <w:r w:rsidRPr="00677E3E">
        <w:rPr>
          <w:rFonts w:cs="David"/>
          <w:rtl/>
        </w:rPr>
        <w:t>, עמ' 154</w:t>
      </w:r>
      <w:r w:rsidRPr="00677E3E">
        <w:rPr>
          <w:rFonts w:cs="David" w:hint="cs"/>
          <w:rtl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E4" w:rsidRDefault="006C3DE4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C3DE4" w:rsidRDefault="006C3DE4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E4" w:rsidRDefault="006C3DE4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D12AF6"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:rsidR="006C3DE4" w:rsidRDefault="006C3DE4">
    <w:pPr>
      <w:pStyle w:val="a4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E4" w:rsidRDefault="006C3D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131668הצעת חוק עבודת נשים - הארכת חופשת לידה - מתן וילנאי.doc"/>
    <w:docVar w:name="StartMode" w:val="2"/>
  </w:docVars>
  <w:rsids>
    <w:rsidRoot w:val="00CA5061"/>
    <w:rsid w:val="0032364B"/>
    <w:rsid w:val="003741E1"/>
    <w:rsid w:val="004B32CF"/>
    <w:rsid w:val="004C2E45"/>
    <w:rsid w:val="004E3511"/>
    <w:rsid w:val="005D7232"/>
    <w:rsid w:val="00677E3E"/>
    <w:rsid w:val="006C3DE4"/>
    <w:rsid w:val="006D376A"/>
    <w:rsid w:val="006F664B"/>
    <w:rsid w:val="00885E97"/>
    <w:rsid w:val="008B36A0"/>
    <w:rsid w:val="00922283"/>
    <w:rsid w:val="00946085"/>
    <w:rsid w:val="009B1978"/>
    <w:rsid w:val="00B10021"/>
    <w:rsid w:val="00C42EA1"/>
    <w:rsid w:val="00C76048"/>
    <w:rsid w:val="00CA5061"/>
    <w:rsid w:val="00D12AF6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C3540A-118F-48CA-A316-67AF2FF9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cs="David"/>
      <w:b/>
      <w:bCs/>
      <w:sz w:val="28"/>
      <w:szCs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semiHidden/>
    <w:rsid w:val="00C76048"/>
    <w:rPr>
      <w:sz w:val="20"/>
      <w:szCs w:val="20"/>
    </w:rPr>
  </w:style>
  <w:style w:type="character" w:styleId="a7">
    <w:name w:val="footnote reference"/>
    <w:basedOn w:val="a0"/>
    <w:semiHidden/>
    <w:rsid w:val="00C76048"/>
    <w:rPr>
      <w:rFonts w:cs="Times New Roman"/>
      <w:vertAlign w:val="superscript"/>
    </w:rPr>
  </w:style>
  <w:style w:type="paragraph" w:styleId="a8">
    <w:name w:val="Balloon Text"/>
    <w:basedOn w:val="a"/>
    <w:semiHidden/>
    <w:rsid w:val="0032364B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6C3DE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nhedrinLibrary" ma:contentTypeID="0x0101004AEDB822EB0F7C488BBBAE3C0C973DE7007B5169F891EDFE45ACBB09C66665E386" ma:contentTypeVersion="" ma:contentTypeDescription="" ma:contentTypeScope="" ma:versionID="d31c01f67f2a5ff85e4f108dec46bcbc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65d88d56368b3cfebd298e6271d6c5a2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anhedrinDocumentType"/>
                <xsd:element ref="ns2:SanhedrinItem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anhedrinDocumentType" ma:index="8" ma:displayName="SanhedrinDocumentType" ma:decimals="0" ma:internalName="SanhedrinDocumentType" ma:readOnly="false">
      <xsd:simpleType>
        <xsd:restriction base="dms:Number"/>
      </xsd:simpleType>
    </xsd:element>
    <xsd:element name="SanhedrinItemID" ma:index="9" ma:displayName="SanhedrinItemID" ma:decimals="0" ma:internalName="SanhedrinItemID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nhedrinItemID xmlns="290d5b49-c690-4c6f-bbb9-1e50dab33eee">131668</SanhedrinItemID>
    <SanhedrinDocumentType xmlns="290d5b49-c690-4c6f-bbb9-1e50dab33eee">210</SanhedrinDocumentType>
  </documentManagement>
</p:properties>
</file>

<file path=customXml/itemProps1.xml><?xml version="1.0" encoding="utf-8"?>
<ds:datastoreItem xmlns:ds="http://schemas.openxmlformats.org/officeDocument/2006/customXml" ds:itemID="{E7C3BD93-6E95-4F66-B805-A389B6F22987}"/>
</file>

<file path=customXml/itemProps2.xml><?xml version="1.0" encoding="utf-8"?>
<ds:datastoreItem xmlns:ds="http://schemas.openxmlformats.org/officeDocument/2006/customXml" ds:itemID="{9866CFC3-38B6-495B-9A09-51BC0218932E}"/>
</file>

<file path=customXml/itemProps3.xml><?xml version="1.0" encoding="utf-8"?>
<ds:datastoreItem xmlns:ds="http://schemas.openxmlformats.org/officeDocument/2006/customXml" ds:itemID="{4819CCA8-B0D5-41FE-B619-657A79790B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הצעת חוק עבודת נשים (תיקון - הארכת חופשת לידה), התשס"ו-2006</vt:lpstr>
    </vt:vector>
  </TitlesOfParts>
  <Company>knesset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חוק עבודת נשים (תיקון - הארכת חופשת לידה), התשס"ו-2006</dc:title>
  <dc:subject/>
  <dc:creator>Knesset</dc:creator>
  <cp:keywords/>
  <dc:description/>
  <cp:lastModifiedBy>אירנה ויאזמסקי</cp:lastModifiedBy>
  <cp:revision>2</cp:revision>
  <cp:lastPrinted>1899-12-31T22:00:00Z</cp:lastPrinted>
  <dcterms:created xsi:type="dcterms:W3CDTF">2021-01-19T07:10:00Z</dcterms:created>
  <dcterms:modified xsi:type="dcterms:W3CDTF">2021-01-19T07:10:00Z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dTemplate">
    <vt:i4>129</vt:i4>
  </property>
  <property fmtid="{D5CDD505-2E9C-101B-9397-08002B2CF9AE}" pid="3" name="MechaberMismach">
    <vt:lpwstr>מתן וילנאי</vt:lpwstr>
  </property>
  <property fmtid="{D5CDD505-2E9C-101B-9397-08002B2CF9AE}" pid="4" name="Nose">
    <vt:lpwstr>':הלשכה המשפטית:חקיקה - נוסח:1.טיוטה לטרומית'_x000d_
</vt:lpwstr>
  </property>
  <property fmtid="{D5CDD505-2E9C-101B-9397-08002B2CF9AE}" pid="5" name="Tizkoret">
    <vt:lpwstr/>
  </property>
  <property fmtid="{D5CDD505-2E9C-101B-9397-08002B2CF9AE}" pid="6" name="YozemHatzaa_ChakList">
    <vt:lpwstr>פ/607/17</vt:lpwstr>
  </property>
  <property fmtid="{D5CDD505-2E9C-101B-9397-08002B2CF9AE}" pid="7" name="סימוכין">
    <vt:i4>4583105</vt:i4>
  </property>
  <property fmtid="{D5CDD505-2E9C-101B-9397-08002B2CF9AE}" pid="8" name="תאריך המסמך">
    <vt:filetime>2005-04-03T00:00:00Z</vt:filetime>
  </property>
  <property fmtid="{D5CDD505-2E9C-101B-9397-08002B2CF9AE}" pid="9" name="CodeProfile">
    <vt:lpwstr>1305.00000000000</vt:lpwstr>
  </property>
  <property fmtid="{D5CDD505-2E9C-101B-9397-08002B2CF9AE}" pid="10" name="AutoNumber">
    <vt:lpwstr>03315306</vt:lpwstr>
  </property>
  <property fmtid="{D5CDD505-2E9C-101B-9397-08002B2CF9AE}" pid="11" name="SDDocDate">
    <vt:lpwstr>2006-06-14T00:00:00Z</vt:lpwstr>
  </property>
  <property fmtid="{D5CDD505-2E9C-101B-9397-08002B2CF9AE}" pid="12" name="SDHebDate">
    <vt:lpwstr>י"ח בסיון, התשס"ו</vt:lpwstr>
  </property>
  <property fmtid="{D5CDD505-2E9C-101B-9397-08002B2CF9AE}" pid="13" name="SDCategories">
    <vt:lpwstr>:דף הבית:נושאים:חקיקה:נוסח לדיון מוקדם;#:הלשכה המשפטית:הצעות חוק - כנסת 17;#</vt:lpwstr>
  </property>
  <property fmtid="{D5CDD505-2E9C-101B-9397-08002B2CF9AE}" pid="14" name="SDAuthor">
    <vt:lpwstr>עדי טייכר</vt:lpwstr>
  </property>
  <property fmtid="{D5CDD505-2E9C-101B-9397-08002B2CF9AE}" pid="15" name="SDOfflineTo">
    <vt:lpwstr/>
  </property>
  <property fmtid="{D5CDD505-2E9C-101B-9397-08002B2CF9AE}" pid="16" name="SDDistList">
    <vt:lpwstr/>
  </property>
  <property fmtid="{D5CDD505-2E9C-101B-9397-08002B2CF9AE}" pid="17" name="SDDistDate">
    <vt:lpwstr/>
  </property>
  <property fmtid="{D5CDD505-2E9C-101B-9397-08002B2CF9AE}" pid="18" name="SDOriginalID">
    <vt:lpwstr/>
  </property>
  <property fmtid="{D5CDD505-2E9C-101B-9397-08002B2CF9AE}" pid="19" name="SDSenderName">
    <vt:lpwstr/>
  </property>
  <property fmtid="{D5CDD505-2E9C-101B-9397-08002B2CF9AE}" pid="20" name="SDToList">
    <vt:lpwstr/>
  </property>
  <property fmtid="{D5CDD505-2E9C-101B-9397-08002B2CF9AE}" pid="21" name="SDCCList">
    <vt:lpwstr/>
  </property>
  <property fmtid="{D5CDD505-2E9C-101B-9397-08002B2CF9AE}" pid="22" name="STHasReminders">
    <vt:lpwstr>0</vt:lpwstr>
  </property>
  <property fmtid="{D5CDD505-2E9C-101B-9397-08002B2CF9AE}" pid="23" name="SDLink">
    <vt:lpwstr>, </vt:lpwstr>
  </property>
  <property fmtid="{D5CDD505-2E9C-101B-9397-08002B2CF9AE}" pid="24" name="Writer_UserList">
    <vt:lpwstr/>
  </property>
  <property fmtid="{D5CDD505-2E9C-101B-9397-08002B2CF9AE}" pid="25" name="NoseA">
    <vt:lpwstr/>
  </property>
  <property fmtid="{D5CDD505-2E9C-101B-9397-08002B2CF9AE}" pid="26" name="NoseB">
    <vt:lpwstr/>
  </property>
  <property fmtid="{D5CDD505-2E9C-101B-9397-08002B2CF9AE}" pid="27" name="MisHatzaatChok">
    <vt:lpwstr/>
  </property>
  <property fmtid="{D5CDD505-2E9C-101B-9397-08002B2CF9AE}" pid="28" name="To1">
    <vt:lpwstr/>
  </property>
  <property fmtid="{D5CDD505-2E9C-101B-9397-08002B2CF9AE}" pid="29" name="To">
    <vt:lpwstr/>
  </property>
  <property fmtid="{D5CDD505-2E9C-101B-9397-08002B2CF9AE}" pid="30" name="body">
    <vt:lpwstr/>
  </property>
  <property fmtid="{D5CDD505-2E9C-101B-9397-08002B2CF9AE}" pid="31" name="Cc">
    <vt:lpwstr/>
  </property>
  <property fmtid="{D5CDD505-2E9C-101B-9397-08002B2CF9AE}" pid="32" name="From">
    <vt:lpwstr/>
  </property>
  <property fmtid="{D5CDD505-2E9C-101B-9397-08002B2CF9AE}" pid="33" name="Metapel_UserList">
    <vt:lpwstr/>
  </property>
  <property fmtid="{D5CDD505-2E9C-101B-9397-08002B2CF9AE}" pid="34" name="יוזם הצעת החוק">
    <vt:lpwstr/>
  </property>
  <property fmtid="{D5CDD505-2E9C-101B-9397-08002B2CF9AE}" pid="35" name="מספר חוברת">
    <vt:lpwstr/>
  </property>
  <property fmtid="{D5CDD505-2E9C-101B-9397-08002B2CF9AE}" pid="36" name="ValidFrom">
    <vt:lpwstr/>
  </property>
  <property fmtid="{D5CDD505-2E9C-101B-9397-08002B2CF9AE}" pid="37" name="ValidUntill">
    <vt:lpwstr/>
  </property>
  <property fmtid="{D5CDD505-2E9C-101B-9397-08002B2CF9AE}" pid="38" name="HokDate1">
    <vt:lpwstr/>
  </property>
  <property fmtid="{D5CDD505-2E9C-101B-9397-08002B2CF9AE}" pid="39" name="HokNumBook">
    <vt:lpwstr/>
  </property>
  <property fmtid="{D5CDD505-2E9C-101B-9397-08002B2CF9AE}" pid="40" name="SDRemark">
    <vt:lpwstr/>
  </property>
  <property fmtid="{D5CDD505-2E9C-101B-9397-08002B2CF9AE}" pid="41" name="HebrewDate">
    <vt:lpwstr/>
  </property>
  <property fmtid="{D5CDD505-2E9C-101B-9397-08002B2CF9AE}" pid="42" name="ContentTypeId">
    <vt:lpwstr>0x0101004AEDB822EB0F7C488BBBAE3C0C973DE7007B5169F891EDFE45ACBB09C66665E386</vt:lpwstr>
  </property>
</Properties>
</file>