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C63F7">
      <w:pPr>
        <w:pStyle w:val="a3"/>
        <w:rPr>
          <w:rFonts w:cs="David"/>
          <w:b w:val="0"/>
          <w:bCs w:val="0"/>
          <w:sz w:val="26"/>
          <w:szCs w:val="26"/>
          <w:u w:val="none"/>
          <w:rtl/>
        </w:rPr>
      </w:pPr>
      <w:bookmarkStart w:id="0" w:name="_GoBack"/>
      <w:bookmarkEnd w:id="0"/>
      <w:r>
        <w:rPr>
          <w:rFonts w:cs="David"/>
          <w:u w:val="none"/>
          <w:rtl/>
        </w:rPr>
        <w:t>הכנסת השבע-עשרה</w:t>
      </w:r>
    </w:p>
    <w:p w:rsidR="00000000" w:rsidRDefault="000C63F7">
      <w:pPr>
        <w:rPr>
          <w:rFonts w:cs="David"/>
          <w:sz w:val="26"/>
          <w:szCs w:val="26"/>
          <w:rtl/>
        </w:rPr>
      </w:pPr>
    </w:p>
    <w:p w:rsidR="00000000" w:rsidRDefault="000C63F7">
      <w:pPr>
        <w:jc w:val="right"/>
        <w:rPr>
          <w:rFonts w:cs="David"/>
          <w:sz w:val="26"/>
          <w:szCs w:val="26"/>
          <w:rtl/>
        </w:rPr>
      </w:pPr>
      <w:r>
        <w:rPr>
          <w:rFonts w:cs="David"/>
          <w:sz w:val="26"/>
          <w:szCs w:val="26"/>
          <w:rtl/>
        </w:rPr>
        <w:t xml:space="preserve">הצעת חוק של חבר הכנסת </w:t>
      </w:r>
      <w:r>
        <w:rPr>
          <w:rFonts w:cs="David"/>
          <w:b/>
          <w:bCs/>
          <w:sz w:val="26"/>
          <w:szCs w:val="26"/>
          <w:rtl/>
        </w:rPr>
        <w:t>זבולון אורלב</w:t>
      </w:r>
    </w:p>
    <w:p w:rsidR="00000000" w:rsidRDefault="000C63F7">
      <w:pPr>
        <w:ind w:left="6866"/>
        <w:rPr>
          <w:rFonts w:cs="David"/>
          <w:sz w:val="26"/>
          <w:szCs w:val="26"/>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45pt;margin-top:5pt;width:54pt;height:18pt;z-index:251658240" stroked="f">
            <v:textbox style="mso-next-textbox:#_x0000_s1026" inset="0,0,0,0">
              <w:txbxContent>
                <w:p w:rsidR="00000000" w:rsidRDefault="000C63F7">
                  <w:pPr>
                    <w:jc w:val="center"/>
                    <w:rPr>
                      <w:rFonts w:cs="David"/>
                      <w:b/>
                      <w:bCs/>
                      <w:sz w:val="26"/>
                      <w:szCs w:val="26"/>
                      <w:rtl/>
                    </w:rPr>
                  </w:pPr>
                  <w:r>
                    <w:rPr>
                      <w:rFonts w:cs="David"/>
                      <w:b/>
                      <w:bCs/>
                      <w:sz w:val="26"/>
                      <w:szCs w:val="26"/>
                      <w:rtl/>
                    </w:rPr>
                    <w:t>פ/1257/17</w:t>
                  </w:r>
                </w:p>
              </w:txbxContent>
            </v:textbox>
            <w10:anchorlock/>
          </v:shape>
        </w:pict>
      </w:r>
    </w:p>
    <w:p w:rsidR="00000000" w:rsidRDefault="000C63F7">
      <w:pPr>
        <w:rPr>
          <w:rFonts w:cs="David"/>
          <w:sz w:val="26"/>
          <w:szCs w:val="26"/>
          <w:rtl/>
        </w:rPr>
      </w:pPr>
      <w:r>
        <w:rPr>
          <w:rFonts w:cs="David"/>
          <w:sz w:val="26"/>
          <w:szCs w:val="26"/>
          <w:rtl/>
        </w:rPr>
        <w:t xml:space="preserve">         </w:t>
      </w:r>
    </w:p>
    <w:p w:rsidR="00000000" w:rsidRDefault="000C63F7">
      <w:pPr>
        <w:rPr>
          <w:rFonts w:cs="David"/>
          <w:sz w:val="26"/>
          <w:szCs w:val="26"/>
          <w:rtl/>
        </w:rPr>
      </w:pPr>
    </w:p>
    <w:p w:rsidR="00000000" w:rsidRDefault="000C63F7">
      <w:pPr>
        <w:pStyle w:val="1"/>
        <w:rPr>
          <w:rFonts w:cs="David"/>
          <w:u w:val="none"/>
          <w:rtl/>
        </w:rPr>
      </w:pPr>
      <w:r>
        <w:rPr>
          <w:rFonts w:cs="David"/>
          <w:u w:val="none"/>
          <w:rtl/>
        </w:rPr>
        <w:t>הצעת חוק ייחוד כספי הקצבות  למטרות רווחה ברשויות המקומיות,</w:t>
      </w:r>
    </w:p>
    <w:p w:rsidR="00000000" w:rsidRDefault="000C63F7">
      <w:pPr>
        <w:pStyle w:val="1"/>
        <w:rPr>
          <w:rFonts w:cs="David"/>
          <w:sz w:val="26"/>
          <w:szCs w:val="26"/>
          <w:u w:val="none"/>
          <w:rtl/>
        </w:rPr>
      </w:pPr>
      <w:r>
        <w:rPr>
          <w:rFonts w:cs="David"/>
          <w:u w:val="none"/>
          <w:rtl/>
        </w:rPr>
        <w:t xml:space="preserve"> התשס"ו-</w:t>
      </w:r>
      <w:r>
        <w:rPr>
          <w:rFonts w:cs="David"/>
          <w:sz w:val="26"/>
          <w:szCs w:val="26"/>
          <w:u w:val="none"/>
          <w:rtl/>
        </w:rPr>
        <w:t>2006</w:t>
      </w:r>
    </w:p>
    <w:p w:rsidR="00000000" w:rsidRDefault="000C63F7">
      <w:pPr>
        <w:rPr>
          <w:rFonts w:cs="David"/>
          <w:sz w:val="26"/>
          <w:szCs w:val="26"/>
          <w:rtl/>
        </w:rPr>
      </w:pPr>
    </w:p>
    <w:p w:rsidR="00000000" w:rsidRDefault="000C63F7">
      <w:pPr>
        <w:ind w:left="6866"/>
        <w:rPr>
          <w:rFonts w:cs="David"/>
          <w:sz w:val="26"/>
          <w:szCs w:val="26"/>
          <w:rtl/>
        </w:rPr>
      </w:pPr>
    </w:p>
    <w:p w:rsidR="00000000" w:rsidRDefault="000C63F7">
      <w:pPr>
        <w:jc w:val="center"/>
        <w:rPr>
          <w:rFonts w:cs="David"/>
          <w:sz w:val="26"/>
          <w:szCs w:val="26"/>
          <w:rtl/>
        </w:rPr>
      </w:pPr>
    </w:p>
    <w:tbl>
      <w:tblPr>
        <w:bidiVisual/>
        <w:tblW w:w="9083" w:type="dxa"/>
        <w:tblInd w:w="-663" w:type="dxa"/>
        <w:tblCellMar>
          <w:left w:w="57" w:type="dxa"/>
          <w:right w:w="57" w:type="dxa"/>
        </w:tblCellMar>
        <w:tblLook w:val="0000" w:firstRow="0" w:lastRow="0" w:firstColumn="0" w:lastColumn="0" w:noHBand="0" w:noVBand="0"/>
      </w:tblPr>
      <w:tblGrid>
        <w:gridCol w:w="1145"/>
        <w:gridCol w:w="558"/>
        <w:gridCol w:w="7380"/>
      </w:tblGrid>
      <w:tr w:rsidR="00000000">
        <w:tblPrEx>
          <w:tblCellMar>
            <w:top w:w="0" w:type="dxa"/>
            <w:bottom w:w="0" w:type="dxa"/>
          </w:tblCellMar>
        </w:tblPrEx>
        <w:trPr>
          <w:cantSplit/>
        </w:trPr>
        <w:tc>
          <w:tcPr>
            <w:tcW w:w="9083" w:type="dxa"/>
            <w:gridSpan w:val="3"/>
            <w:tcBorders>
              <w:top w:val="nil"/>
              <w:left w:val="nil"/>
              <w:bottom w:val="nil"/>
              <w:right w:val="nil"/>
            </w:tcBorders>
          </w:tcPr>
          <w:p w:rsidR="00000000" w:rsidRDefault="000C63F7">
            <w:pPr>
              <w:spacing w:after="120"/>
              <w:jc w:val="center"/>
              <w:rPr>
                <w:rFonts w:cs="David"/>
                <w:b/>
                <w:bCs/>
                <w:sz w:val="26"/>
                <w:szCs w:val="26"/>
              </w:rPr>
            </w:pPr>
            <w:r>
              <w:rPr>
                <w:rFonts w:cs="David"/>
                <w:b/>
                <w:bCs/>
                <w:sz w:val="26"/>
                <w:szCs w:val="26"/>
                <w:rtl/>
              </w:rPr>
              <w:t>פרק</w:t>
            </w:r>
            <w:r>
              <w:rPr>
                <w:rFonts w:cs="David"/>
                <w:b/>
                <w:bCs/>
                <w:sz w:val="26"/>
                <w:szCs w:val="26"/>
                <w:rtl/>
              </w:rPr>
              <w:t xml:space="preserve"> ראשון: כללי</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p>
          <w:p w:rsidR="00000000" w:rsidRDefault="000C63F7">
            <w:pPr>
              <w:spacing w:after="120"/>
              <w:rPr>
                <w:rFonts w:cs="David"/>
                <w:sz w:val="26"/>
                <w:szCs w:val="26"/>
                <w:rtl/>
              </w:rPr>
            </w:pPr>
            <w:r>
              <w:rPr>
                <w:rFonts w:cs="David"/>
                <w:sz w:val="26"/>
                <w:szCs w:val="26"/>
                <w:rtl/>
              </w:rPr>
              <w:t>הגדרות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p>
          <w:p w:rsidR="00000000" w:rsidRDefault="000C63F7">
            <w:pPr>
              <w:spacing w:after="120" w:line="360" w:lineRule="auto"/>
              <w:rPr>
                <w:rFonts w:cs="David"/>
                <w:sz w:val="26"/>
                <w:szCs w:val="26"/>
              </w:rPr>
            </w:pPr>
            <w:r>
              <w:rPr>
                <w:rFonts w:cs="David"/>
                <w:sz w:val="26"/>
                <w:szCs w:val="26"/>
                <w:rtl/>
              </w:rPr>
              <w:t>1.</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 xml:space="preserve">בחוק זה - </w:t>
            </w:r>
          </w:p>
          <w:p w:rsidR="00000000" w:rsidRDefault="000C63F7">
            <w:pPr>
              <w:spacing w:after="120" w:line="360" w:lineRule="auto"/>
              <w:jc w:val="both"/>
              <w:rPr>
                <w:rFonts w:cs="David"/>
                <w:sz w:val="26"/>
                <w:szCs w:val="26"/>
                <w:rtl/>
              </w:rPr>
            </w:pPr>
            <w:r>
              <w:rPr>
                <w:rFonts w:cs="David"/>
                <w:sz w:val="26"/>
                <w:szCs w:val="26"/>
                <w:rtl/>
              </w:rPr>
              <w:t>"שירותי רווחה"- כהגדרתם בחוק שירותי הסעד, התשי"ח-1958</w:t>
            </w:r>
            <w:r>
              <w:rPr>
                <w:rStyle w:val="aa"/>
                <w:rFonts w:cs="David"/>
                <w:sz w:val="26"/>
                <w:szCs w:val="26"/>
                <w:rtl/>
              </w:rPr>
              <w:footnoteReference w:id="1"/>
            </w:r>
            <w:r>
              <w:rPr>
                <w:rFonts w:cs="David"/>
                <w:sz w:val="26"/>
                <w:szCs w:val="26"/>
                <w:rtl/>
              </w:rPr>
              <w:t>;</w:t>
            </w:r>
          </w:p>
          <w:p w:rsidR="00000000" w:rsidRDefault="000C63F7">
            <w:pPr>
              <w:spacing w:after="120" w:line="360" w:lineRule="auto"/>
              <w:jc w:val="both"/>
              <w:rPr>
                <w:rFonts w:cs="David"/>
                <w:sz w:val="26"/>
                <w:szCs w:val="26"/>
                <w:rtl/>
              </w:rPr>
            </w:pPr>
            <w:r>
              <w:rPr>
                <w:rFonts w:cs="David"/>
                <w:sz w:val="26"/>
                <w:szCs w:val="26"/>
                <w:rtl/>
              </w:rPr>
              <w:t>"רשות מקומית" –  עיריה או מועצה מקומית;</w:t>
            </w:r>
          </w:p>
          <w:p w:rsidR="00000000" w:rsidRDefault="000C63F7">
            <w:pPr>
              <w:spacing w:after="120" w:line="360" w:lineRule="auto"/>
              <w:jc w:val="both"/>
              <w:rPr>
                <w:rFonts w:cs="David"/>
                <w:sz w:val="26"/>
                <w:szCs w:val="26"/>
                <w:rtl/>
              </w:rPr>
            </w:pPr>
            <w:r>
              <w:rPr>
                <w:rFonts w:cs="David"/>
                <w:sz w:val="26"/>
                <w:szCs w:val="26"/>
                <w:rtl/>
              </w:rPr>
              <w:t>"קנס נמשך" –  קנס כאמור בסעיף 61(ג) לחוק העונשין, התשל"ז –1977</w:t>
            </w:r>
            <w:r>
              <w:rPr>
                <w:rStyle w:val="aa"/>
                <w:rFonts w:cs="David"/>
                <w:sz w:val="26"/>
                <w:szCs w:val="26"/>
                <w:rtl/>
              </w:rPr>
              <w:footnoteReference w:id="2"/>
            </w:r>
            <w:r>
              <w:rPr>
                <w:rFonts w:cs="David"/>
                <w:sz w:val="26"/>
                <w:szCs w:val="26"/>
                <w:rtl/>
              </w:rPr>
              <w:t xml:space="preserve"> ,שבו נמשכה הע</w:t>
            </w:r>
            <w:r>
              <w:rPr>
                <w:rFonts w:cs="David"/>
                <w:sz w:val="26"/>
                <w:szCs w:val="26"/>
                <w:rtl/>
              </w:rPr>
              <w:t>בירה;</w:t>
            </w:r>
          </w:p>
          <w:p w:rsidR="00000000" w:rsidRDefault="000C63F7">
            <w:pPr>
              <w:spacing w:after="120" w:line="360" w:lineRule="auto"/>
              <w:jc w:val="both"/>
              <w:rPr>
                <w:rFonts w:cs="David"/>
                <w:sz w:val="26"/>
                <w:szCs w:val="26"/>
                <w:rtl/>
              </w:rPr>
            </w:pPr>
            <w:r>
              <w:rPr>
                <w:rFonts w:cs="David"/>
                <w:sz w:val="26"/>
                <w:szCs w:val="26"/>
                <w:rtl/>
              </w:rPr>
              <w:t>"המשרד" -  משרד הרווחה;</w:t>
            </w:r>
          </w:p>
          <w:p w:rsidR="00000000" w:rsidRDefault="000C63F7">
            <w:pPr>
              <w:spacing w:after="120" w:line="360" w:lineRule="auto"/>
              <w:jc w:val="both"/>
              <w:rPr>
                <w:rFonts w:cs="David"/>
                <w:sz w:val="26"/>
                <w:szCs w:val="26"/>
                <w:rtl/>
              </w:rPr>
            </w:pPr>
            <w:r>
              <w:rPr>
                <w:rFonts w:cs="David"/>
                <w:sz w:val="26"/>
                <w:szCs w:val="26"/>
                <w:rtl/>
              </w:rPr>
              <w:t>"הקצבות" - כל התשלומים המועברים עלידי המשרד או מתקציב המדינה לרשויות החינוך המקומיות לשם מימונם של שירותי רווחה.</w:t>
            </w:r>
          </w:p>
          <w:p w:rsidR="00000000" w:rsidRDefault="000C63F7">
            <w:pPr>
              <w:spacing w:after="120" w:line="360" w:lineRule="auto"/>
              <w:jc w:val="both"/>
              <w:rPr>
                <w:rFonts w:cs="David"/>
                <w:sz w:val="26"/>
                <w:szCs w:val="26"/>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מטרה</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2.</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מטרת חוק זה היא הגברת יציבותה של מערכת הרווחה על ידי ייחודן של ההקצבות למטרות מתן שירותי הרווחה בלבד.</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ייחוד הקצבות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3.</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רשות מקומית לא תשתמש בהקצבות אלא למטרת מתן שירותי הרווחה שבתחומה.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הסדרת העברת ההקצבות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4.</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הסדרת העברת ההקצבות מן המשרד ומן המדינה לרשויות החינוך המקומיות תתבצע על פי הוראות הפרק השלישי לחוק זה.</w:t>
            </w:r>
          </w:p>
        </w:tc>
      </w:tr>
      <w:tr w:rsidR="00000000">
        <w:tblPrEx>
          <w:tblCellMar>
            <w:top w:w="0" w:type="dxa"/>
            <w:bottom w:w="0" w:type="dxa"/>
          </w:tblCellMar>
        </w:tblPrEx>
        <w:trPr>
          <w:cantSplit/>
        </w:trPr>
        <w:tc>
          <w:tcPr>
            <w:tcW w:w="9083" w:type="dxa"/>
            <w:gridSpan w:val="3"/>
            <w:tcBorders>
              <w:top w:val="nil"/>
              <w:left w:val="nil"/>
              <w:bottom w:val="nil"/>
              <w:right w:val="nil"/>
            </w:tcBorders>
          </w:tcPr>
          <w:p w:rsidR="00000000" w:rsidRDefault="000C63F7">
            <w:pPr>
              <w:spacing w:line="360" w:lineRule="auto"/>
              <w:jc w:val="center"/>
              <w:rPr>
                <w:rFonts w:cs="David"/>
                <w:sz w:val="26"/>
                <w:szCs w:val="26"/>
                <w:rtl/>
              </w:rPr>
            </w:pPr>
          </w:p>
          <w:p w:rsidR="00000000" w:rsidRDefault="000C63F7">
            <w:pPr>
              <w:spacing w:line="360" w:lineRule="auto"/>
              <w:jc w:val="center"/>
              <w:rPr>
                <w:rFonts w:cs="David"/>
                <w:sz w:val="26"/>
                <w:szCs w:val="26"/>
              </w:rPr>
            </w:pPr>
            <w:r>
              <w:rPr>
                <w:rFonts w:cs="David"/>
                <w:sz w:val="26"/>
                <w:szCs w:val="26"/>
                <w:rtl/>
              </w:rPr>
              <w:t>פרק שני: הסדרת העברת ההקצבות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חשבון בנק נפרד</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5.</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רשות מקומית תנהל את כספי ההקצבות למטרות רווחה בחשבון בנק נפרד, המיועד אך ורק למטרה זו (להלן - "החשבון").</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ייחוד החשבון</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6.</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החשבון לא ישמש את הרשות אלא לשם קיום מטרותיו של חוק זה.</w:t>
            </w:r>
          </w:p>
          <w:p w:rsidR="00000000" w:rsidRDefault="000C63F7">
            <w:pPr>
              <w:spacing w:line="360" w:lineRule="auto"/>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lastRenderedPageBreak/>
              <w:t>מינוי ממונה</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7.</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ראש רשות מקומית ימנה אדם מטעמו (להלן - "הממונה") אשר יהיה</w:t>
            </w:r>
            <w:r>
              <w:rPr>
                <w:rFonts w:cs="David"/>
                <w:b w:val="0"/>
                <w:bCs w:val="0"/>
                <w:rtl/>
              </w:rPr>
              <w:t xml:space="preserve"> מופקד על ניהולו של החשבון על פי הוראות חוק זה; דבר מינויו של הממונה ופרטיו יפורסמו ברשומות.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אחריות ראש הרשות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8.</w:t>
            </w:r>
          </w:p>
        </w:tc>
        <w:tc>
          <w:tcPr>
            <w:tcW w:w="7380" w:type="dxa"/>
            <w:tcBorders>
              <w:top w:val="nil"/>
              <w:left w:val="nil"/>
              <w:bottom w:val="nil"/>
              <w:right w:val="nil"/>
            </w:tcBorders>
          </w:tcPr>
          <w:p w:rsidR="00000000" w:rsidRDefault="000C63F7">
            <w:pPr>
              <w:spacing w:line="360" w:lineRule="auto"/>
              <w:rPr>
                <w:rFonts w:cs="David"/>
                <w:sz w:val="26"/>
                <w:szCs w:val="26"/>
                <w:rtl/>
              </w:rPr>
            </w:pPr>
            <w:r>
              <w:rPr>
                <w:rFonts w:cs="David"/>
                <w:sz w:val="26"/>
                <w:szCs w:val="26"/>
                <w:rtl/>
              </w:rPr>
              <w:t>לא מינה ראש רשות מקומית ממונה, יישא ראש הרשות המקומית באחריות כממונה עד  למינויו של הממונה.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זכות החתימה בחשבון</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9.</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משיכת כספים מן החשבון תחייב</w:t>
            </w:r>
            <w:r>
              <w:rPr>
                <w:rFonts w:cs="David"/>
                <w:sz w:val="26"/>
                <w:szCs w:val="26"/>
                <w:rtl/>
              </w:rPr>
              <w:t xml:space="preserve"> שתי חתימות: חתימתו של העומד בראש הרשות המקומית או ממלא מקומו וחתימתו של הממונה.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פטור מעיקול</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10.</w:t>
            </w: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הכספים שבחשבון יהיו פטורים מעיקול על פי כל דין ואולם, בית דין לעבודה, על פי תביעתו של עובד רשות מקומית המועסק במתן שירותי רווחה שלשם קיומם הועברו ההקצבות, רשא</w:t>
            </w:r>
            <w:r>
              <w:rPr>
                <w:rFonts w:cs="David"/>
                <w:sz w:val="26"/>
                <w:szCs w:val="26"/>
                <w:rtl/>
              </w:rPr>
              <w:t>י להטיל עיקול על הכספים שבחשבון.</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p>
        </w:tc>
        <w:tc>
          <w:tcPr>
            <w:tcW w:w="558" w:type="dxa"/>
            <w:tcBorders>
              <w:top w:val="nil"/>
              <w:left w:val="nil"/>
              <w:bottom w:val="nil"/>
              <w:right w:val="nil"/>
            </w:tcBorders>
          </w:tcPr>
          <w:p w:rsidR="00000000" w:rsidRDefault="000C63F7">
            <w:pPr>
              <w:spacing w:after="120" w:line="360" w:lineRule="auto"/>
              <w:rPr>
                <w:rFonts w:cs="David"/>
                <w:sz w:val="26"/>
                <w:szCs w:val="26"/>
                <w:rtl/>
              </w:rPr>
            </w:pPr>
          </w:p>
        </w:tc>
        <w:tc>
          <w:tcPr>
            <w:tcW w:w="7380" w:type="dxa"/>
            <w:tcBorders>
              <w:top w:val="nil"/>
              <w:left w:val="nil"/>
              <w:bottom w:val="nil"/>
              <w:right w:val="nil"/>
            </w:tcBorders>
          </w:tcPr>
          <w:p w:rsidR="00000000" w:rsidRDefault="000C63F7">
            <w:pPr>
              <w:spacing w:after="120" w:line="360" w:lineRule="auto"/>
              <w:jc w:val="center"/>
              <w:rPr>
                <w:rFonts w:cs="David"/>
                <w:sz w:val="26"/>
                <w:szCs w:val="26"/>
                <w:rtl/>
              </w:rPr>
            </w:pPr>
            <w:r>
              <w:rPr>
                <w:rFonts w:cs="David"/>
                <w:sz w:val="26"/>
                <w:szCs w:val="26"/>
                <w:rtl/>
              </w:rPr>
              <w:t>פרק שלישי: העברת הקצבות</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העברת הקצבות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11.</w:t>
            </w:r>
          </w:p>
          <w:p w:rsidR="00000000" w:rsidRDefault="000C63F7">
            <w:pPr>
              <w:spacing w:after="120" w:line="360" w:lineRule="auto"/>
              <w:rPr>
                <w:rFonts w:cs="David"/>
                <w:sz w:val="26"/>
                <w:szCs w:val="26"/>
                <w:rtl/>
              </w:rPr>
            </w:pPr>
          </w:p>
        </w:tc>
        <w:tc>
          <w:tcPr>
            <w:tcW w:w="7380" w:type="dxa"/>
            <w:tcBorders>
              <w:top w:val="nil"/>
              <w:left w:val="nil"/>
              <w:bottom w:val="nil"/>
              <w:right w:val="nil"/>
            </w:tcBorders>
          </w:tcPr>
          <w:p w:rsidR="00000000" w:rsidRDefault="000C63F7">
            <w:pPr>
              <w:spacing w:after="120" w:line="360" w:lineRule="auto"/>
              <w:jc w:val="both"/>
              <w:rPr>
                <w:rFonts w:cs="David"/>
                <w:sz w:val="26"/>
                <w:szCs w:val="26"/>
                <w:rtl/>
              </w:rPr>
            </w:pPr>
            <w:r>
              <w:rPr>
                <w:rFonts w:cs="David"/>
                <w:sz w:val="26"/>
                <w:szCs w:val="26"/>
                <w:rtl/>
              </w:rPr>
              <w:t>המשרד והמדינה לא יעבירו הקצבות לרשות מקומית שאינה פועלת על פי הוראות חוק זה.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בקשת הקצבות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12.</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רשות מקומית המבקשת לקבל הקצבות מן המשרד או מן המדינה תפנה למשרד, אחת לשנה, ביום הרא</w:t>
            </w:r>
            <w:r>
              <w:rPr>
                <w:rFonts w:cs="David"/>
                <w:b w:val="0"/>
                <w:bCs w:val="0"/>
                <w:rtl/>
              </w:rPr>
              <w:t>שון לחודש פברואר, על גבי טופס שייקבע.</w:t>
            </w:r>
          </w:p>
          <w:p w:rsidR="00000000" w:rsidRDefault="000C63F7">
            <w:pPr>
              <w:spacing w:after="120" w:line="360" w:lineRule="auto"/>
              <w:jc w:val="both"/>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פניית הממונה</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13.</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ממונה מטעם רשות מקומית יאשר את קבלת האחריות כממונה לראשונה עם מינויו וכן אחת לשנה, ביום הראשון לחודש אוגוסט; אישור כאמור ייערך על גבי טופס שייקבע.</w:t>
            </w:r>
          </w:p>
          <w:p w:rsidR="00000000" w:rsidRDefault="000C63F7">
            <w:pPr>
              <w:spacing w:after="120" w:line="360" w:lineRule="auto"/>
              <w:jc w:val="both"/>
              <w:rPr>
                <w:rFonts w:cs="David"/>
                <w:sz w:val="26"/>
                <w:szCs w:val="26"/>
                <w:rtl/>
              </w:rPr>
            </w:pP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העברה לחשבונות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14.</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 xml:space="preserve">המשרד והמדינה לא יעבירו הקצבות </w:t>
            </w:r>
            <w:r>
              <w:rPr>
                <w:rFonts w:cs="David"/>
                <w:b w:val="0"/>
                <w:bCs w:val="0"/>
                <w:rtl/>
              </w:rPr>
              <w:t>לרשויות המקומיות למטרות רווחה אלא, במישרין, לחשבונות שנפתחו ואשר מנוהלים על פי הוראות חוק זה.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p>
        </w:tc>
        <w:tc>
          <w:tcPr>
            <w:tcW w:w="558" w:type="dxa"/>
            <w:tcBorders>
              <w:top w:val="nil"/>
              <w:left w:val="nil"/>
              <w:bottom w:val="nil"/>
              <w:right w:val="nil"/>
            </w:tcBorders>
          </w:tcPr>
          <w:p w:rsidR="00000000" w:rsidRDefault="000C63F7">
            <w:pPr>
              <w:spacing w:after="120" w:line="360" w:lineRule="auto"/>
              <w:rPr>
                <w:rFonts w:cs="David"/>
                <w:sz w:val="26"/>
                <w:szCs w:val="26"/>
                <w:rtl/>
              </w:rPr>
            </w:pPr>
          </w:p>
        </w:tc>
        <w:tc>
          <w:tcPr>
            <w:tcW w:w="7380" w:type="dxa"/>
            <w:tcBorders>
              <w:top w:val="nil"/>
              <w:left w:val="nil"/>
              <w:bottom w:val="nil"/>
              <w:right w:val="nil"/>
            </w:tcBorders>
          </w:tcPr>
          <w:p w:rsidR="00000000" w:rsidRDefault="000C63F7">
            <w:pPr>
              <w:pStyle w:val="2"/>
              <w:spacing w:line="360" w:lineRule="auto"/>
              <w:jc w:val="center"/>
              <w:rPr>
                <w:rFonts w:cs="David"/>
                <w:b w:val="0"/>
                <w:bCs w:val="0"/>
                <w:rtl/>
              </w:rPr>
            </w:pPr>
            <w:r>
              <w:rPr>
                <w:rFonts w:cs="David"/>
                <w:b w:val="0"/>
                <w:bCs w:val="0"/>
                <w:rtl/>
              </w:rPr>
              <w:t>פרק רביעי: עונשין</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אי מינוי ממונה</w:t>
            </w:r>
          </w:p>
          <w:p w:rsidR="00000000" w:rsidRDefault="000C63F7">
            <w:pPr>
              <w:spacing w:after="120"/>
              <w:rPr>
                <w:rFonts w:cs="David"/>
                <w:sz w:val="26"/>
                <w:szCs w:val="26"/>
                <w:rtl/>
              </w:rPr>
            </w:pP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15.</w:t>
            </w:r>
          </w:p>
          <w:p w:rsidR="00000000" w:rsidRDefault="000C63F7">
            <w:pPr>
              <w:spacing w:after="120" w:line="360" w:lineRule="auto"/>
              <w:rPr>
                <w:rFonts w:cs="David"/>
                <w:sz w:val="26"/>
                <w:szCs w:val="26"/>
                <w:rtl/>
              </w:rPr>
            </w:pP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ראש רשות מקומית שלא מינה ממונה דינו - שנת מאסר וקנס נמשך.</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שימוש פסול בהקצבות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16.</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העושה שימוש בהקצבות למטרה שאינה לשם מ</w:t>
            </w:r>
            <w:r>
              <w:rPr>
                <w:rFonts w:cs="David"/>
                <w:b w:val="0"/>
                <w:bCs w:val="0"/>
                <w:rtl/>
              </w:rPr>
              <w:t xml:space="preserve">תן שירותי רווחה שברשות  המקומית שלה הועברו ההקצבות, דינו - שנתיים מאסר וקנס בסכום השווה ל-60,000 שקלים חדשים ביום פרסומו של חוק זה הצמוד למדד. </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עונשין</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17.</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 xml:space="preserve">העובר על הוראה מהוראות חוק זה, למעט כאמור בסעיפים 15 ו-16  דינו -  שישה חודשי מאסר וקנס בסכום השווה </w:t>
            </w:r>
            <w:r>
              <w:rPr>
                <w:rFonts w:cs="David"/>
                <w:b w:val="0"/>
                <w:bCs w:val="0"/>
                <w:rtl/>
              </w:rPr>
              <w:t>ל-25,000 שקלים חדשים ביום פרסומו של חוק זה הצמוד למדד.</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קובלנה</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18.</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ארגון עובדים, אשר חבר מחבריו מועסק בשירותי הרווחה של רשות מקומית, יהא רשאי להגיש קובלנה פלילית בגין עבירה שבוצעה על ידי אותה רשות מקומית או על ידי מי מטעמה על פי חוק זה.</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 xml:space="preserve">תחילה </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19.</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 xml:space="preserve">תחילתו </w:t>
            </w:r>
            <w:r>
              <w:rPr>
                <w:rFonts w:cs="David"/>
                <w:b w:val="0"/>
                <w:bCs w:val="0"/>
                <w:rtl/>
              </w:rPr>
              <w:t>של חוק זה ביום י"א בטבת התשס"ז (1 בינואר 2007).</w:t>
            </w:r>
          </w:p>
        </w:tc>
      </w:tr>
      <w:tr w:rsidR="00000000">
        <w:tblPrEx>
          <w:tblCellMar>
            <w:top w:w="0" w:type="dxa"/>
            <w:bottom w:w="0" w:type="dxa"/>
          </w:tblCellMar>
        </w:tblPrEx>
        <w:trPr>
          <w:cantSplit/>
        </w:trPr>
        <w:tc>
          <w:tcPr>
            <w:tcW w:w="1145" w:type="dxa"/>
            <w:tcBorders>
              <w:top w:val="nil"/>
              <w:left w:val="nil"/>
              <w:bottom w:val="nil"/>
              <w:right w:val="nil"/>
            </w:tcBorders>
          </w:tcPr>
          <w:p w:rsidR="00000000" w:rsidRDefault="000C63F7">
            <w:pPr>
              <w:spacing w:after="120"/>
              <w:rPr>
                <w:rFonts w:cs="David"/>
                <w:sz w:val="26"/>
                <w:szCs w:val="26"/>
                <w:rtl/>
              </w:rPr>
            </w:pPr>
            <w:r>
              <w:rPr>
                <w:rFonts w:cs="David"/>
                <w:sz w:val="26"/>
                <w:szCs w:val="26"/>
                <w:rtl/>
              </w:rPr>
              <w:t>ביצוע ותקנות</w:t>
            </w:r>
          </w:p>
        </w:tc>
        <w:tc>
          <w:tcPr>
            <w:tcW w:w="558" w:type="dxa"/>
            <w:tcBorders>
              <w:top w:val="nil"/>
              <w:left w:val="nil"/>
              <w:bottom w:val="nil"/>
              <w:right w:val="nil"/>
            </w:tcBorders>
          </w:tcPr>
          <w:p w:rsidR="00000000" w:rsidRDefault="000C63F7">
            <w:pPr>
              <w:spacing w:after="120" w:line="360" w:lineRule="auto"/>
              <w:rPr>
                <w:rFonts w:cs="David"/>
                <w:sz w:val="26"/>
                <w:szCs w:val="26"/>
                <w:rtl/>
              </w:rPr>
            </w:pPr>
            <w:r>
              <w:rPr>
                <w:rFonts w:cs="David"/>
                <w:sz w:val="26"/>
                <w:szCs w:val="26"/>
                <w:rtl/>
              </w:rPr>
              <w:t>20.</w:t>
            </w:r>
          </w:p>
        </w:tc>
        <w:tc>
          <w:tcPr>
            <w:tcW w:w="7380" w:type="dxa"/>
            <w:tcBorders>
              <w:top w:val="nil"/>
              <w:left w:val="nil"/>
              <w:bottom w:val="nil"/>
              <w:right w:val="nil"/>
            </w:tcBorders>
          </w:tcPr>
          <w:p w:rsidR="00000000" w:rsidRDefault="000C63F7">
            <w:pPr>
              <w:pStyle w:val="2"/>
              <w:spacing w:line="360" w:lineRule="auto"/>
              <w:rPr>
                <w:rFonts w:cs="David"/>
                <w:b w:val="0"/>
                <w:bCs w:val="0"/>
                <w:rtl/>
              </w:rPr>
            </w:pPr>
            <w:r>
              <w:rPr>
                <w:rFonts w:cs="David"/>
                <w:b w:val="0"/>
                <w:bCs w:val="0"/>
                <w:rtl/>
              </w:rPr>
              <w:t>שר הרווחה ממונה על ביצוע חוק זה והוא רשאי להתקין תקנות לביצועו.</w:t>
            </w:r>
          </w:p>
        </w:tc>
      </w:tr>
    </w:tbl>
    <w:p w:rsidR="00000000" w:rsidRDefault="000C63F7">
      <w:pPr>
        <w:jc w:val="both"/>
        <w:rPr>
          <w:rFonts w:cs="David"/>
          <w:sz w:val="26"/>
          <w:szCs w:val="26"/>
          <w:rtl/>
        </w:rPr>
      </w:pPr>
    </w:p>
    <w:p w:rsidR="00000000" w:rsidRDefault="000C63F7">
      <w:pPr>
        <w:pStyle w:val="3"/>
        <w:rPr>
          <w:rFonts w:cs="David"/>
          <w:b/>
          <w:bCs/>
          <w:sz w:val="28"/>
          <w:szCs w:val="28"/>
          <w:rtl/>
        </w:rPr>
      </w:pPr>
      <w:r>
        <w:rPr>
          <w:rFonts w:cs="David"/>
          <w:b/>
          <w:bCs/>
          <w:sz w:val="28"/>
          <w:szCs w:val="28"/>
          <w:rtl/>
        </w:rPr>
        <w:t>דברי - הסבר</w:t>
      </w:r>
    </w:p>
    <w:p w:rsidR="00000000" w:rsidRDefault="000C63F7">
      <w:pPr>
        <w:jc w:val="both"/>
        <w:rPr>
          <w:rFonts w:cs="David"/>
          <w:b/>
          <w:bCs/>
          <w:sz w:val="26"/>
          <w:szCs w:val="26"/>
          <w:rtl/>
        </w:rPr>
      </w:pPr>
    </w:p>
    <w:p w:rsidR="00000000" w:rsidRDefault="000C63F7">
      <w:pPr>
        <w:jc w:val="both"/>
        <w:rPr>
          <w:rFonts w:cs="David"/>
          <w:sz w:val="26"/>
          <w:szCs w:val="26"/>
          <w:rtl/>
        </w:rPr>
      </w:pPr>
      <w:r>
        <w:rPr>
          <w:rFonts w:cs="David"/>
          <w:sz w:val="26"/>
          <w:szCs w:val="26"/>
          <w:rtl/>
        </w:rPr>
        <w:t>כידוע, זוכות רשויות מקומיות הנותנות שירותי רווחה בתחומיהן, לתמיכה מן המדינה עבור שירותים אלה. לאחרונה, התרבו המ</w:t>
      </w:r>
      <w:r>
        <w:rPr>
          <w:rFonts w:cs="David"/>
          <w:sz w:val="26"/>
          <w:szCs w:val="26"/>
          <w:rtl/>
        </w:rPr>
        <w:t>קרים, שבהם, בשל מצוקות כספיות וחובות שאליהם נקלעו רשויות שונות, העבירה המדינה כספים לרשות מקומית למטרות רווחה ואלה לא הגיעו אל יעדם הנכון. מקרים אלה מאפיינים רשויות מקומיות הנמצאות בחובות ואשר בהן, מיד עם קבלת ההקצבות עבור רווחה, נשאבים הסכומים אל תוך החסר</w:t>
      </w:r>
      <w:r>
        <w:rPr>
          <w:rFonts w:cs="David"/>
          <w:sz w:val="26"/>
          <w:szCs w:val="26"/>
          <w:rtl/>
        </w:rPr>
        <w:t xml:space="preserve"> שבחשבונות הרשויות ולא נודע כי באו ההעברות האמורות אל קירבם. כך גם אירע לא פעם, שהכספים עוקלו על-ידי בעלי חוב שונים של הרשות המקומית ולא הגיעו ליעדם המקורי בשל כך.</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מצב זה הוא מצב בלתי רצוי מסיבות שונות; ראשית, מובן, כי המדינה בהעבירה את הכספים האמורים לרש</w:t>
      </w:r>
      <w:r>
        <w:rPr>
          <w:rFonts w:cs="David"/>
          <w:sz w:val="26"/>
          <w:szCs w:val="26"/>
          <w:rtl/>
        </w:rPr>
        <w:t>ויות המקומיות, מעבירה אותם על מנת שיירכשו בהן שירותי רווחה לנזקקים המתגוררים בתחומי הרשות – כל שימוש אחר סוטה מן התכלית המיועדת לו מלכתחילה ומחטיא, לפיכך, את המטרה. שנית, היבלעותם של הכספים האמורים במערכות הרשויות המקומיות מבלי שיגיעו לייעודם יש בה משום פג</w:t>
      </w:r>
      <w:r>
        <w:rPr>
          <w:rFonts w:cs="David"/>
          <w:sz w:val="26"/>
          <w:szCs w:val="26"/>
          <w:rtl/>
        </w:rPr>
        <w:t xml:space="preserve">יעה קשה במערכת הרווחה המקומית על כל השותפים לה – נזקקים ועובדים סוציאליים כאחד. </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בהצעת חוק זו נעשה ניסיון לוודא, כי הכספים המתוקצבים על-ידי המדינה למימון שירותי רווחה ואשר מועברים לרשויות המקומיות ככאלה, ייוחדו אכן לקידומן של המטרות שלשמן ניתנו. ניסיון זה</w:t>
      </w:r>
      <w:r>
        <w:rPr>
          <w:rFonts w:cs="David"/>
          <w:sz w:val="26"/>
          <w:szCs w:val="26"/>
          <w:rtl/>
        </w:rPr>
        <w:t xml:space="preserve"> עולה בקנה אחד עם רוחו של חוק יסודות התקציב, התשמ"ה–1985, אשר מציב מגבלות נוקשות בעניין העברה מסעיף תקציבי אחד למשנהו ויובהר – במצב הקיים, לאחר העברת הכספים הנדונים לרשויות המקומיות, אין כל בקרה על השימוש שנעשה בהם וכך יוצאים גם עקרונות חוק יסודות התקציב נ</w:t>
      </w:r>
      <w:r>
        <w:rPr>
          <w:rFonts w:cs="David"/>
          <w:sz w:val="26"/>
          <w:szCs w:val="26"/>
          <w:rtl/>
        </w:rPr>
        <w:t>פגעים. יוסף, כי גם סעיף 211 לפקודת העיריות [נוסח חדש], נקבע כי אין ראש עיריה חופשי להעביר כספים מסעיף תקציבי אחד למשנהו.</w:t>
      </w:r>
    </w:p>
    <w:p w:rsidR="00000000" w:rsidRDefault="000C63F7">
      <w:pPr>
        <w:jc w:val="both"/>
        <w:rPr>
          <w:rFonts w:cs="David"/>
          <w:sz w:val="26"/>
          <w:szCs w:val="26"/>
          <w:rtl/>
        </w:rPr>
      </w:pP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פרק שלישי – על מנת להגביר את האפקטיביות של החוק מוצע, שהוראותיו תחייבנה לא רק את מקבלי ההקצבות אלא גם את נותנן. כך קובעת הצעת החוק, כ</w:t>
      </w:r>
      <w:r>
        <w:rPr>
          <w:rFonts w:cs="David"/>
          <w:sz w:val="26"/>
          <w:szCs w:val="26"/>
          <w:rtl/>
        </w:rPr>
        <w:t>י ההקצבות לא תועברנה מלכתחילה אלא לרשות מקומית שעמדה בתנאים המוגדרים בחוק.</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פרק רביעי – מוצע להטיל סנקציות פליליות משמעותיות בצד הפרת הוראות החוק. גישה זו מתיישבת עם התפיסה שבבסיס החוק ולפיה כספי ההקצבות מופקדים בידי הרשות  המקומית כבידיו של נאמן. בכל שימו</w:t>
      </w:r>
      <w:r>
        <w:rPr>
          <w:rFonts w:cs="David"/>
          <w:sz w:val="26"/>
          <w:szCs w:val="26"/>
          <w:rtl/>
        </w:rPr>
        <w:t>ש בכספי ההקצבות בניגוד להוראות החוק המוצע יש משום מעשה הגובל בהפרת אמונים ובמרמה וככזה ראוי לדונו.</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סעיף 16 -  בצידו של סעיף זה נקבע העונש החמור ביותר שהרי הוא עוסק בהפרה ישירה של ההוראה הבסיסית העומדת ביסודו של החוק המוצע.</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סעיף 18 – סעיף זה מאפשר אכיפה פ</w:t>
      </w:r>
      <w:r>
        <w:rPr>
          <w:rFonts w:cs="David"/>
          <w:sz w:val="26"/>
          <w:szCs w:val="26"/>
          <w:rtl/>
        </w:rPr>
        <w:t>רטית של החוק במקרים מסויימים. המציאות מלמדת כי הרשויות האוכפות במדינה אינן עוסקות, לרוב, באכיפת חוקים מעין החוק המוצע. על מנת לאפשר הוצאתו של החוק מן הכוח אל הפועל הלכה למעשה, חשובה סנקציה אפקטיבית בצד הפרת הוראותיו וככזו עלולה שלא להתקיים אם לא תפתח האפשר</w:t>
      </w:r>
      <w:r>
        <w:rPr>
          <w:rFonts w:cs="David"/>
          <w:sz w:val="26"/>
          <w:szCs w:val="26"/>
          <w:rtl/>
        </w:rPr>
        <w:t>ות לאכיפה פרטית. עם זאת, על מנת למנוע הצפתם של בתי המשפט בקובלנות סרק ועל מנת שלא לפגוע פגיעה קשה מן הנדרש במונופול שיש למדינה על אכיפת החוק בדרך כלל, מוצע לייחד את אפשרות האכיפה הפרטית לקובלנות שתוגשנה על ידי ארגון עובדים שלחבר מחבריו עניין בנושא.</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 xml:space="preserve">פתרון </w:t>
      </w:r>
      <w:r>
        <w:rPr>
          <w:rFonts w:cs="David"/>
          <w:sz w:val="26"/>
          <w:szCs w:val="26"/>
          <w:rtl/>
        </w:rPr>
        <w:t>מסוג זה אומץ בדברי חקיקה רבים אשר הקנו מעמד ייחודי, לשם אכיפה פרטית על דרך של הגשת קובלנה, לגופים מקצועיים – ציבוריים שונים ויש בו משום איזון נכון וראוי של האינטרסים המעורבים (לדוגמא: בסעיף 9ד לחוק הדרכים (שילוט), התשכ"ו–1966 ובסעיף 15ב לחוק החומרים המסוכנ</w:t>
      </w:r>
      <w:r>
        <w:rPr>
          <w:rFonts w:cs="David"/>
          <w:sz w:val="26"/>
          <w:szCs w:val="26"/>
          <w:rtl/>
        </w:rPr>
        <w:t>ים, התשנ"ג-1993, ניתנה לגופים ציבוריים האפשרות להגיש קובלנה, וכך גם בסעיף 11ה חוק למניעת מפגעים, התשכ"א – 1961 ובחוקים אחרים נוספים).</w:t>
      </w:r>
    </w:p>
    <w:p w:rsidR="00000000" w:rsidRDefault="000C63F7">
      <w:pPr>
        <w:jc w:val="both"/>
        <w:rPr>
          <w:rFonts w:cs="David"/>
          <w:sz w:val="26"/>
          <w:szCs w:val="26"/>
          <w:rtl/>
        </w:rPr>
      </w:pPr>
    </w:p>
    <w:p w:rsidR="00000000" w:rsidRDefault="000C63F7">
      <w:pPr>
        <w:jc w:val="both"/>
        <w:rPr>
          <w:rFonts w:cs="David"/>
          <w:sz w:val="26"/>
          <w:szCs w:val="26"/>
          <w:rtl/>
        </w:rPr>
      </w:pPr>
      <w:r>
        <w:rPr>
          <w:rFonts w:cs="David"/>
          <w:sz w:val="26"/>
          <w:szCs w:val="26"/>
          <w:rtl/>
        </w:rPr>
        <w:t>הצעת חוק דומה בעיקרה הונחה על שולחן הכנסת השש-עשרה, על ידי חבר הכנסת ואסל טאהא וקבוצת חברי הכנסת (פ/1263); הצעות חוק דומו</w:t>
      </w:r>
      <w:r>
        <w:rPr>
          <w:rFonts w:cs="David"/>
          <w:sz w:val="26"/>
          <w:szCs w:val="26"/>
          <w:rtl/>
        </w:rPr>
        <w:t>ת בעיקרן הונחו על שולחן הכנסת השבע-עשרה על ידי חבר הכנסת ואסל טאהא וקבוצת חברי הכנסת (פ/535/17) ועל ידי חבר הכנסת דוד טל (פ/850/17).</w:t>
      </w:r>
    </w:p>
    <w:p w:rsidR="00000000" w:rsidRDefault="000C63F7">
      <w:pPr>
        <w:jc w:val="both"/>
        <w:rPr>
          <w:rFonts w:cs="David"/>
          <w:sz w:val="26"/>
          <w:szCs w:val="26"/>
          <w:rtl/>
        </w:rPr>
      </w:pPr>
      <w:r>
        <w:rPr>
          <w:rFonts w:cs="David"/>
          <w:sz w:val="26"/>
          <w:szCs w:val="26"/>
          <w:rtl/>
        </w:rPr>
        <w:t>----------------------</w:t>
      </w:r>
    </w:p>
    <w:p w:rsidR="00000000" w:rsidRDefault="000C63F7">
      <w:pPr>
        <w:jc w:val="both"/>
        <w:rPr>
          <w:rFonts w:cs="David"/>
          <w:sz w:val="26"/>
          <w:szCs w:val="26"/>
          <w:rtl/>
        </w:rPr>
      </w:pPr>
      <w:r>
        <w:rPr>
          <w:rFonts w:cs="David"/>
          <w:sz w:val="26"/>
          <w:szCs w:val="26"/>
          <w:rtl/>
        </w:rPr>
        <w:t>הוגשה ליו"ר הכנסת והסגנים</w:t>
      </w:r>
    </w:p>
    <w:p w:rsidR="00000000" w:rsidRDefault="000C63F7">
      <w:pPr>
        <w:jc w:val="both"/>
        <w:rPr>
          <w:rFonts w:cs="David"/>
          <w:sz w:val="26"/>
          <w:szCs w:val="26"/>
          <w:rtl/>
        </w:rPr>
      </w:pPr>
      <w:r>
        <w:rPr>
          <w:rFonts w:cs="David"/>
          <w:sz w:val="26"/>
          <w:szCs w:val="26"/>
          <w:rtl/>
        </w:rPr>
        <w:t>והונחה על שולחן הכנסת ביום</w:t>
      </w:r>
    </w:p>
    <w:p w:rsidR="00000000" w:rsidRDefault="000C63F7">
      <w:pPr>
        <w:jc w:val="both"/>
        <w:rPr>
          <w:rFonts w:cs="David"/>
          <w:sz w:val="26"/>
          <w:szCs w:val="26"/>
          <w:rtl/>
        </w:rPr>
      </w:pPr>
      <w:r>
        <w:rPr>
          <w:rFonts w:cs="David"/>
          <w:sz w:val="26"/>
          <w:szCs w:val="26"/>
          <w:rtl/>
        </w:rPr>
        <w:t>כ"א בתמוז התשס"ו - 17.7.06</w:t>
      </w:r>
    </w:p>
    <w:p w:rsidR="00000000" w:rsidRDefault="000C63F7">
      <w:pPr>
        <w:jc w:val="both"/>
        <w:rPr>
          <w:rFonts w:cs="David"/>
          <w:sz w:val="26"/>
          <w:szCs w:val="26"/>
          <w:rtl/>
        </w:rPr>
      </w:pPr>
    </w:p>
    <w:p w:rsidR="00000000" w:rsidRDefault="000C63F7">
      <w:pPr>
        <w:pStyle w:val="a3"/>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C63F7">
      <w:r>
        <w:separator/>
      </w:r>
    </w:p>
  </w:endnote>
  <w:endnote w:type="continuationSeparator" w:id="0">
    <w:p w:rsidR="00000000" w:rsidRDefault="000C6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C63F7">
      <w:r>
        <w:separator/>
      </w:r>
    </w:p>
  </w:footnote>
  <w:footnote w:type="continuationSeparator" w:id="0">
    <w:p w:rsidR="00000000" w:rsidRDefault="000C63F7">
      <w:r>
        <w:continuationSeparator/>
      </w:r>
    </w:p>
  </w:footnote>
  <w:footnote w:id="1">
    <w:p w:rsidR="00000000" w:rsidRDefault="000C63F7">
      <w:pPr>
        <w:pStyle w:val="a8"/>
      </w:pPr>
      <w:r>
        <w:rPr>
          <w:rStyle w:val="aa"/>
          <w:rFonts w:cs="David"/>
        </w:rPr>
        <w:footnoteRef/>
      </w:r>
      <w:r>
        <w:rPr>
          <w:rFonts w:cs="David"/>
          <w:rtl/>
        </w:rPr>
        <w:t xml:space="preserve"> ס"ח התשי"ח, עמ' 103.</w:t>
      </w:r>
    </w:p>
  </w:footnote>
  <w:footnote w:id="2">
    <w:p w:rsidR="00000000" w:rsidRDefault="000C63F7">
      <w:pPr>
        <w:pStyle w:val="a8"/>
      </w:pPr>
      <w:r>
        <w:rPr>
          <w:rStyle w:val="aa"/>
          <w:rFonts w:cs="David"/>
        </w:rPr>
        <w:footnoteRef/>
      </w:r>
      <w:r>
        <w:rPr>
          <w:rFonts w:cs="David"/>
        </w:rPr>
        <w:t xml:space="preserve"> </w:t>
      </w:r>
      <w:r>
        <w:rPr>
          <w:rFonts w:cs="David"/>
          <w:rtl/>
        </w:rPr>
        <w:t>ס"ח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C63F7">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0C63F7">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7212ééçåã ëñôé ä÷öáåú ìîèøåú øååçä áøùåéåú äî÷åîéåú-àåøìá.doc"/>
    <w:docVar w:name="StartMode" w:val="2"/>
  </w:docVars>
  <w:rsids>
    <w:rsidRoot w:val="000C63F7"/>
    <w:rsid w:val="000C6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sz w:val="28"/>
      <w:szCs w:val="28"/>
      <w:u w:val="single"/>
    </w:rPr>
  </w:style>
  <w:style w:type="paragraph" w:styleId="2">
    <w:name w:val="heading 2"/>
    <w:basedOn w:val="a"/>
    <w:next w:val="a"/>
    <w:link w:val="20"/>
    <w:uiPriority w:val="99"/>
    <w:qFormat/>
    <w:pPr>
      <w:keepNext/>
      <w:spacing w:after="120"/>
      <w:jc w:val="both"/>
      <w:outlineLvl w:val="1"/>
    </w:pPr>
    <w:rPr>
      <w:rFonts w:eastAsia="Times New Roman"/>
      <w:b/>
      <w:bCs/>
      <w:sz w:val="26"/>
      <w:szCs w:val="26"/>
    </w:rPr>
  </w:style>
  <w:style w:type="paragraph" w:styleId="3">
    <w:name w:val="heading 3"/>
    <w:basedOn w:val="a"/>
    <w:next w:val="a"/>
    <w:link w:val="30"/>
    <w:uiPriority w:val="99"/>
    <w:qFormat/>
    <w:pPr>
      <w:keepNext/>
      <w:jc w:val="center"/>
      <w:outlineLvl w:val="2"/>
    </w:pPr>
    <w:rPr>
      <w:rFonts w:eastAsia="Times New Roman"/>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1079</Words>
  <Characters>5400</Characters>
  <Application>Microsoft Office Word</Application>
  <DocSecurity>0</DocSecurity>
  <Lines>45</Lines>
  <Paragraphs>12</Paragraphs>
  <ScaleCrop>false</ScaleCrop>
  <Company>knesset</Company>
  <LinksUpToDate>false</LinksUpToDate>
  <CharactersWithSpaces>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כספי הקצבות למטרות רווחה הרשויות המקומיות, התשס"ו-2006</dc:title>
  <dc:subject/>
  <dc:creator>Knesset</dc:creator>
  <cp:keywords/>
  <dc:description/>
  <cp:lastModifiedBy>שמואל כוכב</cp:lastModifiedBy>
  <cp:revision>2</cp:revision>
  <dcterms:created xsi:type="dcterms:W3CDTF">2015-02-03T16:45:00Z</dcterms:created>
  <dcterms:modified xsi:type="dcterms:W3CDTF">2015-02-03T16:45:00Z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03944406</vt:lpwstr>
  </property>
  <property fmtid="{D5CDD505-2E9C-101B-9397-08002B2CF9AE}" pid="10" name="מספר הצעת חוק למיון">
    <vt:lpwstr>1257</vt:lpwstr>
  </property>
  <property fmtid="{D5CDD505-2E9C-101B-9397-08002B2CF9AE}" pid="11" name="SDDocDate">
    <vt:lpwstr>2006-07-16T00:00:00Z</vt:lpwstr>
  </property>
  <property fmtid="{D5CDD505-2E9C-101B-9397-08002B2CF9AE}" pid="12" name="SDHebDate">
    <vt:lpwstr>כ'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פ/1257/17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