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74EA">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D274EA">
      <w:pPr>
        <w:spacing w:line="360" w:lineRule="auto"/>
        <w:rPr>
          <w:rFonts w:cs="David"/>
          <w:sz w:val="26"/>
          <w:szCs w:val="26"/>
          <w:rtl/>
        </w:rPr>
      </w:pPr>
    </w:p>
    <w:tbl>
      <w:tblPr>
        <w:bidiVisual/>
        <w:tblW w:w="4068" w:type="dxa"/>
        <w:tblInd w:w="3420" w:type="dxa"/>
        <w:tblBorders>
          <w:bottom w:val="single" w:sz="4" w:space="0" w:color="auto"/>
        </w:tblBorders>
        <w:tblLook w:val="0000" w:firstRow="0" w:lastRow="0" w:firstColumn="0" w:lastColumn="0" w:noHBand="0" w:noVBand="0"/>
      </w:tblPr>
      <w:tblGrid>
        <w:gridCol w:w="4068"/>
      </w:tblGrid>
      <w:tr w:rsidR="00000000">
        <w:tblPrEx>
          <w:tblCellMar>
            <w:top w:w="0" w:type="dxa"/>
            <w:bottom w:w="0" w:type="dxa"/>
          </w:tblCellMar>
        </w:tblPrEx>
        <w:tc>
          <w:tcPr>
            <w:tcW w:w="4068" w:type="dxa"/>
            <w:tcBorders>
              <w:top w:val="nil"/>
              <w:left w:val="nil"/>
              <w:bottom w:val="single" w:sz="4" w:space="0" w:color="auto"/>
              <w:right w:val="nil"/>
            </w:tcBorders>
          </w:tcPr>
          <w:p w:rsidR="00000000" w:rsidRDefault="00D274EA">
            <w:pPr>
              <w:pStyle w:val="5"/>
              <w:jc w:val="right"/>
              <w:rPr>
                <w:rFonts w:cs="David"/>
                <w:b w:val="0"/>
                <w:bCs w:val="0"/>
              </w:rPr>
            </w:pPr>
            <w:r>
              <w:rPr>
                <w:rFonts w:cs="David"/>
                <w:b w:val="0"/>
                <w:bCs w:val="0"/>
                <w:rtl/>
              </w:rPr>
              <w:t xml:space="preserve">הצעת חוק של חבר הכנסת </w:t>
            </w:r>
            <w:r>
              <w:rPr>
                <w:rFonts w:cs="David"/>
                <w:rtl/>
              </w:rPr>
              <w:t>זבולון אורלב</w:t>
            </w:r>
          </w:p>
        </w:tc>
      </w:tr>
    </w:tbl>
    <w:p w:rsidR="00000000" w:rsidRDefault="00D274EA">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 xml:space="preserve">                                          פ/562/17</w:t>
      </w:r>
    </w:p>
    <w:p w:rsidR="00000000" w:rsidRDefault="00D274EA">
      <w:pPr>
        <w:spacing w:line="360" w:lineRule="auto"/>
        <w:rPr>
          <w:rFonts w:cs="David"/>
          <w:sz w:val="26"/>
          <w:szCs w:val="26"/>
          <w:rtl/>
        </w:rPr>
      </w:pPr>
    </w:p>
    <w:p w:rsidR="00000000" w:rsidRDefault="00D274EA">
      <w:pPr>
        <w:pStyle w:val="4"/>
        <w:spacing w:line="360" w:lineRule="auto"/>
        <w:rPr>
          <w:rFonts w:cs="David"/>
          <w:rtl/>
        </w:rPr>
      </w:pPr>
      <w:r>
        <w:rPr>
          <w:rFonts w:cs="David"/>
          <w:rtl/>
        </w:rPr>
        <w:t>הצעת חוק העונשין (תיקון - החמרות ענישה בגין א</w:t>
      </w:r>
      <w:r>
        <w:rPr>
          <w:rFonts w:cs="David"/>
          <w:rtl/>
        </w:rPr>
        <w:t xml:space="preserve">לימות נשק קר), </w:t>
      </w:r>
    </w:p>
    <w:p w:rsidR="00000000" w:rsidRDefault="00D274EA">
      <w:pPr>
        <w:pStyle w:val="4"/>
        <w:spacing w:line="360" w:lineRule="auto"/>
        <w:rPr>
          <w:rFonts w:cs="David"/>
          <w:rtl/>
        </w:rPr>
      </w:pPr>
      <w:r>
        <w:rPr>
          <w:rFonts w:cs="David"/>
          <w:rtl/>
        </w:rPr>
        <w:t>התשס"ו-2006</w:t>
      </w:r>
    </w:p>
    <w:p w:rsidR="00000000" w:rsidRDefault="00D274EA">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39"/>
        <w:gridCol w:w="564"/>
        <w:gridCol w:w="6717"/>
      </w:tblGrid>
      <w:tr w:rsidR="00000000">
        <w:tblPrEx>
          <w:tblCellMar>
            <w:top w:w="0" w:type="dxa"/>
            <w:bottom w:w="0" w:type="dxa"/>
          </w:tblCellMar>
        </w:tblPrEx>
        <w:trPr>
          <w:cantSplit/>
        </w:trPr>
        <w:tc>
          <w:tcPr>
            <w:tcW w:w="1139" w:type="dxa"/>
            <w:tcBorders>
              <w:top w:val="nil"/>
              <w:left w:val="nil"/>
              <w:bottom w:val="nil"/>
              <w:right w:val="nil"/>
            </w:tcBorders>
          </w:tcPr>
          <w:p w:rsidR="00000000" w:rsidRDefault="00D274EA">
            <w:pPr>
              <w:spacing w:after="120"/>
              <w:rPr>
                <w:rFonts w:cs="David"/>
                <w:sz w:val="26"/>
                <w:szCs w:val="26"/>
                <w:rtl/>
              </w:rPr>
            </w:pPr>
            <w:r>
              <w:rPr>
                <w:rFonts w:cs="David"/>
                <w:sz w:val="26"/>
                <w:szCs w:val="26"/>
                <w:rtl/>
              </w:rPr>
              <w:t xml:space="preserve">תיקון סעיף </w:t>
            </w:r>
            <w:r>
              <w:rPr>
                <w:rFonts w:cs="David"/>
                <w:sz w:val="26"/>
                <w:szCs w:val="26"/>
                <w:rtl/>
              </w:rPr>
              <w:br/>
              <w:t>185א</w:t>
            </w:r>
          </w:p>
          <w:p w:rsidR="00000000" w:rsidRDefault="00D274EA">
            <w:pPr>
              <w:spacing w:after="120"/>
              <w:rPr>
                <w:rFonts w:cs="David"/>
                <w:sz w:val="26"/>
                <w:szCs w:val="26"/>
              </w:rPr>
            </w:pPr>
          </w:p>
        </w:tc>
        <w:tc>
          <w:tcPr>
            <w:tcW w:w="564" w:type="dxa"/>
            <w:tcBorders>
              <w:top w:val="nil"/>
              <w:left w:val="nil"/>
              <w:bottom w:val="nil"/>
              <w:right w:val="nil"/>
            </w:tcBorders>
          </w:tcPr>
          <w:p w:rsidR="00000000" w:rsidRDefault="00D274EA">
            <w:pPr>
              <w:spacing w:after="120" w:line="360" w:lineRule="auto"/>
              <w:rPr>
                <w:rFonts w:cs="David"/>
                <w:sz w:val="26"/>
                <w:szCs w:val="26"/>
              </w:rPr>
            </w:pPr>
            <w:r>
              <w:rPr>
                <w:rFonts w:cs="David"/>
                <w:sz w:val="26"/>
                <w:szCs w:val="26"/>
                <w:rtl/>
              </w:rPr>
              <w:t xml:space="preserve">1. </w:t>
            </w:r>
          </w:p>
        </w:tc>
        <w:tc>
          <w:tcPr>
            <w:tcW w:w="6717" w:type="dxa"/>
            <w:tcBorders>
              <w:top w:val="nil"/>
              <w:left w:val="nil"/>
              <w:bottom w:val="nil"/>
              <w:right w:val="nil"/>
            </w:tcBorders>
          </w:tcPr>
          <w:p w:rsidR="00000000" w:rsidRDefault="00D274EA">
            <w:pPr>
              <w:spacing w:after="120" w:line="360" w:lineRule="auto"/>
              <w:jc w:val="both"/>
              <w:rPr>
                <w:rFonts w:cs="David"/>
                <w:sz w:val="26"/>
                <w:szCs w:val="26"/>
              </w:rPr>
            </w:pPr>
            <w:r>
              <w:rPr>
                <w:rFonts w:cs="David"/>
                <w:sz w:val="26"/>
                <w:szCs w:val="26"/>
                <w:rtl/>
              </w:rPr>
              <w:t>בחוק העונשין, תשל"ז-1977</w:t>
            </w:r>
            <w:r>
              <w:rPr>
                <w:rFonts w:cs="David"/>
                <w:sz w:val="26"/>
                <w:szCs w:val="26"/>
              </w:rPr>
              <w:t xml:space="preserve"> </w:t>
            </w:r>
            <w:r>
              <w:rPr>
                <w:rStyle w:val="aa"/>
                <w:rFonts w:cs="David"/>
                <w:sz w:val="26"/>
                <w:szCs w:val="26"/>
              </w:rPr>
              <w:footnoteReference w:id="1"/>
            </w:r>
            <w:r>
              <w:rPr>
                <w:rFonts w:cs="David"/>
                <w:sz w:val="26"/>
                <w:szCs w:val="26"/>
                <w:rtl/>
              </w:rPr>
              <w:t>(להלן – "החוק העיקרי"), בסעיף 185א, בסופו יבוא "ולא פחות משישה חודשים".</w:t>
            </w:r>
          </w:p>
        </w:tc>
      </w:tr>
      <w:tr w:rsidR="00000000">
        <w:tblPrEx>
          <w:tblCellMar>
            <w:top w:w="0" w:type="dxa"/>
            <w:bottom w:w="0" w:type="dxa"/>
          </w:tblCellMar>
        </w:tblPrEx>
        <w:trPr>
          <w:cantSplit/>
        </w:trPr>
        <w:tc>
          <w:tcPr>
            <w:tcW w:w="1139" w:type="dxa"/>
            <w:tcBorders>
              <w:top w:val="nil"/>
              <w:left w:val="nil"/>
              <w:bottom w:val="nil"/>
              <w:right w:val="nil"/>
            </w:tcBorders>
          </w:tcPr>
          <w:p w:rsidR="00000000" w:rsidRDefault="00D274EA">
            <w:pPr>
              <w:spacing w:after="120"/>
              <w:rPr>
                <w:rFonts w:cs="David"/>
                <w:sz w:val="26"/>
                <w:szCs w:val="26"/>
                <w:rtl/>
              </w:rPr>
            </w:pPr>
            <w:r>
              <w:rPr>
                <w:rFonts w:cs="David"/>
                <w:sz w:val="26"/>
                <w:szCs w:val="26"/>
                <w:rtl/>
              </w:rPr>
              <w:t xml:space="preserve">תיקון סעיף 186 </w:t>
            </w:r>
          </w:p>
          <w:p w:rsidR="00000000" w:rsidRDefault="00D274EA">
            <w:pPr>
              <w:spacing w:after="120"/>
              <w:rPr>
                <w:rFonts w:cs="David"/>
                <w:sz w:val="26"/>
                <w:szCs w:val="26"/>
              </w:rPr>
            </w:pPr>
          </w:p>
        </w:tc>
        <w:tc>
          <w:tcPr>
            <w:tcW w:w="564" w:type="dxa"/>
            <w:tcBorders>
              <w:top w:val="nil"/>
              <w:left w:val="nil"/>
              <w:bottom w:val="nil"/>
              <w:right w:val="nil"/>
            </w:tcBorders>
          </w:tcPr>
          <w:p w:rsidR="00000000" w:rsidRDefault="00D274EA">
            <w:pPr>
              <w:spacing w:after="120" w:line="360" w:lineRule="auto"/>
              <w:rPr>
                <w:rFonts w:cs="David"/>
                <w:sz w:val="26"/>
                <w:szCs w:val="26"/>
              </w:rPr>
            </w:pPr>
            <w:r>
              <w:rPr>
                <w:rFonts w:cs="David"/>
                <w:sz w:val="26"/>
                <w:szCs w:val="26"/>
                <w:rtl/>
              </w:rPr>
              <w:t>2.</w:t>
            </w:r>
          </w:p>
        </w:tc>
        <w:tc>
          <w:tcPr>
            <w:tcW w:w="6717" w:type="dxa"/>
            <w:tcBorders>
              <w:top w:val="nil"/>
              <w:left w:val="nil"/>
              <w:bottom w:val="nil"/>
              <w:right w:val="nil"/>
            </w:tcBorders>
          </w:tcPr>
          <w:p w:rsidR="00000000" w:rsidRDefault="00D274EA">
            <w:pPr>
              <w:spacing w:after="120" w:line="360" w:lineRule="auto"/>
              <w:jc w:val="both"/>
              <w:rPr>
                <w:rFonts w:cs="David"/>
                <w:sz w:val="26"/>
                <w:szCs w:val="26"/>
              </w:rPr>
            </w:pPr>
            <w:r>
              <w:rPr>
                <w:rFonts w:cs="David"/>
                <w:sz w:val="26"/>
                <w:szCs w:val="26"/>
                <w:rtl/>
              </w:rPr>
              <w:t>בחוק העיקרי, בסעיף 186(א), בסופו יבוא "ולא פחות משישה חודשים"</w:t>
            </w:r>
            <w:r>
              <w:rPr>
                <w:rFonts w:cs="David"/>
                <w:sz w:val="26"/>
                <w:szCs w:val="26"/>
                <w:rtl/>
              </w:rPr>
              <w:t xml:space="preserve">. </w:t>
            </w:r>
          </w:p>
        </w:tc>
      </w:tr>
      <w:tr w:rsidR="00000000">
        <w:tblPrEx>
          <w:tblCellMar>
            <w:top w:w="0" w:type="dxa"/>
            <w:bottom w:w="0" w:type="dxa"/>
          </w:tblCellMar>
        </w:tblPrEx>
        <w:trPr>
          <w:cantSplit/>
        </w:trPr>
        <w:tc>
          <w:tcPr>
            <w:tcW w:w="1139" w:type="dxa"/>
            <w:tcBorders>
              <w:top w:val="nil"/>
              <w:left w:val="nil"/>
              <w:bottom w:val="nil"/>
              <w:right w:val="nil"/>
            </w:tcBorders>
          </w:tcPr>
          <w:p w:rsidR="00000000" w:rsidRDefault="00D274EA">
            <w:pPr>
              <w:spacing w:after="120"/>
              <w:rPr>
                <w:rFonts w:cs="David"/>
                <w:sz w:val="26"/>
                <w:szCs w:val="26"/>
              </w:rPr>
            </w:pPr>
            <w:r>
              <w:rPr>
                <w:rFonts w:cs="David"/>
                <w:sz w:val="26"/>
                <w:szCs w:val="26"/>
                <w:rtl/>
              </w:rPr>
              <w:t>תיקון סעיף 379</w:t>
            </w:r>
          </w:p>
        </w:tc>
        <w:tc>
          <w:tcPr>
            <w:tcW w:w="564" w:type="dxa"/>
            <w:tcBorders>
              <w:top w:val="nil"/>
              <w:left w:val="nil"/>
              <w:bottom w:val="nil"/>
              <w:right w:val="nil"/>
            </w:tcBorders>
          </w:tcPr>
          <w:p w:rsidR="00000000" w:rsidRDefault="00D274EA">
            <w:pPr>
              <w:spacing w:after="120" w:line="360" w:lineRule="auto"/>
              <w:rPr>
                <w:rFonts w:cs="David"/>
                <w:sz w:val="26"/>
                <w:szCs w:val="26"/>
              </w:rPr>
            </w:pPr>
            <w:r>
              <w:rPr>
                <w:rFonts w:cs="David"/>
                <w:sz w:val="26"/>
                <w:szCs w:val="26"/>
                <w:rtl/>
              </w:rPr>
              <w:t>3.</w:t>
            </w:r>
          </w:p>
        </w:tc>
        <w:tc>
          <w:tcPr>
            <w:tcW w:w="6717" w:type="dxa"/>
            <w:tcBorders>
              <w:top w:val="nil"/>
              <w:left w:val="nil"/>
              <w:bottom w:val="nil"/>
              <w:right w:val="nil"/>
            </w:tcBorders>
          </w:tcPr>
          <w:p w:rsidR="00000000" w:rsidRDefault="00D274EA">
            <w:pPr>
              <w:spacing w:after="120" w:line="360" w:lineRule="auto"/>
              <w:jc w:val="both"/>
              <w:rPr>
                <w:rFonts w:cs="David"/>
                <w:sz w:val="26"/>
                <w:szCs w:val="26"/>
                <w:rtl/>
              </w:rPr>
            </w:pPr>
            <w:r>
              <w:rPr>
                <w:rFonts w:cs="David"/>
                <w:sz w:val="26"/>
                <w:szCs w:val="26"/>
                <w:rtl/>
              </w:rPr>
              <w:t xml:space="preserve">בחוק העיקרי, בסעיף 379(א), אחרי "דינו-מאסר שנתיים" יבוא "ולא פחות משנה". </w:t>
            </w:r>
          </w:p>
          <w:p w:rsidR="00000000" w:rsidRDefault="00D274EA">
            <w:pPr>
              <w:spacing w:after="120" w:line="360" w:lineRule="auto"/>
              <w:jc w:val="both"/>
              <w:rPr>
                <w:rFonts w:cs="David"/>
                <w:sz w:val="26"/>
                <w:szCs w:val="26"/>
              </w:rPr>
            </w:pPr>
          </w:p>
        </w:tc>
      </w:tr>
      <w:tr w:rsidR="00000000">
        <w:tblPrEx>
          <w:tblCellMar>
            <w:top w:w="0" w:type="dxa"/>
            <w:bottom w:w="0" w:type="dxa"/>
          </w:tblCellMar>
        </w:tblPrEx>
        <w:trPr>
          <w:cantSplit/>
        </w:trPr>
        <w:tc>
          <w:tcPr>
            <w:tcW w:w="1139" w:type="dxa"/>
            <w:tcBorders>
              <w:top w:val="nil"/>
              <w:left w:val="nil"/>
              <w:bottom w:val="nil"/>
              <w:right w:val="nil"/>
            </w:tcBorders>
          </w:tcPr>
          <w:p w:rsidR="00000000" w:rsidRDefault="00D274EA">
            <w:pPr>
              <w:spacing w:after="120"/>
              <w:rPr>
                <w:rFonts w:cs="David"/>
                <w:sz w:val="26"/>
                <w:szCs w:val="26"/>
                <w:rtl/>
              </w:rPr>
            </w:pPr>
            <w:r>
              <w:rPr>
                <w:rFonts w:cs="David"/>
                <w:sz w:val="26"/>
                <w:szCs w:val="26"/>
                <w:rtl/>
              </w:rPr>
              <w:t>תיקון סעיף 380</w:t>
            </w:r>
          </w:p>
          <w:p w:rsidR="00000000" w:rsidRDefault="00D274EA">
            <w:pPr>
              <w:spacing w:after="120"/>
              <w:rPr>
                <w:rFonts w:cs="David"/>
                <w:sz w:val="26"/>
                <w:szCs w:val="26"/>
              </w:rPr>
            </w:pPr>
          </w:p>
        </w:tc>
        <w:tc>
          <w:tcPr>
            <w:tcW w:w="564" w:type="dxa"/>
            <w:tcBorders>
              <w:top w:val="nil"/>
              <w:left w:val="nil"/>
              <w:bottom w:val="nil"/>
              <w:right w:val="nil"/>
            </w:tcBorders>
          </w:tcPr>
          <w:p w:rsidR="00000000" w:rsidRDefault="00D274EA">
            <w:pPr>
              <w:spacing w:after="120" w:line="360" w:lineRule="auto"/>
              <w:rPr>
                <w:rFonts w:cs="David"/>
                <w:sz w:val="26"/>
                <w:szCs w:val="26"/>
              </w:rPr>
            </w:pPr>
            <w:r>
              <w:rPr>
                <w:rFonts w:cs="David"/>
                <w:sz w:val="26"/>
                <w:szCs w:val="26"/>
                <w:rtl/>
              </w:rPr>
              <w:t>4.</w:t>
            </w:r>
          </w:p>
        </w:tc>
        <w:tc>
          <w:tcPr>
            <w:tcW w:w="6717" w:type="dxa"/>
            <w:tcBorders>
              <w:top w:val="nil"/>
              <w:left w:val="nil"/>
              <w:bottom w:val="nil"/>
              <w:right w:val="nil"/>
            </w:tcBorders>
          </w:tcPr>
          <w:p w:rsidR="00000000" w:rsidRDefault="00D274EA">
            <w:pPr>
              <w:spacing w:after="120" w:line="360" w:lineRule="auto"/>
              <w:jc w:val="both"/>
              <w:rPr>
                <w:rFonts w:cs="David"/>
                <w:sz w:val="26"/>
                <w:szCs w:val="26"/>
              </w:rPr>
            </w:pPr>
            <w:r>
              <w:rPr>
                <w:rFonts w:cs="David"/>
                <w:sz w:val="26"/>
                <w:szCs w:val="26"/>
                <w:rtl/>
              </w:rPr>
              <w:t xml:space="preserve">בחוק העיקרי, בסעיף 380, בסופו יבוא "ולא פחות משנה". </w:t>
            </w:r>
          </w:p>
        </w:tc>
      </w:tr>
      <w:tr w:rsidR="00000000">
        <w:tblPrEx>
          <w:tblCellMar>
            <w:top w:w="0" w:type="dxa"/>
            <w:bottom w:w="0" w:type="dxa"/>
          </w:tblCellMar>
        </w:tblPrEx>
        <w:trPr>
          <w:cantSplit/>
        </w:trPr>
        <w:tc>
          <w:tcPr>
            <w:tcW w:w="1139" w:type="dxa"/>
            <w:tcBorders>
              <w:top w:val="nil"/>
              <w:left w:val="nil"/>
              <w:bottom w:val="nil"/>
              <w:right w:val="nil"/>
            </w:tcBorders>
          </w:tcPr>
          <w:p w:rsidR="00000000" w:rsidRDefault="00D274EA">
            <w:pPr>
              <w:spacing w:after="120"/>
              <w:rPr>
                <w:rFonts w:cs="David"/>
                <w:sz w:val="26"/>
                <w:szCs w:val="26"/>
              </w:rPr>
            </w:pPr>
            <w:r>
              <w:rPr>
                <w:rFonts w:cs="David"/>
                <w:sz w:val="26"/>
                <w:szCs w:val="26"/>
                <w:rtl/>
              </w:rPr>
              <w:t>תיקון סעיף 381</w:t>
            </w:r>
          </w:p>
        </w:tc>
        <w:tc>
          <w:tcPr>
            <w:tcW w:w="564" w:type="dxa"/>
            <w:tcBorders>
              <w:top w:val="nil"/>
              <w:left w:val="nil"/>
              <w:bottom w:val="nil"/>
              <w:right w:val="nil"/>
            </w:tcBorders>
          </w:tcPr>
          <w:p w:rsidR="00000000" w:rsidRDefault="00D274EA">
            <w:pPr>
              <w:spacing w:after="120" w:line="360" w:lineRule="auto"/>
              <w:rPr>
                <w:rFonts w:cs="David"/>
                <w:sz w:val="26"/>
                <w:szCs w:val="26"/>
              </w:rPr>
            </w:pPr>
            <w:r>
              <w:rPr>
                <w:rFonts w:cs="David"/>
                <w:sz w:val="26"/>
                <w:szCs w:val="26"/>
                <w:rtl/>
              </w:rPr>
              <w:t>5.</w:t>
            </w:r>
          </w:p>
        </w:tc>
        <w:tc>
          <w:tcPr>
            <w:tcW w:w="6717" w:type="dxa"/>
            <w:tcBorders>
              <w:top w:val="nil"/>
              <w:left w:val="nil"/>
              <w:bottom w:val="nil"/>
              <w:right w:val="nil"/>
            </w:tcBorders>
          </w:tcPr>
          <w:p w:rsidR="00000000" w:rsidRDefault="00D274EA">
            <w:pPr>
              <w:spacing w:after="120" w:line="360" w:lineRule="auto"/>
              <w:jc w:val="both"/>
              <w:rPr>
                <w:rFonts w:cs="David"/>
                <w:sz w:val="26"/>
                <w:szCs w:val="26"/>
              </w:rPr>
            </w:pPr>
            <w:r>
              <w:rPr>
                <w:rFonts w:cs="David"/>
                <w:sz w:val="26"/>
                <w:szCs w:val="26"/>
                <w:rtl/>
              </w:rPr>
              <w:t>בחוק העיקרי, בסעיף 381(א), אחרי "דינו-מאסר שלוש שנים" יבוא "ולא פחו</w:t>
            </w:r>
            <w:r>
              <w:rPr>
                <w:rFonts w:cs="David"/>
                <w:sz w:val="26"/>
                <w:szCs w:val="26"/>
                <w:rtl/>
              </w:rPr>
              <w:t>ת משנה".</w:t>
            </w:r>
          </w:p>
        </w:tc>
      </w:tr>
    </w:tbl>
    <w:p w:rsidR="00000000" w:rsidRDefault="00D274EA">
      <w:pPr>
        <w:spacing w:line="360" w:lineRule="auto"/>
        <w:rPr>
          <w:rFonts w:cs="David"/>
          <w:sz w:val="26"/>
          <w:szCs w:val="26"/>
          <w:rtl/>
        </w:rPr>
      </w:pPr>
    </w:p>
    <w:p w:rsidR="00000000" w:rsidRDefault="00D274EA">
      <w:pPr>
        <w:spacing w:line="360" w:lineRule="auto"/>
        <w:jc w:val="both"/>
        <w:rPr>
          <w:rFonts w:cs="David"/>
          <w:sz w:val="26"/>
          <w:szCs w:val="26"/>
          <w:rtl/>
        </w:rPr>
      </w:pPr>
    </w:p>
    <w:p w:rsidR="00000000" w:rsidRDefault="00D274EA">
      <w:pPr>
        <w:pStyle w:val="3"/>
        <w:spacing w:line="360" w:lineRule="auto"/>
        <w:rPr>
          <w:rFonts w:cs="David"/>
          <w:sz w:val="28"/>
          <w:szCs w:val="28"/>
          <w:rtl/>
        </w:rPr>
      </w:pPr>
      <w:r>
        <w:rPr>
          <w:rFonts w:cs="David"/>
          <w:sz w:val="28"/>
          <w:szCs w:val="28"/>
          <w:rtl/>
        </w:rPr>
        <w:t>דברי - הסבר</w:t>
      </w:r>
    </w:p>
    <w:p w:rsidR="00000000" w:rsidRDefault="00D274EA">
      <w:pPr>
        <w:spacing w:line="360" w:lineRule="auto"/>
        <w:rPr>
          <w:rtl/>
        </w:rPr>
      </w:pPr>
    </w:p>
    <w:p w:rsidR="00000000" w:rsidRDefault="00D274EA">
      <w:pPr>
        <w:spacing w:line="360" w:lineRule="auto"/>
        <w:jc w:val="both"/>
        <w:rPr>
          <w:rFonts w:cs="David"/>
          <w:sz w:val="26"/>
          <w:szCs w:val="26"/>
          <w:rtl/>
        </w:rPr>
      </w:pPr>
      <w:r>
        <w:rPr>
          <w:rFonts w:cs="David"/>
          <w:sz w:val="26"/>
          <w:szCs w:val="26"/>
          <w:rtl/>
        </w:rPr>
        <w:t>זמנים קשים מחייבים אמצעים קשים. האלימות, במיוחד האלימות הבריונית העושה שימוש בנשק קר היא נגע הפושה בכל אתר. החקיקה הקיימת קובעת אמנם עונשים, בחלקם אף מחמירים אך מערכת השפיטה נוטה שוב ושוב להקל בעונשיהם של עבריינים המסכנים את שלום ה</w:t>
      </w:r>
      <w:r>
        <w:rPr>
          <w:rFonts w:cs="David"/>
          <w:sz w:val="26"/>
          <w:szCs w:val="26"/>
          <w:rtl/>
        </w:rPr>
        <w:t>ציבור ופוגעים קשות בתחושת הביטחון של האוכלוסייה.</w:t>
      </w:r>
    </w:p>
    <w:p w:rsidR="00000000" w:rsidRDefault="00D274EA">
      <w:pPr>
        <w:spacing w:line="360" w:lineRule="auto"/>
        <w:jc w:val="both"/>
        <w:rPr>
          <w:rFonts w:cs="David"/>
          <w:sz w:val="26"/>
          <w:szCs w:val="26"/>
          <w:rtl/>
        </w:rPr>
      </w:pPr>
      <w:r>
        <w:rPr>
          <w:rFonts w:cs="David"/>
          <w:sz w:val="26"/>
          <w:szCs w:val="26"/>
          <w:rtl/>
        </w:rPr>
        <w:t xml:space="preserve">הצעת החוק קובעת עונשי מינימום כחלק בלתי נפרד מנורמות הענישה על בריוניות ומעשי תקיפה. כמו כן, מאפשרת הצעת החוק לסגור לחלוטין, לתקופה מוגבלת, מקומות בילוי אשר, כתוצאה מהזנחה של הבעלים, עלולים להפוך מוקד למעשי </w:t>
      </w:r>
      <w:r>
        <w:rPr>
          <w:rFonts w:cs="David"/>
          <w:sz w:val="26"/>
          <w:szCs w:val="26"/>
          <w:rtl/>
        </w:rPr>
        <w:t xml:space="preserve">בריונות ותקיפה. </w:t>
      </w:r>
    </w:p>
    <w:p w:rsidR="00000000" w:rsidRDefault="00D274EA">
      <w:pPr>
        <w:spacing w:line="360" w:lineRule="auto"/>
        <w:jc w:val="both"/>
        <w:rPr>
          <w:rFonts w:cs="David"/>
          <w:sz w:val="26"/>
          <w:szCs w:val="26"/>
          <w:rtl/>
        </w:rPr>
      </w:pPr>
      <w:r>
        <w:rPr>
          <w:rFonts w:cs="David"/>
          <w:sz w:val="26"/>
          <w:szCs w:val="26"/>
          <w:rtl/>
        </w:rPr>
        <w:lastRenderedPageBreak/>
        <w:t>מעבר לכל אמצעי המניעה והאכיפה האחרים יהיו עונשי המינימום אמצעי הרתעה אשר, במצב הנוכחי, אין לו תחליף.</w:t>
      </w:r>
    </w:p>
    <w:p w:rsidR="00000000" w:rsidRDefault="00D274EA">
      <w:pPr>
        <w:spacing w:line="360" w:lineRule="auto"/>
        <w:rPr>
          <w:rtl/>
        </w:rPr>
      </w:pPr>
    </w:p>
    <w:p w:rsidR="00000000" w:rsidRDefault="00D274EA">
      <w:pPr>
        <w:spacing w:line="360" w:lineRule="auto"/>
        <w:jc w:val="both"/>
        <w:rPr>
          <w:rFonts w:cs="David"/>
          <w:sz w:val="26"/>
          <w:szCs w:val="26"/>
          <w:rtl/>
        </w:rPr>
      </w:pPr>
      <w:r>
        <w:rPr>
          <w:rFonts w:cs="David"/>
          <w:sz w:val="26"/>
          <w:szCs w:val="26"/>
          <w:rtl/>
        </w:rPr>
        <w:t xml:space="preserve">הצעת חוק זהה הונחה על שולחן הכנסת השבע-עשרה על ידי חברת הכנסת זהבה גלאון (פ/427/17). </w:t>
      </w:r>
    </w:p>
    <w:p w:rsidR="00000000" w:rsidRDefault="00D274EA">
      <w:pPr>
        <w:spacing w:line="360" w:lineRule="auto"/>
        <w:jc w:val="both"/>
        <w:rPr>
          <w:rtl/>
        </w:rPr>
      </w:pPr>
      <w:r>
        <w:rPr>
          <w:rFonts w:cs="David"/>
          <w:sz w:val="26"/>
          <w:szCs w:val="26"/>
          <w:rtl/>
        </w:rPr>
        <w:t xml:space="preserve">הצעת חוק דומה בעיקרה הונחה על שולחן הכנסת השש-עשרה </w:t>
      </w:r>
      <w:r>
        <w:rPr>
          <w:rFonts w:cs="David"/>
          <w:sz w:val="26"/>
          <w:szCs w:val="26"/>
          <w:rtl/>
        </w:rPr>
        <w:t>על ידי חבר הכנסת רוני בריזון וקבוצת חברי הכנסת (פ/3822</w:t>
      </w:r>
      <w:r>
        <w:rPr>
          <w:rtl/>
        </w:rPr>
        <w:t>)</w:t>
      </w:r>
      <w:r>
        <w:rPr>
          <w:rFonts w:cs="David"/>
          <w:rtl/>
        </w:rPr>
        <w:t>.</w:t>
      </w:r>
    </w:p>
    <w:p w:rsidR="00000000" w:rsidRDefault="00D274EA">
      <w:pPr>
        <w:spacing w:line="360" w:lineRule="auto"/>
        <w:rPr>
          <w:rtl/>
        </w:rPr>
      </w:pPr>
    </w:p>
    <w:p w:rsidR="00000000" w:rsidRDefault="00D274EA">
      <w:pPr>
        <w:spacing w:line="360" w:lineRule="auto"/>
        <w:rPr>
          <w:rtl/>
        </w:rPr>
      </w:pPr>
    </w:p>
    <w:p w:rsidR="00000000" w:rsidRDefault="00D274EA">
      <w:pPr>
        <w:spacing w:line="360" w:lineRule="auto"/>
        <w:rPr>
          <w:rtl/>
        </w:rPr>
      </w:pPr>
      <w:r>
        <w:rPr>
          <w:rtl/>
        </w:rPr>
        <w:t>---------------------------------</w:t>
      </w:r>
    </w:p>
    <w:p w:rsidR="00000000" w:rsidRDefault="00D274EA">
      <w:pPr>
        <w:spacing w:line="360" w:lineRule="auto"/>
        <w:rPr>
          <w:rFonts w:cs="David"/>
          <w:sz w:val="26"/>
          <w:szCs w:val="26"/>
          <w:rtl/>
        </w:rPr>
      </w:pPr>
      <w:r>
        <w:rPr>
          <w:rFonts w:cs="David"/>
          <w:sz w:val="26"/>
          <w:szCs w:val="26"/>
          <w:rtl/>
        </w:rPr>
        <w:t>הוגשה ליו"ר הכנסת והסגנים</w:t>
      </w:r>
    </w:p>
    <w:p w:rsidR="00000000" w:rsidRDefault="00D274EA">
      <w:pPr>
        <w:spacing w:line="360" w:lineRule="auto"/>
        <w:rPr>
          <w:rFonts w:cs="David"/>
          <w:sz w:val="26"/>
          <w:szCs w:val="26"/>
          <w:rtl/>
        </w:rPr>
      </w:pPr>
      <w:r>
        <w:rPr>
          <w:rFonts w:cs="David"/>
          <w:sz w:val="26"/>
          <w:szCs w:val="26"/>
          <w:rtl/>
        </w:rPr>
        <w:t>והונחה על שולחן הכנסת ביום</w:t>
      </w:r>
    </w:p>
    <w:p w:rsidR="00000000" w:rsidRDefault="00D274EA">
      <w:pPr>
        <w:spacing w:line="360" w:lineRule="auto"/>
        <w:rPr>
          <w:rFonts w:cs="David"/>
          <w:sz w:val="26"/>
          <w:szCs w:val="26"/>
          <w:rtl/>
        </w:rPr>
      </w:pPr>
      <w:r>
        <w:rPr>
          <w:rFonts w:cs="David"/>
          <w:sz w:val="26"/>
          <w:szCs w:val="26"/>
          <w:rtl/>
        </w:rPr>
        <w:t>כ"ג בסיוון התשס"ו - 19.6.06</w:t>
      </w:r>
    </w:p>
    <w:p w:rsidR="00000000" w:rsidRDefault="00D274EA">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74EA">
      <w:r>
        <w:separator/>
      </w:r>
    </w:p>
  </w:endnote>
  <w:endnote w:type="continuationSeparator" w:id="0">
    <w:p w:rsidR="00000000" w:rsidRDefault="00D2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74EA">
      <w:r>
        <w:separator/>
      </w:r>
    </w:p>
  </w:footnote>
  <w:footnote w:type="continuationSeparator" w:id="0">
    <w:p w:rsidR="00000000" w:rsidRDefault="00D274EA">
      <w:r>
        <w:continuationSeparator/>
      </w:r>
    </w:p>
  </w:footnote>
  <w:footnote w:id="1">
    <w:p w:rsidR="00000000" w:rsidRDefault="00D274EA">
      <w:pPr>
        <w:pStyle w:val="a8"/>
      </w:pPr>
      <w:r>
        <w:rPr>
          <w:rStyle w:val="aa"/>
          <w:rFonts w:cs="David"/>
        </w:rPr>
        <w:footnoteRef/>
      </w:r>
      <w:r>
        <w:rPr>
          <w:rFonts w:cs="David"/>
        </w:rPr>
        <w:t xml:space="preserve"> </w:t>
      </w:r>
      <w:r>
        <w:rPr>
          <w:rFonts w:cs="David"/>
          <w:rtl/>
        </w:rPr>
        <w:t xml:space="preserve"> ס"ח התשל"ז, ע"מ 226.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4EA">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D274E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201æáåìåï àåøìá - äçîøåú òðéùä àìéîåú ðù÷ ÷ø.doc"/>
    <w:docVar w:name="StartMode" w:val="2"/>
  </w:docVars>
  <w:rsids>
    <w:rsidRoot w:val="00D274EA"/>
    <w:rsid w:val="00D27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jc w:val="center"/>
      <w:outlineLvl w:val="2"/>
    </w:pPr>
    <w:rPr>
      <w:b/>
      <w:bCs/>
      <w:sz w:val="26"/>
      <w:szCs w:val="26"/>
      <w:u w:val="single"/>
    </w:rPr>
  </w:style>
  <w:style w:type="paragraph" w:styleId="4">
    <w:name w:val="heading 4"/>
    <w:basedOn w:val="a"/>
    <w:next w:val="a"/>
    <w:link w:val="40"/>
    <w:uiPriority w:val="99"/>
    <w:qFormat/>
    <w:pPr>
      <w:keepNext/>
      <w:ind w:left="-154"/>
      <w:jc w:val="center"/>
      <w:outlineLvl w:val="3"/>
    </w:pPr>
    <w:rPr>
      <w:b/>
      <w:bCs/>
      <w:sz w:val="28"/>
      <w:szCs w:val="28"/>
    </w:rPr>
  </w:style>
  <w:style w:type="paragraph" w:styleId="5">
    <w:name w:val="heading 5"/>
    <w:basedOn w:val="a"/>
    <w:next w:val="a"/>
    <w:link w:val="50"/>
    <w:uiPriority w:val="99"/>
    <w:qFormat/>
    <w:pPr>
      <w:keepNext/>
      <w:spacing w:after="120"/>
      <w:outlineLvl w:val="4"/>
    </w:pPr>
    <w:rPr>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264</Words>
  <Characters>1321</Characters>
  <Application>Microsoft Office Word</Application>
  <DocSecurity>0</DocSecurity>
  <Lines>11</Lines>
  <Paragraphs>3</Paragraphs>
  <ScaleCrop>false</ScaleCrop>
  <Company>knesset</Company>
  <LinksUpToDate>false</LinksUpToDate>
  <CharactersWithSpaces>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החמרות ענישה בגין אלימות נשק קר), התשס"ו-2006</dc:title>
  <dc:subject/>
  <dc:creator>Knesset</dc:creator>
  <cp:keywords/>
  <dc:description/>
  <cp:lastModifiedBy>שמואל כוכב</cp:lastModifiedBy>
  <cp:revision>2</cp:revision>
  <dcterms:created xsi:type="dcterms:W3CDTF">2015-02-03T19:18:00Z</dcterms:created>
  <dcterms:modified xsi:type="dcterms:W3CDTF">2015-02-03T19:18:00Z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03288506</vt:lpwstr>
  </property>
  <property fmtid="{D5CDD505-2E9C-101B-9397-08002B2CF9AE}" pid="10" name="מספר הצעת חוק למיון">
    <vt:lpwstr>562</vt:lpwstr>
  </property>
  <property fmtid="{D5CDD505-2E9C-101B-9397-08002B2CF9AE}" pid="11" name="SDDocDate">
    <vt:lpwstr>2006-06-13T00:00:00Z</vt:lpwstr>
  </property>
  <property fmtid="{D5CDD505-2E9C-101B-9397-08002B2CF9AE}" pid="12" name="SDHebDate">
    <vt:lpwstr>י"ז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פ/562/17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