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E0D63">
      <w:pPr>
        <w:pStyle w:val="a3"/>
        <w:rPr>
          <w:rFonts w:cs="David"/>
          <w:u w:val="none"/>
          <w:rtl/>
        </w:rPr>
      </w:pPr>
      <w:bookmarkStart w:id="0" w:name="_GoBack"/>
      <w:bookmarkEnd w:id="0"/>
      <w:r>
        <w:rPr>
          <w:rFonts w:cs="David"/>
          <w:u w:val="none"/>
          <w:rtl/>
        </w:rPr>
        <w:t>הכנסת השבע-עשרה</w:t>
      </w:r>
    </w:p>
    <w:p w:rsidR="00000000" w:rsidRDefault="00BE0D63">
      <w:pPr>
        <w:tabs>
          <w:tab w:val="left" w:pos="2734"/>
        </w:tabs>
        <w:ind w:left="-9" w:firstLine="9"/>
        <w:rPr>
          <w:rFonts w:cs="David"/>
          <w:sz w:val="26"/>
          <w:szCs w:val="26"/>
          <w:rtl/>
        </w:rPr>
      </w:pPr>
    </w:p>
    <w:p w:rsidR="00000000" w:rsidRDefault="00BE0D63">
      <w:pPr>
        <w:tabs>
          <w:tab w:val="left" w:pos="2734"/>
        </w:tabs>
        <w:ind w:left="-9" w:firstLine="9"/>
        <w:rPr>
          <w:rFonts w:cs="David"/>
          <w:sz w:val="26"/>
          <w:szCs w:val="26"/>
          <w:rtl/>
        </w:rPr>
      </w:pPr>
    </w:p>
    <w:tbl>
      <w:tblPr>
        <w:bidiVisual/>
        <w:tblW w:w="0" w:type="auto"/>
        <w:tblInd w:w="4579" w:type="dxa"/>
        <w:tblBorders>
          <w:bottom w:val="single" w:sz="4" w:space="0" w:color="auto"/>
        </w:tblBorders>
        <w:tblLook w:val="0000" w:firstRow="0" w:lastRow="0" w:firstColumn="0" w:lastColumn="0" w:noHBand="0" w:noVBand="0"/>
      </w:tblPr>
      <w:tblGrid>
        <w:gridCol w:w="2343"/>
        <w:gridCol w:w="1600"/>
      </w:tblGrid>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Pr>
                <w:rFonts w:cs="David"/>
                <w:sz w:val="26"/>
                <w:szCs w:val="26"/>
                <w:rtl/>
              </w:rPr>
              <w:t>חברי הכנסת</w:t>
            </w:r>
            <w:bookmarkEnd w:id="1"/>
          </w:p>
        </w:tc>
        <w:tc>
          <w:tcPr>
            <w:tcW w:w="1800" w:type="dxa"/>
            <w:tcBorders>
              <w:top w:val="nil"/>
              <w:left w:val="nil"/>
              <w:bottom w:val="nil"/>
              <w:right w:val="nil"/>
            </w:tcBorders>
          </w:tcPr>
          <w:p w:rsidR="00000000" w:rsidRDefault="00BE0D63">
            <w:pPr>
              <w:tabs>
                <w:tab w:val="left" w:pos="2770"/>
                <w:tab w:val="left" w:pos="6192"/>
              </w:tabs>
              <w:spacing w:line="360" w:lineRule="auto"/>
              <w:ind w:firstLine="9"/>
              <w:rPr>
                <w:rFonts w:cs="David"/>
                <w:b/>
                <w:bCs/>
                <w:sz w:val="26"/>
                <w:szCs w:val="26"/>
                <w:rtl/>
              </w:rPr>
            </w:pPr>
            <w:r>
              <w:rPr>
                <w:rFonts w:cs="David"/>
                <w:b/>
                <w:bCs/>
                <w:sz w:val="26"/>
                <w:szCs w:val="26"/>
                <w:rtl/>
              </w:rPr>
              <w:t>יורי שטרן</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rPr>
                <w:rFonts w:cs="David"/>
                <w:sz w:val="26"/>
                <w:szCs w:val="26"/>
                <w:rtl/>
              </w:rPr>
            </w:pPr>
            <w:r>
              <w:rPr>
                <w:rFonts w:cs="David"/>
                <w:sz w:val="26"/>
                <w:szCs w:val="26"/>
                <w:rtl/>
              </w:rPr>
              <w:t>סופה לנדבר</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rPr>
                <w:rFonts w:cs="David"/>
                <w:sz w:val="26"/>
                <w:szCs w:val="26"/>
                <w:rtl/>
              </w:rPr>
            </w:pPr>
            <w:r>
              <w:rPr>
                <w:rFonts w:cs="David"/>
                <w:sz w:val="26"/>
                <w:szCs w:val="26"/>
                <w:rtl/>
              </w:rPr>
              <w:t>ליה שמטוב</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r>
              <w:rPr>
                <w:rFonts w:cs="David"/>
                <w:sz w:val="26"/>
                <w:szCs w:val="26"/>
                <w:rtl/>
              </w:rPr>
              <w:t>רוברט אילטוב</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r>
              <w:rPr>
                <w:rFonts w:cs="David"/>
                <w:sz w:val="26"/>
                <w:szCs w:val="26"/>
                <w:rtl/>
              </w:rPr>
              <w:t>יצחק אהרונוביץ</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rPr>
                <w:rFonts w:cs="David"/>
                <w:sz w:val="26"/>
                <w:szCs w:val="26"/>
                <w:rtl/>
              </w:rPr>
            </w:pPr>
            <w:r>
              <w:rPr>
                <w:rFonts w:cs="David"/>
                <w:sz w:val="26"/>
                <w:szCs w:val="26"/>
                <w:rtl/>
              </w:rPr>
              <w:t>מרינה סולו</w:t>
            </w:r>
            <w:r>
              <w:rPr>
                <w:rFonts w:cs="David"/>
                <w:sz w:val="26"/>
                <w:szCs w:val="26"/>
                <w:rtl/>
              </w:rPr>
              <w:t>דקין</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rPr>
                <w:rFonts w:cs="David"/>
                <w:sz w:val="26"/>
                <w:szCs w:val="26"/>
                <w:rtl/>
              </w:rPr>
            </w:pPr>
            <w:r>
              <w:rPr>
                <w:rFonts w:cs="David"/>
                <w:sz w:val="26"/>
                <w:szCs w:val="26"/>
                <w:rtl/>
              </w:rPr>
              <w:t>קולט אביטל</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rPr>
                <w:rFonts w:cs="David"/>
                <w:sz w:val="26"/>
                <w:szCs w:val="26"/>
                <w:rtl/>
              </w:rPr>
            </w:pPr>
            <w:r>
              <w:rPr>
                <w:rFonts w:cs="David"/>
                <w:sz w:val="26"/>
                <w:szCs w:val="26"/>
                <w:rtl/>
              </w:rPr>
              <w:t>יורם מרציאנו</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rPr>
                <w:rFonts w:cs="David"/>
                <w:sz w:val="26"/>
                <w:szCs w:val="26"/>
                <w:rtl/>
              </w:rPr>
            </w:pPr>
            <w:r>
              <w:rPr>
                <w:rFonts w:cs="David"/>
                <w:sz w:val="26"/>
                <w:szCs w:val="26"/>
                <w:rtl/>
              </w:rPr>
              <w:t>זהבה גלאון</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rPr>
                <w:rFonts w:cs="David"/>
                <w:sz w:val="26"/>
                <w:szCs w:val="26"/>
                <w:rtl/>
              </w:rPr>
            </w:pPr>
            <w:r>
              <w:rPr>
                <w:rFonts w:cs="David"/>
                <w:sz w:val="26"/>
                <w:szCs w:val="26"/>
                <w:rtl/>
              </w:rPr>
              <w:t>דב חנין</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rPr>
                <w:rFonts w:cs="David"/>
                <w:sz w:val="26"/>
                <w:szCs w:val="26"/>
                <w:rtl/>
              </w:rPr>
            </w:pPr>
            <w:r>
              <w:rPr>
                <w:rFonts w:cs="David"/>
                <w:sz w:val="26"/>
                <w:szCs w:val="26"/>
                <w:rtl/>
              </w:rPr>
              <w:t>אבשלום וילן</w:t>
            </w:r>
          </w:p>
        </w:tc>
      </w:tr>
      <w:tr w:rsidR="00000000">
        <w:tblPrEx>
          <w:tblCellMar>
            <w:top w:w="0" w:type="dxa"/>
            <w:bottom w:w="0" w:type="dxa"/>
          </w:tblCellMar>
        </w:tblPrEx>
        <w:trPr>
          <w:cantSplit/>
        </w:trPr>
        <w:tc>
          <w:tcPr>
            <w:tcW w:w="3060" w:type="dxa"/>
            <w:tcBorders>
              <w:top w:val="nil"/>
              <w:left w:val="nil"/>
              <w:bottom w:val="nil"/>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nil"/>
              <w:right w:val="nil"/>
            </w:tcBorders>
          </w:tcPr>
          <w:p w:rsidR="00000000" w:rsidRDefault="00BE0D63">
            <w:pPr>
              <w:tabs>
                <w:tab w:val="left" w:pos="2770"/>
                <w:tab w:val="left" w:pos="6192"/>
              </w:tabs>
              <w:spacing w:line="360" w:lineRule="auto"/>
              <w:rPr>
                <w:rFonts w:cs="David"/>
                <w:sz w:val="26"/>
                <w:szCs w:val="26"/>
                <w:rtl/>
              </w:rPr>
            </w:pPr>
            <w:r>
              <w:rPr>
                <w:rFonts w:cs="David"/>
                <w:sz w:val="26"/>
                <w:szCs w:val="26"/>
                <w:rtl/>
              </w:rPr>
              <w:t>טלב אלסאנע</w:t>
            </w:r>
          </w:p>
        </w:tc>
      </w:tr>
      <w:tr w:rsidR="00000000">
        <w:tblPrEx>
          <w:tblCellMar>
            <w:top w:w="0" w:type="dxa"/>
            <w:bottom w:w="0" w:type="dxa"/>
          </w:tblCellMar>
        </w:tblPrEx>
        <w:trPr>
          <w:cantSplit/>
        </w:trPr>
        <w:tc>
          <w:tcPr>
            <w:tcW w:w="3060" w:type="dxa"/>
            <w:tcBorders>
              <w:top w:val="nil"/>
              <w:left w:val="nil"/>
              <w:bottom w:val="single" w:sz="4" w:space="0" w:color="auto"/>
              <w:right w:val="nil"/>
            </w:tcBorders>
          </w:tcPr>
          <w:p w:rsidR="00000000" w:rsidRDefault="00BE0D63">
            <w:pPr>
              <w:tabs>
                <w:tab w:val="left" w:pos="2770"/>
                <w:tab w:val="left" w:pos="6192"/>
              </w:tabs>
              <w:spacing w:line="360" w:lineRule="auto"/>
              <w:ind w:firstLine="9"/>
              <w:rPr>
                <w:rFonts w:cs="David"/>
                <w:sz w:val="26"/>
                <w:szCs w:val="26"/>
                <w:rtl/>
              </w:rPr>
            </w:pPr>
          </w:p>
        </w:tc>
        <w:tc>
          <w:tcPr>
            <w:tcW w:w="1800" w:type="dxa"/>
            <w:tcBorders>
              <w:top w:val="nil"/>
              <w:left w:val="nil"/>
              <w:bottom w:val="single" w:sz="4" w:space="0" w:color="auto"/>
              <w:right w:val="nil"/>
            </w:tcBorders>
          </w:tcPr>
          <w:p w:rsidR="00000000" w:rsidRDefault="00BE0D63">
            <w:pPr>
              <w:tabs>
                <w:tab w:val="left" w:pos="2770"/>
                <w:tab w:val="left" w:pos="6192"/>
              </w:tabs>
              <w:spacing w:line="360" w:lineRule="auto"/>
              <w:rPr>
                <w:rFonts w:cs="David"/>
                <w:sz w:val="26"/>
                <w:szCs w:val="26"/>
                <w:rtl/>
              </w:rPr>
            </w:pPr>
            <w:r>
              <w:rPr>
                <w:rFonts w:cs="David"/>
                <w:sz w:val="26"/>
                <w:szCs w:val="26"/>
                <w:rtl/>
              </w:rPr>
              <w:t>חיים אורון</w:t>
            </w:r>
          </w:p>
        </w:tc>
      </w:tr>
    </w:tbl>
    <w:p w:rsidR="00000000" w:rsidRDefault="00BE0D63">
      <w:pPr>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פ/1391/17</w:t>
      </w:r>
    </w:p>
    <w:p w:rsidR="00000000" w:rsidRDefault="00BE0D63">
      <w:pPr>
        <w:rPr>
          <w:rFonts w:cs="David"/>
          <w:sz w:val="26"/>
          <w:szCs w:val="26"/>
          <w:rtl/>
        </w:rPr>
      </w:pPr>
    </w:p>
    <w:p w:rsidR="00000000" w:rsidRDefault="00BE0D63">
      <w:pPr>
        <w:jc w:val="center"/>
        <w:rPr>
          <w:rFonts w:cs="David"/>
          <w:b/>
          <w:bCs/>
          <w:sz w:val="28"/>
          <w:szCs w:val="28"/>
          <w:rtl/>
        </w:rPr>
      </w:pPr>
      <w:bookmarkStart w:id="2" w:name="Title"/>
      <w:r>
        <w:rPr>
          <w:rFonts w:cs="David"/>
          <w:b/>
          <w:bCs/>
          <w:sz w:val="28"/>
          <w:szCs w:val="28"/>
          <w:rtl/>
        </w:rPr>
        <w:t xml:space="preserve">הצעת חוק לתיקון סדרי מנהל (החלטות והנמקות) (תיקון - החלטות לפי חוק הכניסה לישראל), התשס"ו-2006 </w:t>
      </w:r>
      <w:bookmarkEnd w:id="2"/>
    </w:p>
    <w:p w:rsidR="00000000" w:rsidRDefault="00BE0D63">
      <w:pPr>
        <w:pStyle w:val="a3"/>
        <w:bidi w:val="0"/>
        <w:jc w:val="left"/>
        <w:rPr>
          <w:rFonts w:cs="David"/>
          <w:b w:val="0"/>
          <w:bCs w:val="0"/>
          <w:u w:val="none"/>
          <w:rtl/>
        </w:rPr>
      </w:pPr>
    </w:p>
    <w:tbl>
      <w:tblPr>
        <w:bidiVisual/>
        <w:tblW w:w="0" w:type="auto"/>
        <w:tblLook w:val="0000" w:firstRow="0" w:lastRow="0" w:firstColumn="0" w:lastColumn="0" w:noHBand="0" w:noVBand="0"/>
      </w:tblPr>
      <w:tblGrid>
        <w:gridCol w:w="1574"/>
        <w:gridCol w:w="540"/>
        <w:gridCol w:w="6408"/>
      </w:tblGrid>
      <w:tr w:rsidR="00000000">
        <w:tblPrEx>
          <w:tblCellMar>
            <w:top w:w="0" w:type="dxa"/>
            <w:bottom w:w="0" w:type="dxa"/>
          </w:tblCellMar>
        </w:tblPrEx>
        <w:tc>
          <w:tcPr>
            <w:tcW w:w="1574" w:type="dxa"/>
            <w:tcBorders>
              <w:top w:val="nil"/>
              <w:left w:val="nil"/>
              <w:bottom w:val="nil"/>
              <w:right w:val="nil"/>
            </w:tcBorders>
          </w:tcPr>
          <w:p w:rsidR="00000000" w:rsidRDefault="00BE0D63">
            <w:pPr>
              <w:spacing w:line="360" w:lineRule="auto"/>
              <w:rPr>
                <w:rFonts w:cs="David"/>
                <w:sz w:val="26"/>
                <w:szCs w:val="26"/>
              </w:rPr>
            </w:pPr>
            <w:r>
              <w:rPr>
                <w:rFonts w:cs="David"/>
                <w:sz w:val="26"/>
                <w:szCs w:val="26"/>
                <w:rtl/>
              </w:rPr>
              <w:t>תיקון סעיף 9</w:t>
            </w:r>
          </w:p>
        </w:tc>
        <w:tc>
          <w:tcPr>
            <w:tcW w:w="540" w:type="dxa"/>
            <w:tcBorders>
              <w:top w:val="nil"/>
              <w:left w:val="nil"/>
              <w:bottom w:val="nil"/>
              <w:right w:val="nil"/>
            </w:tcBorders>
          </w:tcPr>
          <w:p w:rsidR="00000000" w:rsidRDefault="00BE0D63">
            <w:pPr>
              <w:spacing w:line="360" w:lineRule="auto"/>
              <w:rPr>
                <w:rFonts w:cs="David"/>
                <w:sz w:val="26"/>
                <w:szCs w:val="26"/>
              </w:rPr>
            </w:pPr>
            <w:r>
              <w:rPr>
                <w:rFonts w:cs="David"/>
                <w:sz w:val="26"/>
                <w:szCs w:val="26"/>
                <w:rtl/>
              </w:rPr>
              <w:t>1.</w:t>
            </w:r>
          </w:p>
        </w:tc>
        <w:tc>
          <w:tcPr>
            <w:tcW w:w="6408" w:type="dxa"/>
            <w:tcBorders>
              <w:top w:val="nil"/>
              <w:left w:val="nil"/>
              <w:bottom w:val="nil"/>
              <w:right w:val="nil"/>
            </w:tcBorders>
          </w:tcPr>
          <w:p w:rsidR="00000000" w:rsidRDefault="00BE0D63">
            <w:pPr>
              <w:spacing w:line="360" w:lineRule="auto"/>
              <w:jc w:val="both"/>
              <w:rPr>
                <w:rFonts w:cs="David"/>
                <w:sz w:val="26"/>
                <w:szCs w:val="26"/>
              </w:rPr>
            </w:pPr>
            <w:r>
              <w:rPr>
                <w:rFonts w:cs="David"/>
                <w:sz w:val="26"/>
                <w:szCs w:val="26"/>
                <w:rtl/>
              </w:rPr>
              <w:t>בחוק לתיקון סדרי המנ</w:t>
            </w:r>
            <w:r>
              <w:rPr>
                <w:rFonts w:cs="David"/>
                <w:sz w:val="26"/>
                <w:szCs w:val="26"/>
                <w:rtl/>
              </w:rPr>
              <w:t>הל (החלטות והנמקות), התשי"ט-1958</w:t>
            </w:r>
            <w:r>
              <w:rPr>
                <w:rStyle w:val="aa"/>
                <w:rFonts w:cs="David"/>
                <w:sz w:val="26"/>
                <w:szCs w:val="26"/>
                <w:rtl/>
              </w:rPr>
              <w:footnoteReference w:id="1"/>
            </w:r>
            <w:r>
              <w:rPr>
                <w:rFonts w:cs="David"/>
                <w:sz w:val="26"/>
                <w:szCs w:val="26"/>
                <w:rtl/>
              </w:rPr>
              <w:t>, בסעיף 9, סעיף קטן (ב) – בטל.</w:t>
            </w:r>
          </w:p>
        </w:tc>
      </w:tr>
    </w:tbl>
    <w:p w:rsidR="00000000" w:rsidRDefault="00BE0D63">
      <w:pPr>
        <w:spacing w:line="360" w:lineRule="auto"/>
        <w:rPr>
          <w:rFonts w:cs="David"/>
          <w:sz w:val="26"/>
          <w:szCs w:val="26"/>
          <w:rtl/>
        </w:rPr>
      </w:pPr>
    </w:p>
    <w:p w:rsidR="00000000" w:rsidRDefault="00BE0D63">
      <w:pPr>
        <w:pStyle w:val="8"/>
        <w:rPr>
          <w:rFonts w:cs="David"/>
          <w:sz w:val="28"/>
          <w:szCs w:val="28"/>
          <w:u w:val="single"/>
          <w:rtl/>
        </w:rPr>
      </w:pPr>
      <w:r>
        <w:rPr>
          <w:rFonts w:cs="David"/>
          <w:sz w:val="28"/>
          <w:szCs w:val="28"/>
          <w:u w:val="single"/>
          <w:rtl/>
        </w:rPr>
        <w:t>דברי - הסבר</w:t>
      </w:r>
    </w:p>
    <w:p w:rsidR="00000000" w:rsidRDefault="00BE0D63">
      <w:pPr>
        <w:pStyle w:val="7"/>
        <w:rPr>
          <w:rFonts w:cs="David"/>
          <w:sz w:val="26"/>
          <w:szCs w:val="26"/>
          <w:rtl/>
        </w:rPr>
      </w:pPr>
    </w:p>
    <w:p w:rsidR="00000000" w:rsidRDefault="00BE0D63">
      <w:pPr>
        <w:pStyle w:val="21"/>
        <w:rPr>
          <w:rFonts w:cs="David"/>
          <w:sz w:val="26"/>
          <w:szCs w:val="26"/>
          <w:rtl/>
        </w:rPr>
      </w:pPr>
      <w:r>
        <w:rPr>
          <w:rFonts w:cs="David"/>
          <w:sz w:val="26"/>
          <w:szCs w:val="26"/>
          <w:rtl/>
        </w:rPr>
        <w:t>החוק לתיקון סדרי המינהל (החלטות והנמקות), התשי"ט-1985 קובע את חובתו של עובד ציבור להחליט בבקשות שהוגשו לו בכתב, ולהשיב לפונה בכתב, ככלל, בתוך ארבעים וחמישה</w:t>
      </w:r>
      <w:r>
        <w:rPr>
          <w:rFonts w:cs="David"/>
          <w:sz w:val="26"/>
          <w:szCs w:val="26"/>
          <w:rtl/>
        </w:rPr>
        <w:t xml:space="preserve"> ימים. כן קובע החוק את חובתו של עובד הציבור לנמק את החלטתו בכתב, אם החליט לסרב לבקשה. עם זאת, סעיף 9(ב) לחוק הוציא מגדר חובות אלו את "החלטות שר הפנים או מי שהועברו אליו סמכויותיו לפי חוק הכניסה לישראל, התשי"ב-1952, למעט החלטה על ביטול רשיון ישיבה של מי ששו</w:t>
      </w:r>
      <w:r>
        <w:rPr>
          <w:rFonts w:cs="David"/>
          <w:sz w:val="26"/>
          <w:szCs w:val="26"/>
          <w:rtl/>
        </w:rPr>
        <w:t xml:space="preserve">הה בישראל כדין". </w:t>
      </w:r>
    </w:p>
    <w:p w:rsidR="00000000" w:rsidRDefault="00BE0D63">
      <w:pPr>
        <w:pStyle w:val="21"/>
        <w:rPr>
          <w:rFonts w:cs="David"/>
          <w:sz w:val="26"/>
          <w:szCs w:val="26"/>
          <w:rtl/>
        </w:rPr>
      </w:pPr>
    </w:p>
    <w:p w:rsidR="00000000" w:rsidRDefault="00BE0D63">
      <w:pPr>
        <w:pStyle w:val="21"/>
        <w:rPr>
          <w:rFonts w:cs="David"/>
          <w:sz w:val="26"/>
          <w:szCs w:val="26"/>
          <w:rtl/>
        </w:rPr>
      </w:pPr>
      <w:r>
        <w:rPr>
          <w:rFonts w:cs="David"/>
          <w:sz w:val="26"/>
          <w:szCs w:val="26"/>
          <w:rtl/>
        </w:rPr>
        <w:lastRenderedPageBreak/>
        <w:t>חוק הכניסה לישראל, התשי"ב-1952, העניק סמכויות רחבות מאוד לשר הפנים בעניין מתן אשרות כניסה ורשיונות ישיבה בישראל ובעניין הרחקה מישראל. סמכויות אלו נתונות בפועל בידי פקידי משרד הפנים. העיסוק בעניין הסדרת מעמדם של מהגרים בישראל, מחד, והרחקת</w:t>
      </w:r>
      <w:r>
        <w:rPr>
          <w:rFonts w:cs="David"/>
          <w:sz w:val="26"/>
          <w:szCs w:val="26"/>
          <w:rtl/>
        </w:rPr>
        <w:t>ם של מהגרים ללא היתר, מאידך, תופס בשנים האחרונות נפח אדיר מפעילות משרד הפנים. הפעילות האינטנסיבית מלווה בהפרות בוטות של זכויות אדם ואזרח, והיא מקור למאות התדיינויות משפטיות מדי שנה. בחלק ניכר מן העניינים פקידי משרד הפנים אינם משיבים לפונים בבקשות, או משיבי</w:t>
      </w:r>
      <w:r>
        <w:rPr>
          <w:rFonts w:cs="David"/>
          <w:sz w:val="26"/>
          <w:szCs w:val="26"/>
          <w:rtl/>
        </w:rPr>
        <w:t>ם לאחר תקופה ארוכה. במקרים בהם ניתנות תשובות, מדובר לא פעם בתשובות בלתי מנומקות ובלתי מספקות או בתשובות בעל פה.</w:t>
      </w:r>
    </w:p>
    <w:p w:rsidR="00000000" w:rsidRDefault="00BE0D63">
      <w:pPr>
        <w:pStyle w:val="21"/>
        <w:rPr>
          <w:rFonts w:cs="David"/>
          <w:sz w:val="26"/>
          <w:szCs w:val="26"/>
          <w:rtl/>
        </w:rPr>
      </w:pPr>
    </w:p>
    <w:p w:rsidR="00000000" w:rsidRDefault="00BE0D63">
      <w:pPr>
        <w:pStyle w:val="21"/>
        <w:rPr>
          <w:rFonts w:cs="David"/>
          <w:sz w:val="26"/>
          <w:szCs w:val="26"/>
          <w:rtl/>
          <w:lang w:eastAsia="en-US"/>
        </w:rPr>
      </w:pPr>
      <w:r>
        <w:rPr>
          <w:rFonts w:cs="David"/>
          <w:sz w:val="26"/>
          <w:szCs w:val="26"/>
          <w:rtl/>
        </w:rPr>
        <w:t>שיקול הדעת המסור למשרד הפנים אינו יכול לשמש מקור להפקרות ולשרירות. תשובות יש לתת בכתב לאחר פרק זמן סביר. אם הבקשה סורבה – יש לנמק את הסירוב בכת</w:t>
      </w:r>
      <w:r>
        <w:rPr>
          <w:rFonts w:cs="David"/>
          <w:sz w:val="26"/>
          <w:szCs w:val="26"/>
          <w:rtl/>
        </w:rPr>
        <w:t xml:space="preserve">ב. </w:t>
      </w:r>
      <w:r>
        <w:rPr>
          <w:rFonts w:ascii="Tahoma" w:hAnsi="Tahoma" w:cs="David"/>
          <w:sz w:val="26"/>
          <w:szCs w:val="26"/>
          <w:rtl/>
          <w:lang w:eastAsia="en-US"/>
        </w:rPr>
        <w:t xml:space="preserve">חובת ההנמקה תורמת למערכת יחסים ראויה בין הרשות המינהלית לבין האזרח, ומקהה את התחושה של שרירות שלטונית, </w:t>
      </w:r>
      <w:r>
        <w:rPr>
          <w:rFonts w:cs="David"/>
          <w:sz w:val="26"/>
          <w:szCs w:val="26"/>
          <w:rtl/>
          <w:lang w:eastAsia="en-US"/>
        </w:rPr>
        <w:t>הנוצרת שעה שלפונה אין מושג על בסיס אלה נתונים התקבלה ההחלטה הגורלית בעניינו. ההנמקה מאפשרת לפונה אל הרשות לשקול את היסוד והטעם להחלטה ולהעמידה, אם רצו</w:t>
      </w:r>
      <w:r>
        <w:rPr>
          <w:rFonts w:cs="David"/>
          <w:sz w:val="26"/>
          <w:szCs w:val="26"/>
          <w:rtl/>
          <w:lang w:eastAsia="en-US"/>
        </w:rPr>
        <w:t>נו בכך, לביקורת שיפוטית (</w:t>
      </w:r>
      <w:r>
        <w:rPr>
          <w:rFonts w:ascii="Tahoma" w:hAnsi="Tahoma" w:cs="David"/>
          <w:sz w:val="26"/>
          <w:szCs w:val="26"/>
          <w:rtl/>
        </w:rPr>
        <w:t xml:space="preserve">יצחק זמיר </w:t>
      </w:r>
      <w:r>
        <w:rPr>
          <w:rFonts w:ascii="Tahoma" w:hAnsi="Tahoma" w:cs="David"/>
          <w:b/>
          <w:bCs/>
          <w:sz w:val="26"/>
          <w:szCs w:val="26"/>
          <w:rtl/>
        </w:rPr>
        <w:t>הסמכות המינהלית</w:t>
      </w:r>
      <w:r>
        <w:rPr>
          <w:rFonts w:ascii="Tahoma" w:hAnsi="Tahoma" w:cs="David"/>
          <w:sz w:val="26"/>
          <w:szCs w:val="26"/>
          <w:rtl/>
        </w:rPr>
        <w:t xml:space="preserve"> (תשנ"ו) ב' 897- 898).</w:t>
      </w:r>
    </w:p>
    <w:p w:rsidR="00000000" w:rsidRDefault="00BE0D63">
      <w:pPr>
        <w:pStyle w:val="21"/>
        <w:rPr>
          <w:rFonts w:cs="David"/>
          <w:sz w:val="26"/>
          <w:szCs w:val="26"/>
          <w:rtl/>
        </w:rPr>
      </w:pPr>
    </w:p>
    <w:p w:rsidR="00000000" w:rsidRDefault="00BE0D63">
      <w:pPr>
        <w:pStyle w:val="21"/>
        <w:rPr>
          <w:rFonts w:cs="David"/>
          <w:sz w:val="26"/>
          <w:szCs w:val="26"/>
          <w:rtl/>
        </w:rPr>
      </w:pPr>
      <w:r>
        <w:rPr>
          <w:rFonts w:cs="David"/>
          <w:sz w:val="26"/>
          <w:szCs w:val="26"/>
          <w:rtl/>
        </w:rPr>
        <w:t>חשוב להדגיש, כי אין בקביעת חובת מתן מענה וחובת הנמקה על ידי משרד הפנים כדי לפגוע בביטחון המדינה. סעיף 3א(2) לחוק לתיקון סדרי המינהל (החלטות והנמקות), התשי"ט-1958 קובע מפורשות, כי עוב</w:t>
      </w:r>
      <w:r>
        <w:rPr>
          <w:rFonts w:cs="David"/>
          <w:sz w:val="26"/>
          <w:szCs w:val="26"/>
          <w:rtl/>
        </w:rPr>
        <w:t>ד ציבור יהיה פטור מחובת ההנמקה "כשבטחון המדינה או יחסי-חוץ שלה מחייבים שלא לגלות נימוקי ההחלטה". זאת ועוד, סעיף 3א(5) לחוק קובע, כי עובד ציבור יהא פטור מהנמקה "כשיש בגילוי הנימוקים, לדעת עובד הציבור, משום גילוי סוד מקצועי או ידיעה סודית כמשמעותם לפי כל דין</w:t>
      </w:r>
      <w:r>
        <w:rPr>
          <w:rFonts w:cs="David"/>
          <w:sz w:val="26"/>
          <w:szCs w:val="26"/>
          <w:rtl/>
        </w:rPr>
        <w:t xml:space="preserve">". עקרונות אלה, החלים על  כל גופי המינהל הציבורי, יחולו,  כמובן, גם על משרד הפנים. </w:t>
      </w:r>
    </w:p>
    <w:p w:rsidR="00000000" w:rsidRDefault="00BE0D63">
      <w:pPr>
        <w:pStyle w:val="21"/>
        <w:rPr>
          <w:rFonts w:cs="David"/>
          <w:sz w:val="26"/>
          <w:szCs w:val="26"/>
          <w:rtl/>
        </w:rPr>
      </w:pPr>
    </w:p>
    <w:p w:rsidR="00000000" w:rsidRDefault="00BE0D63">
      <w:pPr>
        <w:spacing w:line="360" w:lineRule="auto"/>
        <w:jc w:val="both"/>
        <w:rPr>
          <w:rFonts w:cs="David"/>
          <w:sz w:val="26"/>
          <w:szCs w:val="26"/>
          <w:rtl/>
        </w:rPr>
      </w:pPr>
      <w:r>
        <w:rPr>
          <w:rFonts w:cs="David"/>
          <w:sz w:val="26"/>
          <w:szCs w:val="26"/>
          <w:rtl/>
        </w:rPr>
        <w:t>לפיכך, מוצע לבטל את הפטור שניתן למשרד הפנים בעניין מתן מענה מנומק לבקשות שהוגשו על פי חוק הכניסה לישראל, התשי"ב-1952.</w:t>
      </w:r>
    </w:p>
    <w:p w:rsidR="00000000" w:rsidRDefault="00BE0D63">
      <w:pPr>
        <w:spacing w:line="360" w:lineRule="auto"/>
        <w:jc w:val="both"/>
        <w:rPr>
          <w:rFonts w:cs="David"/>
          <w:sz w:val="26"/>
          <w:szCs w:val="26"/>
          <w:rtl/>
        </w:rPr>
      </w:pPr>
    </w:p>
    <w:p w:rsidR="00000000" w:rsidRDefault="00BE0D63">
      <w:pPr>
        <w:spacing w:line="360" w:lineRule="auto"/>
        <w:jc w:val="both"/>
        <w:rPr>
          <w:rFonts w:cs="David"/>
          <w:sz w:val="26"/>
          <w:szCs w:val="26"/>
          <w:rtl/>
        </w:rPr>
      </w:pPr>
      <w:r>
        <w:rPr>
          <w:rFonts w:cs="David"/>
          <w:sz w:val="26"/>
          <w:szCs w:val="26"/>
          <w:rtl/>
        </w:rPr>
        <w:t>הצעת חוק זהה הונחה על שולחן הכנסת השש-עשרה על ידי חב</w:t>
      </w:r>
      <w:r>
        <w:rPr>
          <w:rFonts w:cs="David"/>
          <w:sz w:val="26"/>
          <w:szCs w:val="26"/>
          <w:rtl/>
        </w:rPr>
        <w:t>ר הכנסת יורי שטרן וקבוצת חברי הכנסת (פ/3198).</w:t>
      </w:r>
    </w:p>
    <w:p w:rsidR="00000000" w:rsidRDefault="00BE0D63">
      <w:pPr>
        <w:spacing w:line="360" w:lineRule="auto"/>
        <w:jc w:val="both"/>
        <w:rPr>
          <w:rFonts w:cs="David"/>
          <w:sz w:val="26"/>
          <w:szCs w:val="26"/>
          <w:rtl/>
        </w:rPr>
      </w:pPr>
    </w:p>
    <w:p w:rsidR="00000000" w:rsidRDefault="00BE0D63">
      <w:pPr>
        <w:spacing w:line="360" w:lineRule="auto"/>
        <w:jc w:val="both"/>
        <w:rPr>
          <w:rFonts w:cs="David"/>
          <w:sz w:val="26"/>
          <w:szCs w:val="26"/>
          <w:rtl/>
        </w:rPr>
      </w:pPr>
    </w:p>
    <w:p w:rsidR="00000000" w:rsidRDefault="00BE0D63">
      <w:pPr>
        <w:spacing w:line="360" w:lineRule="auto"/>
        <w:jc w:val="both"/>
        <w:rPr>
          <w:rFonts w:cs="David"/>
          <w:sz w:val="26"/>
          <w:szCs w:val="26"/>
          <w:rtl/>
        </w:rPr>
      </w:pPr>
      <w:r>
        <w:rPr>
          <w:rFonts w:cs="David"/>
          <w:sz w:val="26"/>
          <w:szCs w:val="26"/>
          <w:rtl/>
        </w:rPr>
        <w:t>-----------------------------</w:t>
      </w:r>
    </w:p>
    <w:p w:rsidR="00000000" w:rsidRDefault="00BE0D63">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BE0D63">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BE0D63">
      <w:pPr>
        <w:pStyle w:val="a3"/>
        <w:spacing w:line="360" w:lineRule="auto"/>
        <w:jc w:val="left"/>
        <w:rPr>
          <w:rFonts w:cs="David"/>
          <w:b w:val="0"/>
          <w:bCs w:val="0"/>
          <w:sz w:val="26"/>
          <w:szCs w:val="26"/>
          <w:u w:val="none"/>
        </w:rPr>
      </w:pPr>
      <w:r>
        <w:rPr>
          <w:rFonts w:cs="David"/>
          <w:b w:val="0"/>
          <w:bCs w:val="0"/>
          <w:sz w:val="26"/>
          <w:szCs w:val="26"/>
          <w:u w:val="none"/>
          <w:rtl/>
        </w:rPr>
        <w:t>כ"ג בתמוז התשס"ו – 19.7.06</w:t>
      </w: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E0D63">
      <w:r>
        <w:separator/>
      </w:r>
    </w:p>
  </w:endnote>
  <w:endnote w:type="continuationSeparator" w:id="0">
    <w:p w:rsidR="00000000" w:rsidRDefault="00BE0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D6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D6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E0D63">
      <w:r>
        <w:separator/>
      </w:r>
    </w:p>
  </w:footnote>
  <w:footnote w:type="continuationSeparator" w:id="0">
    <w:p w:rsidR="00000000" w:rsidRDefault="00BE0D63">
      <w:r>
        <w:continuationSeparator/>
      </w:r>
    </w:p>
  </w:footnote>
  <w:footnote w:id="1">
    <w:p w:rsidR="00000000" w:rsidRDefault="00BE0D63">
      <w:pPr>
        <w:pStyle w:val="a8"/>
      </w:pPr>
      <w:r>
        <w:rPr>
          <w:rStyle w:val="aa"/>
          <w:rFonts w:cs="David"/>
        </w:rPr>
        <w:footnoteRef/>
      </w:r>
      <w:r>
        <w:rPr>
          <w:rFonts w:cs="David"/>
        </w:rPr>
        <w:t xml:space="preserve"> </w:t>
      </w:r>
      <w:r>
        <w:rPr>
          <w:rFonts w:cs="David"/>
          <w:rtl/>
        </w:rPr>
        <w:t xml:space="preserve"> ס"ח התשי"ט, עמ' 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D63">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BE0D6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D6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367äçìèåú ìôé çå÷ äëðéñä  ìéùøàì.doc"/>
    <w:docVar w:name="StartMode" w:val="2"/>
  </w:docVars>
  <w:rsids>
    <w:rsidRoot w:val="00BE0D63"/>
    <w:rsid w:val="00BE0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sz w:val="28"/>
      <w:szCs w:val="28"/>
      <w:u w:val="single"/>
    </w:rPr>
  </w:style>
  <w:style w:type="paragraph" w:styleId="2">
    <w:name w:val="heading 2"/>
    <w:basedOn w:val="a"/>
    <w:next w:val="a"/>
    <w:link w:val="20"/>
    <w:uiPriority w:val="99"/>
    <w:qFormat/>
    <w:pPr>
      <w:keepNext/>
      <w:jc w:val="center"/>
      <w:outlineLvl w:val="1"/>
    </w:pPr>
    <w:rPr>
      <w:rFonts w:eastAsia="Times New Roman"/>
      <w:sz w:val="32"/>
      <w:szCs w:val="32"/>
    </w:rPr>
  </w:style>
  <w:style w:type="paragraph" w:styleId="7">
    <w:name w:val="heading 7"/>
    <w:basedOn w:val="a"/>
    <w:next w:val="a"/>
    <w:link w:val="70"/>
    <w:uiPriority w:val="99"/>
    <w:qFormat/>
    <w:pPr>
      <w:keepNext/>
      <w:spacing w:line="360" w:lineRule="auto"/>
      <w:jc w:val="both"/>
      <w:outlineLvl w:val="6"/>
    </w:pPr>
    <w:rPr>
      <w:rFonts w:ascii="Arial" w:eastAsia="Times New Roman" w:hAnsi="Arial"/>
      <w:b/>
      <w:bCs/>
    </w:rPr>
  </w:style>
  <w:style w:type="paragraph" w:styleId="8">
    <w:name w:val="heading 8"/>
    <w:basedOn w:val="a"/>
    <w:next w:val="a"/>
    <w:link w:val="80"/>
    <w:uiPriority w:val="99"/>
    <w:qFormat/>
    <w:pPr>
      <w:keepNext/>
      <w:spacing w:line="360" w:lineRule="auto"/>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21">
    <w:name w:val="Body Text 2"/>
    <w:basedOn w:val="a"/>
    <w:link w:val="22"/>
    <w:uiPriority w:val="99"/>
    <w:pPr>
      <w:spacing w:line="360" w:lineRule="auto"/>
      <w:jc w:val="both"/>
    </w:pPr>
    <w:rPr>
      <w:rFonts w:eastAsia="Times New Roman"/>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6"/>
      <w:szCs w:val="16"/>
      <w:lang w:eastAsia="he-IL"/>
    </w:rPr>
  </w:style>
  <w:style w:type="paragraph" w:styleId="ad">
    <w:name w:val="footer"/>
    <w:basedOn w:val="a"/>
    <w:link w:val="ae"/>
    <w:uiPriority w:val="99"/>
    <w:pPr>
      <w:tabs>
        <w:tab w:val="center" w:pos="4153"/>
        <w:tab w:val="right" w:pos="8306"/>
      </w:tabs>
    </w:pPr>
  </w:style>
  <w:style w:type="character" w:customStyle="1" w:styleId="ae">
    <w:name w:val="כותרת תחתונה תו"/>
    <w:basedOn w:val="a0"/>
    <w:link w:val="ad"/>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467</Words>
  <Characters>2339</Characters>
  <Application>Microsoft Office Word</Application>
  <DocSecurity>0</DocSecurity>
  <Lines>19</Lines>
  <Paragraphs>5</Paragraphs>
  <ScaleCrop>false</ScaleCrop>
  <Company>knesset</Company>
  <LinksUpToDate>false</LinksUpToDate>
  <CharactersWithSpaces>2801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סדרי מנהל (החלטות והנמקות)(תיקון- החלטות לפי חוק הכניסה לישראל), התשס"ו- 2006 </dc:title>
  <dc:subject/>
  <dc:creator>יורי שטרן</dc:creator>
  <cp:keywords/>
  <dc:description/>
  <cp:lastModifiedBy>שמואל כוכב</cp:lastModifiedBy>
  <cp:revision>2</cp:revision>
  <cp:lastPrinted>2006-07-17T12:50:00Z</cp:lastPrinted>
  <dcterms:created xsi:type="dcterms:W3CDTF">2015-02-03T16:51:00Z</dcterms:created>
  <dcterms:modified xsi:type="dcterms:W3CDTF">2015-02-03T16:51:00Z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יורי שטרן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03997606</vt:lpwstr>
  </property>
  <property fmtid="{D5CDD505-2E9C-101B-9397-08002B2CF9AE}" pid="10" name="מספר הצעת חוק למיון">
    <vt:lpwstr>1391</vt:lpwstr>
  </property>
  <property fmtid="{D5CDD505-2E9C-101B-9397-08002B2CF9AE}" pid="11" name="SDDocDate">
    <vt:lpwstr>2006-07-17T00:00:00Z</vt:lpwstr>
  </property>
  <property fmtid="{D5CDD505-2E9C-101B-9397-08002B2CF9AE}" pid="12" name="SDHebDate">
    <vt:lpwstr>כ"א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פ/1391/17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