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353D6">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4353D6">
      <w:pPr>
        <w:rPr>
          <w:rFonts w:cs="David"/>
          <w:sz w:val="26"/>
          <w:szCs w:val="26"/>
          <w:rtl/>
        </w:rPr>
      </w:pPr>
    </w:p>
    <w:p w:rsidR="00000000" w:rsidRDefault="004353D6">
      <w:pPr>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771"/>
      </w:tblGrid>
      <w:tr w:rsidR="00000000">
        <w:tblPrEx>
          <w:tblCellMar>
            <w:top w:w="0" w:type="dxa"/>
            <w:bottom w:w="0" w:type="dxa"/>
          </w:tblCellMar>
        </w:tblPrEx>
        <w:tc>
          <w:tcPr>
            <w:tcW w:w="4771" w:type="dxa"/>
            <w:tcBorders>
              <w:top w:val="nil"/>
              <w:left w:val="nil"/>
              <w:bottom w:val="single" w:sz="4" w:space="0" w:color="auto"/>
              <w:right w:val="nil"/>
            </w:tcBorders>
          </w:tcPr>
          <w:p w:rsidR="00000000" w:rsidRDefault="004353D6">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רן כהן</w:t>
            </w:r>
          </w:p>
        </w:tc>
      </w:tr>
    </w:tbl>
    <w:p w:rsidR="00000000" w:rsidRDefault="004353D6">
      <w:pPr>
        <w:rPr>
          <w:rFonts w:cs="David"/>
          <w:b/>
          <w:bCs/>
          <w:rtl/>
        </w:rPr>
      </w:pPr>
      <w:r>
        <w:rPr>
          <w:rFonts w:cs="David"/>
          <w:sz w:val="26"/>
          <w:szCs w:val="26"/>
          <w:rtl/>
        </w:rPr>
        <w:t xml:space="preserve">                                                                                                   </w:t>
      </w:r>
      <w:r>
        <w:rPr>
          <w:rFonts w:cs="David"/>
          <w:b/>
          <w:bCs/>
          <w:rtl/>
        </w:rPr>
        <w:t>פ/727/17</w:t>
      </w:r>
    </w:p>
    <w:p w:rsidR="00000000" w:rsidRDefault="004353D6">
      <w:pPr>
        <w:rPr>
          <w:rFonts w:cs="David"/>
          <w:sz w:val="26"/>
          <w:szCs w:val="26"/>
          <w:rtl/>
        </w:rPr>
      </w:pPr>
    </w:p>
    <w:p w:rsidR="00000000" w:rsidRDefault="004353D6">
      <w:pPr>
        <w:jc w:val="center"/>
        <w:rPr>
          <w:rFonts w:cs="David"/>
          <w:b/>
          <w:bCs/>
          <w:sz w:val="28"/>
          <w:szCs w:val="28"/>
          <w:rtl/>
        </w:rPr>
      </w:pPr>
      <w:r>
        <w:rPr>
          <w:rFonts w:cs="David"/>
          <w:b/>
          <w:bCs/>
          <w:sz w:val="28"/>
          <w:szCs w:val="28"/>
          <w:rtl/>
        </w:rPr>
        <w:t>הצעת חוק שותפות יישובים באזורי תעשיה מרחביים, התשס"ו-2006</w:t>
      </w:r>
    </w:p>
    <w:p w:rsidR="00000000" w:rsidRDefault="004353D6">
      <w:pPr>
        <w:rPr>
          <w:rFonts w:cs="David"/>
          <w:sz w:val="26"/>
          <w:szCs w:val="26"/>
          <w:rtl/>
        </w:rPr>
      </w:pPr>
    </w:p>
    <w:p w:rsidR="00000000" w:rsidRDefault="004353D6">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79"/>
        <w:gridCol w:w="547"/>
        <w:gridCol w:w="567"/>
        <w:gridCol w:w="6127"/>
      </w:tblGrid>
      <w:tr w:rsidR="00000000">
        <w:tblPrEx>
          <w:tblCellMar>
            <w:top w:w="0" w:type="dxa"/>
            <w:bottom w:w="0" w:type="dxa"/>
          </w:tblCellMar>
        </w:tblPrEx>
        <w:trPr>
          <w:cantSplit/>
        </w:trPr>
        <w:tc>
          <w:tcPr>
            <w:tcW w:w="1179" w:type="dxa"/>
            <w:tcBorders>
              <w:top w:val="nil"/>
              <w:left w:val="nil"/>
              <w:bottom w:val="nil"/>
              <w:right w:val="nil"/>
            </w:tcBorders>
          </w:tcPr>
          <w:p w:rsidR="00000000" w:rsidRDefault="004353D6">
            <w:pPr>
              <w:spacing w:after="120"/>
              <w:rPr>
                <w:rFonts w:cs="David"/>
                <w:sz w:val="26"/>
                <w:szCs w:val="26"/>
              </w:rPr>
            </w:pPr>
            <w:r>
              <w:rPr>
                <w:rFonts w:cs="David"/>
                <w:sz w:val="26"/>
                <w:szCs w:val="26"/>
                <w:rtl/>
              </w:rPr>
              <w:t>חלוקת הכנסות מאזור תעשיה מרחבי</w:t>
            </w:r>
          </w:p>
        </w:tc>
        <w:tc>
          <w:tcPr>
            <w:tcW w:w="547" w:type="dxa"/>
            <w:tcBorders>
              <w:top w:val="nil"/>
              <w:left w:val="nil"/>
              <w:bottom w:val="nil"/>
              <w:right w:val="nil"/>
            </w:tcBorders>
          </w:tcPr>
          <w:p w:rsidR="00000000" w:rsidRDefault="004353D6">
            <w:pPr>
              <w:spacing w:after="120"/>
              <w:rPr>
                <w:rFonts w:cs="David"/>
                <w:sz w:val="26"/>
                <w:szCs w:val="26"/>
              </w:rPr>
            </w:pPr>
            <w:r>
              <w:rPr>
                <w:rFonts w:cs="David"/>
                <w:sz w:val="26"/>
                <w:szCs w:val="26"/>
                <w:rtl/>
              </w:rPr>
              <w:t>1.</w:t>
            </w:r>
          </w:p>
        </w:tc>
        <w:tc>
          <w:tcPr>
            <w:tcW w:w="6694" w:type="dxa"/>
            <w:gridSpan w:val="2"/>
            <w:tcBorders>
              <w:top w:val="nil"/>
              <w:left w:val="nil"/>
              <w:bottom w:val="nil"/>
              <w:right w:val="nil"/>
            </w:tcBorders>
          </w:tcPr>
          <w:p w:rsidR="00000000" w:rsidRDefault="004353D6">
            <w:pPr>
              <w:spacing w:after="120"/>
              <w:jc w:val="both"/>
              <w:rPr>
                <w:rFonts w:cs="David"/>
                <w:sz w:val="26"/>
                <w:szCs w:val="26"/>
                <w:rtl/>
              </w:rPr>
            </w:pPr>
          </w:p>
          <w:p w:rsidR="00000000" w:rsidRDefault="004353D6">
            <w:pPr>
              <w:spacing w:after="120" w:line="360" w:lineRule="auto"/>
              <w:jc w:val="both"/>
              <w:rPr>
                <w:rFonts w:cs="David"/>
                <w:sz w:val="26"/>
                <w:szCs w:val="26"/>
                <w:rtl/>
              </w:rPr>
            </w:pPr>
            <w:r>
              <w:rPr>
                <w:rFonts w:cs="David"/>
                <w:sz w:val="26"/>
                <w:szCs w:val="26"/>
                <w:rtl/>
              </w:rPr>
              <w:t xml:space="preserve">ההכנסות ממסי ארנונה של אזור תעשיה, הנמצא בשטחה של רשות מקומית אחת והנמצא במרחק שאינו עולה על 20 ק"מ מרשות מקומית אחרת שבה אין אזור תעשיה (בחוק זה – אזור תעשיה </w:t>
            </w:r>
            <w:r>
              <w:rPr>
                <w:rFonts w:cs="David"/>
                <w:sz w:val="26"/>
                <w:szCs w:val="26"/>
                <w:rtl/>
              </w:rPr>
              <w:t>מרחבי), יתחלקו בין הרשויות האמורות, לפי הוראות סעיף 2.</w:t>
            </w:r>
          </w:p>
          <w:p w:rsidR="00000000" w:rsidRDefault="004353D6">
            <w:pPr>
              <w:spacing w:after="120"/>
              <w:jc w:val="both"/>
              <w:rPr>
                <w:rFonts w:cs="David"/>
                <w:sz w:val="26"/>
                <w:szCs w:val="26"/>
              </w:rPr>
            </w:pPr>
          </w:p>
        </w:tc>
      </w:tr>
      <w:tr w:rsidR="00000000">
        <w:tblPrEx>
          <w:tblCellMar>
            <w:top w:w="0" w:type="dxa"/>
            <w:bottom w:w="0" w:type="dxa"/>
          </w:tblCellMar>
        </w:tblPrEx>
        <w:trPr>
          <w:cantSplit/>
        </w:trPr>
        <w:tc>
          <w:tcPr>
            <w:tcW w:w="1179" w:type="dxa"/>
            <w:vMerge w:val="restart"/>
            <w:tcBorders>
              <w:top w:val="nil"/>
              <w:left w:val="nil"/>
              <w:bottom w:val="nil"/>
              <w:right w:val="nil"/>
            </w:tcBorders>
          </w:tcPr>
          <w:p w:rsidR="00000000" w:rsidRDefault="004353D6">
            <w:pPr>
              <w:spacing w:after="120"/>
              <w:rPr>
                <w:rFonts w:cs="David"/>
                <w:sz w:val="26"/>
                <w:szCs w:val="26"/>
              </w:rPr>
            </w:pPr>
            <w:r>
              <w:rPr>
                <w:rFonts w:cs="David"/>
                <w:sz w:val="26"/>
                <w:szCs w:val="26"/>
                <w:rtl/>
              </w:rPr>
              <w:t>קביעת היקף השותפות</w:t>
            </w:r>
          </w:p>
        </w:tc>
        <w:tc>
          <w:tcPr>
            <w:tcW w:w="547" w:type="dxa"/>
            <w:tcBorders>
              <w:top w:val="nil"/>
              <w:left w:val="nil"/>
              <w:bottom w:val="nil"/>
              <w:right w:val="nil"/>
            </w:tcBorders>
          </w:tcPr>
          <w:p w:rsidR="00000000" w:rsidRDefault="004353D6">
            <w:pPr>
              <w:spacing w:after="120"/>
              <w:rPr>
                <w:rFonts w:cs="David"/>
                <w:sz w:val="26"/>
                <w:szCs w:val="26"/>
              </w:rPr>
            </w:pPr>
            <w:r>
              <w:rPr>
                <w:rFonts w:cs="David"/>
                <w:sz w:val="26"/>
                <w:szCs w:val="26"/>
                <w:rtl/>
              </w:rPr>
              <w:t>2.</w:t>
            </w:r>
          </w:p>
        </w:tc>
        <w:tc>
          <w:tcPr>
            <w:tcW w:w="6694" w:type="dxa"/>
            <w:gridSpan w:val="2"/>
            <w:tcBorders>
              <w:top w:val="nil"/>
              <w:left w:val="nil"/>
              <w:bottom w:val="nil"/>
              <w:right w:val="nil"/>
            </w:tcBorders>
          </w:tcPr>
          <w:p w:rsidR="00000000" w:rsidRDefault="004353D6">
            <w:pPr>
              <w:spacing w:after="120" w:line="360" w:lineRule="auto"/>
              <w:jc w:val="both"/>
              <w:rPr>
                <w:rFonts w:cs="David"/>
                <w:sz w:val="26"/>
                <w:szCs w:val="26"/>
              </w:rPr>
            </w:pPr>
            <w:r>
              <w:rPr>
                <w:rFonts w:cs="David"/>
                <w:sz w:val="26"/>
                <w:szCs w:val="26"/>
                <w:rtl/>
              </w:rPr>
              <w:t>שר הפנים יקבע את אופן חלוקת מסי הארנונה שיתקבלו מאזורי התעשיה המרחביים בין הרשויות המקומיות השותפות בו, ובלבד שיתבסס, בין היתר, על -</w:t>
            </w:r>
          </w:p>
        </w:tc>
      </w:tr>
      <w:tr w:rsidR="00000000">
        <w:tblPrEx>
          <w:tblCellMar>
            <w:top w:w="0" w:type="dxa"/>
            <w:bottom w:w="0" w:type="dxa"/>
          </w:tblCellMar>
        </w:tblPrEx>
        <w:trPr>
          <w:cantSplit/>
        </w:trPr>
        <w:tc>
          <w:tcPr>
            <w:tcW w:w="1179" w:type="dxa"/>
            <w:vMerge/>
            <w:tcBorders>
              <w:top w:val="nil"/>
              <w:left w:val="nil"/>
              <w:bottom w:val="nil"/>
              <w:right w:val="nil"/>
            </w:tcBorders>
          </w:tcPr>
          <w:p w:rsidR="00000000" w:rsidRDefault="004353D6">
            <w:pPr>
              <w:spacing w:after="120"/>
              <w:rPr>
                <w:rFonts w:cs="David"/>
                <w:sz w:val="26"/>
                <w:szCs w:val="26"/>
              </w:rPr>
            </w:pPr>
          </w:p>
        </w:tc>
        <w:tc>
          <w:tcPr>
            <w:tcW w:w="547" w:type="dxa"/>
            <w:tcBorders>
              <w:top w:val="nil"/>
              <w:left w:val="nil"/>
              <w:bottom w:val="nil"/>
              <w:right w:val="nil"/>
            </w:tcBorders>
          </w:tcPr>
          <w:p w:rsidR="00000000" w:rsidRDefault="004353D6">
            <w:pPr>
              <w:spacing w:after="120"/>
              <w:rPr>
                <w:rFonts w:cs="David"/>
                <w:sz w:val="26"/>
                <w:szCs w:val="26"/>
              </w:rPr>
            </w:pPr>
          </w:p>
        </w:tc>
        <w:tc>
          <w:tcPr>
            <w:tcW w:w="567" w:type="dxa"/>
            <w:tcBorders>
              <w:top w:val="nil"/>
              <w:left w:val="nil"/>
              <w:bottom w:val="nil"/>
              <w:right w:val="nil"/>
            </w:tcBorders>
          </w:tcPr>
          <w:p w:rsidR="00000000" w:rsidRDefault="004353D6">
            <w:pPr>
              <w:spacing w:after="120"/>
              <w:rPr>
                <w:rFonts w:cs="David"/>
                <w:sz w:val="26"/>
                <w:szCs w:val="26"/>
              </w:rPr>
            </w:pPr>
            <w:r>
              <w:rPr>
                <w:rFonts w:cs="David"/>
                <w:sz w:val="26"/>
                <w:szCs w:val="26"/>
                <w:rtl/>
              </w:rPr>
              <w:t>(1)</w:t>
            </w:r>
          </w:p>
        </w:tc>
        <w:tc>
          <w:tcPr>
            <w:tcW w:w="6127" w:type="dxa"/>
            <w:tcBorders>
              <w:top w:val="nil"/>
              <w:left w:val="nil"/>
              <w:bottom w:val="nil"/>
              <w:right w:val="nil"/>
            </w:tcBorders>
          </w:tcPr>
          <w:p w:rsidR="00000000" w:rsidRDefault="004353D6">
            <w:pPr>
              <w:spacing w:after="120" w:line="360" w:lineRule="auto"/>
              <w:jc w:val="both"/>
              <w:rPr>
                <w:rFonts w:cs="David"/>
                <w:sz w:val="26"/>
                <w:szCs w:val="26"/>
              </w:rPr>
            </w:pPr>
            <w:r>
              <w:rPr>
                <w:rFonts w:cs="David"/>
                <w:sz w:val="26"/>
                <w:szCs w:val="26"/>
                <w:rtl/>
              </w:rPr>
              <w:t>מספר התושבים בכל אחת מהרשויות המקומיו</w:t>
            </w:r>
            <w:r>
              <w:rPr>
                <w:rFonts w:cs="David"/>
                <w:sz w:val="26"/>
                <w:szCs w:val="26"/>
                <w:rtl/>
              </w:rPr>
              <w:t>ת;</w:t>
            </w:r>
          </w:p>
        </w:tc>
      </w:tr>
      <w:tr w:rsidR="00000000">
        <w:tblPrEx>
          <w:tblCellMar>
            <w:top w:w="0" w:type="dxa"/>
            <w:bottom w:w="0" w:type="dxa"/>
          </w:tblCellMar>
        </w:tblPrEx>
        <w:trPr>
          <w:cantSplit/>
        </w:trPr>
        <w:tc>
          <w:tcPr>
            <w:tcW w:w="1179" w:type="dxa"/>
            <w:vMerge/>
            <w:tcBorders>
              <w:top w:val="nil"/>
              <w:left w:val="nil"/>
              <w:bottom w:val="nil"/>
              <w:right w:val="nil"/>
            </w:tcBorders>
          </w:tcPr>
          <w:p w:rsidR="00000000" w:rsidRDefault="004353D6">
            <w:pPr>
              <w:spacing w:after="120"/>
              <w:rPr>
                <w:rFonts w:cs="David"/>
                <w:sz w:val="26"/>
                <w:szCs w:val="26"/>
              </w:rPr>
            </w:pPr>
          </w:p>
        </w:tc>
        <w:tc>
          <w:tcPr>
            <w:tcW w:w="547" w:type="dxa"/>
            <w:tcBorders>
              <w:top w:val="nil"/>
              <w:left w:val="nil"/>
              <w:bottom w:val="nil"/>
              <w:right w:val="nil"/>
            </w:tcBorders>
          </w:tcPr>
          <w:p w:rsidR="00000000" w:rsidRDefault="004353D6">
            <w:pPr>
              <w:spacing w:after="120"/>
              <w:rPr>
                <w:rFonts w:cs="David"/>
                <w:sz w:val="26"/>
                <w:szCs w:val="26"/>
              </w:rPr>
            </w:pPr>
          </w:p>
        </w:tc>
        <w:tc>
          <w:tcPr>
            <w:tcW w:w="567" w:type="dxa"/>
            <w:tcBorders>
              <w:top w:val="nil"/>
              <w:left w:val="nil"/>
              <w:bottom w:val="nil"/>
              <w:right w:val="nil"/>
            </w:tcBorders>
          </w:tcPr>
          <w:p w:rsidR="00000000" w:rsidRDefault="004353D6">
            <w:pPr>
              <w:spacing w:after="120"/>
              <w:rPr>
                <w:rFonts w:cs="David"/>
                <w:sz w:val="26"/>
                <w:szCs w:val="26"/>
              </w:rPr>
            </w:pPr>
            <w:r>
              <w:rPr>
                <w:rFonts w:cs="David"/>
                <w:sz w:val="26"/>
                <w:szCs w:val="26"/>
                <w:rtl/>
              </w:rPr>
              <w:t>(2)</w:t>
            </w:r>
          </w:p>
        </w:tc>
        <w:tc>
          <w:tcPr>
            <w:tcW w:w="6127" w:type="dxa"/>
            <w:tcBorders>
              <w:top w:val="nil"/>
              <w:left w:val="nil"/>
              <w:bottom w:val="nil"/>
              <w:right w:val="nil"/>
            </w:tcBorders>
          </w:tcPr>
          <w:p w:rsidR="00000000" w:rsidRDefault="004353D6">
            <w:pPr>
              <w:spacing w:after="120" w:line="360" w:lineRule="auto"/>
              <w:jc w:val="both"/>
              <w:rPr>
                <w:rFonts w:cs="David"/>
                <w:sz w:val="26"/>
                <w:szCs w:val="26"/>
              </w:rPr>
            </w:pPr>
            <w:r>
              <w:rPr>
                <w:rFonts w:cs="David"/>
                <w:sz w:val="26"/>
                <w:szCs w:val="26"/>
                <w:rtl/>
              </w:rPr>
              <w:t>השקעת הרשויות המקומיות בתשתיות אזור התעשיה;</w:t>
            </w:r>
          </w:p>
        </w:tc>
      </w:tr>
      <w:tr w:rsidR="00000000">
        <w:tblPrEx>
          <w:tblCellMar>
            <w:top w:w="0" w:type="dxa"/>
            <w:bottom w:w="0" w:type="dxa"/>
          </w:tblCellMar>
        </w:tblPrEx>
        <w:trPr>
          <w:cantSplit/>
        </w:trPr>
        <w:tc>
          <w:tcPr>
            <w:tcW w:w="1179" w:type="dxa"/>
            <w:tcBorders>
              <w:top w:val="nil"/>
              <w:left w:val="nil"/>
              <w:bottom w:val="nil"/>
              <w:right w:val="nil"/>
            </w:tcBorders>
          </w:tcPr>
          <w:p w:rsidR="00000000" w:rsidRDefault="004353D6">
            <w:pPr>
              <w:spacing w:after="120"/>
              <w:rPr>
                <w:rFonts w:cs="David"/>
                <w:sz w:val="26"/>
                <w:szCs w:val="26"/>
              </w:rPr>
            </w:pPr>
          </w:p>
        </w:tc>
        <w:tc>
          <w:tcPr>
            <w:tcW w:w="547" w:type="dxa"/>
            <w:tcBorders>
              <w:top w:val="nil"/>
              <w:left w:val="nil"/>
              <w:bottom w:val="nil"/>
              <w:right w:val="nil"/>
            </w:tcBorders>
          </w:tcPr>
          <w:p w:rsidR="00000000" w:rsidRDefault="004353D6">
            <w:pPr>
              <w:spacing w:after="120"/>
              <w:rPr>
                <w:rFonts w:cs="David"/>
                <w:sz w:val="26"/>
                <w:szCs w:val="26"/>
              </w:rPr>
            </w:pPr>
          </w:p>
        </w:tc>
        <w:tc>
          <w:tcPr>
            <w:tcW w:w="567" w:type="dxa"/>
            <w:tcBorders>
              <w:top w:val="nil"/>
              <w:left w:val="nil"/>
              <w:bottom w:val="nil"/>
              <w:right w:val="nil"/>
            </w:tcBorders>
          </w:tcPr>
          <w:p w:rsidR="00000000" w:rsidRDefault="004353D6">
            <w:pPr>
              <w:spacing w:after="120"/>
              <w:rPr>
                <w:rFonts w:cs="David"/>
                <w:sz w:val="26"/>
                <w:szCs w:val="26"/>
              </w:rPr>
            </w:pPr>
            <w:r>
              <w:rPr>
                <w:rFonts w:cs="David"/>
                <w:sz w:val="26"/>
                <w:szCs w:val="26"/>
                <w:rtl/>
              </w:rPr>
              <w:t>(3)</w:t>
            </w:r>
          </w:p>
        </w:tc>
        <w:tc>
          <w:tcPr>
            <w:tcW w:w="6127" w:type="dxa"/>
            <w:tcBorders>
              <w:top w:val="nil"/>
              <w:left w:val="nil"/>
              <w:bottom w:val="nil"/>
              <w:right w:val="nil"/>
            </w:tcBorders>
          </w:tcPr>
          <w:p w:rsidR="00000000" w:rsidRDefault="004353D6">
            <w:pPr>
              <w:spacing w:after="120" w:line="360" w:lineRule="auto"/>
              <w:jc w:val="both"/>
              <w:rPr>
                <w:rFonts w:cs="David"/>
                <w:sz w:val="26"/>
                <w:szCs w:val="26"/>
              </w:rPr>
            </w:pPr>
            <w:r>
              <w:rPr>
                <w:rFonts w:cs="David"/>
                <w:sz w:val="26"/>
                <w:szCs w:val="26"/>
                <w:rtl/>
              </w:rPr>
              <w:t>מספר תושבי הרשות המקומית המועסקים באזור התעשייה.</w:t>
            </w:r>
          </w:p>
        </w:tc>
      </w:tr>
      <w:tr w:rsidR="00000000">
        <w:tblPrEx>
          <w:tblCellMar>
            <w:top w:w="0" w:type="dxa"/>
            <w:bottom w:w="0" w:type="dxa"/>
          </w:tblCellMar>
        </w:tblPrEx>
        <w:trPr>
          <w:cantSplit/>
        </w:trPr>
        <w:tc>
          <w:tcPr>
            <w:tcW w:w="1179" w:type="dxa"/>
            <w:tcBorders>
              <w:top w:val="nil"/>
              <w:left w:val="nil"/>
              <w:bottom w:val="nil"/>
              <w:right w:val="nil"/>
            </w:tcBorders>
          </w:tcPr>
          <w:p w:rsidR="00000000" w:rsidRDefault="004353D6">
            <w:pPr>
              <w:spacing w:after="120"/>
              <w:rPr>
                <w:rFonts w:cs="David"/>
                <w:sz w:val="26"/>
                <w:szCs w:val="26"/>
              </w:rPr>
            </w:pPr>
            <w:r>
              <w:rPr>
                <w:rFonts w:cs="David"/>
                <w:sz w:val="26"/>
                <w:szCs w:val="26"/>
                <w:rtl/>
              </w:rPr>
              <w:t>ביצוע ותקנות</w:t>
            </w:r>
          </w:p>
        </w:tc>
        <w:tc>
          <w:tcPr>
            <w:tcW w:w="547" w:type="dxa"/>
            <w:tcBorders>
              <w:top w:val="nil"/>
              <w:left w:val="nil"/>
              <w:bottom w:val="nil"/>
              <w:right w:val="nil"/>
            </w:tcBorders>
          </w:tcPr>
          <w:p w:rsidR="00000000" w:rsidRDefault="004353D6">
            <w:pPr>
              <w:spacing w:after="120"/>
              <w:rPr>
                <w:rFonts w:cs="David"/>
                <w:sz w:val="26"/>
                <w:szCs w:val="26"/>
              </w:rPr>
            </w:pPr>
            <w:r>
              <w:rPr>
                <w:rFonts w:cs="David"/>
                <w:sz w:val="26"/>
                <w:szCs w:val="26"/>
                <w:rtl/>
              </w:rPr>
              <w:t>3.</w:t>
            </w:r>
          </w:p>
        </w:tc>
        <w:tc>
          <w:tcPr>
            <w:tcW w:w="6694" w:type="dxa"/>
            <w:gridSpan w:val="2"/>
            <w:tcBorders>
              <w:top w:val="nil"/>
              <w:left w:val="nil"/>
              <w:bottom w:val="nil"/>
              <w:right w:val="nil"/>
            </w:tcBorders>
          </w:tcPr>
          <w:p w:rsidR="00000000" w:rsidRDefault="004353D6">
            <w:pPr>
              <w:spacing w:after="120" w:line="360" w:lineRule="auto"/>
              <w:jc w:val="both"/>
              <w:rPr>
                <w:rFonts w:cs="David"/>
                <w:sz w:val="26"/>
                <w:szCs w:val="26"/>
              </w:rPr>
            </w:pPr>
            <w:r>
              <w:rPr>
                <w:rFonts w:cs="David"/>
                <w:sz w:val="26"/>
                <w:szCs w:val="26"/>
                <w:rtl/>
              </w:rPr>
              <w:t>שר הפנים ממונה על ביצוע חוק זה והוא רשאי להתקין תקנות בכל הנוגע לביצועו.</w:t>
            </w:r>
          </w:p>
        </w:tc>
      </w:tr>
    </w:tbl>
    <w:p w:rsidR="00000000" w:rsidRDefault="004353D6">
      <w:pPr>
        <w:rPr>
          <w:rFonts w:cs="David"/>
          <w:sz w:val="26"/>
          <w:szCs w:val="26"/>
          <w:rtl/>
        </w:rPr>
      </w:pPr>
    </w:p>
    <w:p w:rsidR="00000000" w:rsidRDefault="004353D6">
      <w:pPr>
        <w:jc w:val="center"/>
        <w:rPr>
          <w:rFonts w:cs="David"/>
          <w:b/>
          <w:bCs/>
          <w:sz w:val="28"/>
          <w:szCs w:val="28"/>
          <w:u w:val="single"/>
          <w:rtl/>
        </w:rPr>
      </w:pPr>
      <w:r>
        <w:rPr>
          <w:rFonts w:cs="David"/>
          <w:b/>
          <w:bCs/>
          <w:sz w:val="28"/>
          <w:szCs w:val="28"/>
          <w:u w:val="single"/>
          <w:rtl/>
        </w:rPr>
        <w:t>דברי - הסבר</w:t>
      </w:r>
    </w:p>
    <w:p w:rsidR="00000000" w:rsidRDefault="004353D6">
      <w:pPr>
        <w:rPr>
          <w:rFonts w:cs="David"/>
          <w:sz w:val="26"/>
          <w:szCs w:val="26"/>
          <w:rtl/>
        </w:rPr>
      </w:pPr>
    </w:p>
    <w:p w:rsidR="00000000" w:rsidRDefault="004353D6">
      <w:pPr>
        <w:jc w:val="both"/>
        <w:rPr>
          <w:rFonts w:cs="David"/>
          <w:sz w:val="26"/>
          <w:szCs w:val="26"/>
          <w:rtl/>
        </w:rPr>
      </w:pPr>
      <w:r>
        <w:rPr>
          <w:rFonts w:cs="David"/>
          <w:sz w:val="26"/>
          <w:szCs w:val="26"/>
          <w:rtl/>
        </w:rPr>
        <w:t>למרות שמדינת ישראל משקיעה סכומי עתק בהקמת</w:t>
      </w:r>
      <w:r>
        <w:rPr>
          <w:rFonts w:cs="David"/>
          <w:sz w:val="26"/>
          <w:szCs w:val="26"/>
          <w:rtl/>
        </w:rPr>
        <w:t xml:space="preserve"> אזורי תעשייה מרחביים, אין בנמצא קריטריונים לרמת השיוך של האזורים הללו לרשויות המקומיות המקיפות אותם. הצעת חוק זו באה להסדיר את זכויותיהן וחובותיהן של הרשויות המקומיות בניהול ובבעלות על אזורי התעשייה המרחביים ולתקן את המצב המעוות בו חלוקת השותפות נעשית בצו</w:t>
      </w:r>
      <w:r>
        <w:rPr>
          <w:rFonts w:cs="David"/>
          <w:sz w:val="26"/>
          <w:szCs w:val="26"/>
          <w:rtl/>
        </w:rPr>
        <w:t>רה מפלה ובלתי הוגנת.</w:t>
      </w:r>
    </w:p>
    <w:p w:rsidR="00000000" w:rsidRDefault="004353D6">
      <w:pPr>
        <w:jc w:val="both"/>
        <w:rPr>
          <w:rFonts w:cs="David"/>
          <w:sz w:val="26"/>
          <w:szCs w:val="26"/>
          <w:rtl/>
        </w:rPr>
      </w:pPr>
    </w:p>
    <w:p w:rsidR="00000000" w:rsidRDefault="004353D6">
      <w:pPr>
        <w:jc w:val="both"/>
        <w:rPr>
          <w:rFonts w:cs="David"/>
          <w:sz w:val="26"/>
          <w:szCs w:val="26"/>
          <w:rtl/>
        </w:rPr>
      </w:pPr>
      <w:r>
        <w:rPr>
          <w:rFonts w:cs="David"/>
          <w:sz w:val="26"/>
          <w:szCs w:val="26"/>
          <w:rtl/>
        </w:rPr>
        <w:t>הצעת חוק זהה הונחה על שולחן הכנסת השש-עשרה על ידי חבר הכנסת רן כהן (פ/334).</w:t>
      </w:r>
    </w:p>
    <w:p w:rsidR="00000000" w:rsidRDefault="004353D6">
      <w:pPr>
        <w:spacing w:line="360" w:lineRule="auto"/>
        <w:jc w:val="both"/>
        <w:rPr>
          <w:rFonts w:cs="David"/>
          <w:sz w:val="26"/>
          <w:szCs w:val="26"/>
          <w:rtl/>
        </w:rPr>
      </w:pPr>
    </w:p>
    <w:p w:rsidR="00000000" w:rsidRDefault="004353D6">
      <w:pPr>
        <w:spacing w:line="360" w:lineRule="auto"/>
        <w:jc w:val="both"/>
        <w:rPr>
          <w:rFonts w:cs="David"/>
          <w:sz w:val="26"/>
          <w:szCs w:val="26"/>
          <w:rtl/>
        </w:rPr>
      </w:pPr>
    </w:p>
    <w:p w:rsidR="00000000" w:rsidRDefault="004353D6">
      <w:pPr>
        <w:spacing w:line="360" w:lineRule="auto"/>
        <w:jc w:val="both"/>
        <w:rPr>
          <w:rFonts w:cs="David"/>
          <w:sz w:val="26"/>
          <w:szCs w:val="26"/>
          <w:rtl/>
        </w:rPr>
      </w:pPr>
      <w:r>
        <w:rPr>
          <w:rFonts w:cs="David"/>
          <w:sz w:val="26"/>
          <w:szCs w:val="26"/>
          <w:rtl/>
        </w:rPr>
        <w:t>----------------------------</w:t>
      </w:r>
    </w:p>
    <w:p w:rsidR="00000000" w:rsidRDefault="004353D6">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4353D6">
      <w:pPr>
        <w:pStyle w:val="a3"/>
        <w:spacing w:line="360" w:lineRule="auto"/>
        <w:jc w:val="left"/>
        <w:rPr>
          <w:rFonts w:cs="David"/>
          <w:b w:val="0"/>
          <w:bCs w:val="0"/>
          <w:sz w:val="26"/>
          <w:szCs w:val="26"/>
          <w:u w:val="none"/>
          <w:rtl/>
        </w:rPr>
      </w:pPr>
      <w:r>
        <w:rPr>
          <w:rFonts w:cs="David"/>
          <w:b w:val="0"/>
          <w:bCs w:val="0"/>
          <w:sz w:val="26"/>
          <w:szCs w:val="26"/>
          <w:u w:val="none"/>
          <w:rtl/>
        </w:rPr>
        <w:t>והונחה על שלחן הכנסת ביום</w:t>
      </w:r>
    </w:p>
    <w:p w:rsidR="00000000" w:rsidRDefault="004353D6">
      <w:pPr>
        <w:pStyle w:val="a3"/>
        <w:spacing w:line="360" w:lineRule="auto"/>
        <w:jc w:val="left"/>
        <w:rPr>
          <w:rFonts w:cs="David"/>
          <w:b w:val="0"/>
          <w:bCs w:val="0"/>
          <w:sz w:val="26"/>
          <w:szCs w:val="26"/>
          <w:u w:val="none"/>
        </w:rPr>
      </w:pPr>
      <w:r>
        <w:rPr>
          <w:rFonts w:cs="David"/>
          <w:b w:val="0"/>
          <w:bCs w:val="0"/>
          <w:sz w:val="26"/>
          <w:szCs w:val="26"/>
          <w:u w:val="none"/>
          <w:rtl/>
        </w:rPr>
        <w:t>ל' בסיון התשס"ו – 26.6.06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353D6">
      <w:r>
        <w:separator/>
      </w:r>
    </w:p>
  </w:endnote>
  <w:endnote w:type="continuationSeparator" w:id="0">
    <w:p w:rsidR="00000000" w:rsidRDefault="00435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353D6">
      <w:r>
        <w:separator/>
      </w:r>
    </w:p>
  </w:footnote>
  <w:footnote w:type="continuationSeparator" w:id="0">
    <w:p w:rsidR="00000000" w:rsidRDefault="004353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53D6">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353D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636ùåúôåú ééùåáéí áàæåøé úòùéä îøçáééí.doc"/>
    <w:docVar w:name="StartMode" w:val="2"/>
  </w:docVars>
  <w:rsids>
    <w:rsidRoot w:val="004353D6"/>
    <w:rsid w:val="00435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231</Words>
  <Characters>1155</Characters>
  <Application>Microsoft Office Word</Application>
  <DocSecurity>0</DocSecurity>
  <Lines>9</Lines>
  <Paragraphs>2</Paragraphs>
  <ScaleCrop>false</ScaleCrop>
  <Company>knesset</Company>
  <LinksUpToDate>false</LinksUpToDate>
  <CharactersWithSpaces>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שותפות יישובים באזורי תעשיה מרחביים, התשס"ו-2006</dc:title>
  <dc:subject/>
  <dc:creator>Knesset</dc:creator>
  <cp:keywords/>
  <dc:description/>
  <cp:lastModifiedBy>שמואל כוכב</cp:lastModifiedBy>
  <cp:revision>2</cp:revision>
  <cp:lastPrinted>2006-06-22T08:41:00Z</cp:lastPrinted>
  <dcterms:created xsi:type="dcterms:W3CDTF">2015-02-03T19:26:00Z</dcterms:created>
  <dcterms:modified xsi:type="dcterms:W3CDTF">2015-02-03T19:26:00Z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רן כהן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03451606</vt:lpwstr>
  </property>
  <property fmtid="{D5CDD505-2E9C-101B-9397-08002B2CF9AE}" pid="10" name="מספר הצעת חוק למיון">
    <vt:lpwstr>727</vt:lpwstr>
  </property>
  <property fmtid="{D5CDD505-2E9C-101B-9397-08002B2CF9AE}" pid="11" name="SDDocDate">
    <vt:lpwstr>2006-06-22T00:00:00Z</vt:lpwstr>
  </property>
  <property fmtid="{D5CDD505-2E9C-101B-9397-08002B2CF9AE}" pid="12" name="SDHebDate">
    <vt:lpwstr>כ"ו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פ/727/17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